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E82F" w14:textId="506B4D22" w:rsidR="00950CBB" w:rsidRDefault="00950CBB" w:rsidP="00075464">
      <w:pPr>
        <w:pStyle w:val="Heading1"/>
        <w:rPr>
          <w:sz w:val="52"/>
          <w:szCs w:val="52"/>
        </w:rPr>
      </w:pPr>
      <w:r w:rsidRPr="00950CBB">
        <w:rPr>
          <w:sz w:val="52"/>
          <w:szCs w:val="52"/>
        </w:rPr>
        <w:t>Cybersecurity Interface Agreement</w:t>
      </w:r>
    </w:p>
    <w:p w14:paraId="578FE19B" w14:textId="7CB5B19C" w:rsidR="00075464" w:rsidRDefault="00B46F10" w:rsidP="00075464">
      <w:pPr>
        <w:pStyle w:val="Heading1"/>
      </w:pPr>
      <w:r>
        <w:t>Revision</w:t>
      </w:r>
    </w:p>
    <w:p w14:paraId="616BB72A" w14:textId="09C970D6" w:rsidR="003A42ED" w:rsidRPr="003A42ED" w:rsidRDefault="003A42ED" w:rsidP="003A42ED">
      <w:r>
        <w:t xml:space="preserve">Version </w:t>
      </w:r>
      <w:r w:rsidR="00EC39AD">
        <w:t>2</w:t>
      </w:r>
    </w:p>
    <w:p w14:paraId="45CEE66D" w14:textId="6AEA2512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EC39AD">
        <w:rPr>
          <w:noProof/>
        </w:rPr>
        <w:t>1/5/22 8:37 AM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728CD110" w14:textId="77777777" w:rsidR="00B11197" w:rsidRDefault="00B11197" w:rsidP="00B11197">
      <w:pPr>
        <w:pStyle w:val="Heading1"/>
      </w:pPr>
      <w:r>
        <w:t>Abstract</w:t>
      </w:r>
    </w:p>
    <w:p w14:paraId="1F3D4741" w14:textId="2C1007DE" w:rsidR="00B11197" w:rsidRDefault="00B11197" w:rsidP="00B11197">
      <w:pPr>
        <w:jc w:val="both"/>
      </w:pPr>
      <w:r>
        <w:t xml:space="preserve">This document details the process to be used to </w:t>
      </w:r>
      <w:r w:rsidR="00D54FD3">
        <w:t>establish the cybersecurity interface agreement between a supplier and the customer organizations</w:t>
      </w:r>
      <w:r>
        <w:t>.</w:t>
      </w:r>
    </w:p>
    <w:p w14:paraId="0CE34695" w14:textId="77777777" w:rsidR="00B11197" w:rsidRDefault="00B11197" w:rsidP="00B11197">
      <w:pPr>
        <w:pStyle w:val="Heading1"/>
        <w:jc w:val="both"/>
      </w:pPr>
      <w:r>
        <w:t>Group / Owner</w:t>
      </w:r>
    </w:p>
    <w:p w14:paraId="06177DED" w14:textId="4CE727A6" w:rsidR="00B11197" w:rsidRDefault="00B11197" w:rsidP="00B11197">
      <w:pPr>
        <w:jc w:val="both"/>
      </w:pPr>
      <w:r>
        <w:t>Security / Systems Security Analyst</w:t>
      </w:r>
    </w:p>
    <w:p w14:paraId="4E469EA0" w14:textId="77777777" w:rsidR="00B11197" w:rsidRDefault="00B11197" w:rsidP="00B11197">
      <w:pPr>
        <w:pStyle w:val="Heading1"/>
        <w:jc w:val="both"/>
      </w:pPr>
      <w:bookmarkStart w:id="0" w:name="_ugh8iyo85lmo" w:colFirst="0" w:colLast="0"/>
      <w:bookmarkEnd w:id="0"/>
      <w:r>
        <w:t>Motivation</w:t>
      </w:r>
    </w:p>
    <w:p w14:paraId="06403C71" w14:textId="4E8F7BDD" w:rsidR="00B11197" w:rsidRDefault="00B11197" w:rsidP="00B11197">
      <w:pPr>
        <w:jc w:val="both"/>
      </w:pPr>
      <w:r>
        <w:t xml:space="preserve">This document is motivated by the need to have </w:t>
      </w:r>
      <w:r w:rsidR="00D54FD3">
        <w:t xml:space="preserve">formal agreements in place for the development of </w:t>
      </w:r>
      <w:r>
        <w:t xml:space="preserve">security-related </w:t>
      </w:r>
      <w:r w:rsidR="00D54FD3">
        <w:t xml:space="preserve">elements by a supplier to be used in products subject to </w:t>
      </w:r>
      <w:r>
        <w:t xml:space="preserve">compliance </w:t>
      </w:r>
      <w:r w:rsidR="00D54FD3">
        <w:t>with</w:t>
      </w:r>
      <w:r>
        <w:t xml:space="preserve"> standards such as </w:t>
      </w:r>
      <w:r w:rsidRPr="009106A1">
        <w:rPr>
          <w:b/>
          <w:bCs/>
        </w:rPr>
        <w:t>ISO 21434</w:t>
      </w:r>
      <w:r>
        <w:t xml:space="preserve"> and </w:t>
      </w:r>
      <w:r w:rsidRPr="009106A1">
        <w:rPr>
          <w:b/>
          <w:bCs/>
        </w:rPr>
        <w:t>ISO 26262</w:t>
      </w:r>
      <w:r w:rsidRPr="00520F11">
        <w:t>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7777777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1A71F9" w:rsidP="003A42ED">
      <w:pPr>
        <w:jc w:val="both"/>
      </w:pPr>
      <w:hyperlink r:id="rId8" w:history="1">
        <w:r w:rsidR="003A42E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419C67FC" w:rsidR="00033EB9" w:rsidRDefault="0088387F" w:rsidP="00CE63D3">
      <w:pPr>
        <w:spacing w:after="240"/>
        <w:jc w:val="both"/>
      </w:pPr>
      <w:r>
        <w:t xml:space="preserve">The </w:t>
      </w:r>
      <w:r w:rsidR="00EC39AD">
        <w:rPr>
          <w:b/>
          <w:bCs/>
        </w:rPr>
        <w:t>C</w:t>
      </w:r>
      <w:r w:rsidR="00033EB9" w:rsidRPr="00950CBB">
        <w:rPr>
          <w:b/>
          <w:bCs/>
        </w:rPr>
        <w:t xml:space="preserve">ybersecurity </w:t>
      </w:r>
      <w:r w:rsidR="00EC39AD">
        <w:rPr>
          <w:b/>
          <w:bCs/>
        </w:rPr>
        <w:t>I</w:t>
      </w:r>
      <w:r w:rsidR="00033EB9" w:rsidRPr="00950CBB">
        <w:rPr>
          <w:b/>
          <w:bCs/>
        </w:rPr>
        <w:t xml:space="preserve">nterface </w:t>
      </w:r>
      <w:r w:rsidR="00EC39AD">
        <w:rPr>
          <w:b/>
          <w:bCs/>
        </w:rPr>
        <w:t>A</w:t>
      </w:r>
      <w:r w:rsidR="00033EB9" w:rsidRPr="00950CBB">
        <w:rPr>
          <w:b/>
          <w:bCs/>
        </w:rPr>
        <w:t>greement</w:t>
      </w:r>
      <w:r w:rsidR="00033EB9">
        <w:t xml:space="preserve"> is </w:t>
      </w:r>
      <w:r>
        <w:t xml:space="preserve">intended to </w:t>
      </w:r>
      <w:r w:rsidR="00033EB9">
        <w:t>establish the following:</w:t>
      </w:r>
    </w:p>
    <w:p w14:paraId="79927DA3" w14:textId="6336A171" w:rsidR="0024776E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identity of responsible individuals</w:t>
      </w:r>
    </w:p>
    <w:p w14:paraId="00000009" w14:textId="7F0B8FA4" w:rsidR="00E27AF5" w:rsidRDefault="00033EB9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understanding of supplier capabilities</w:t>
      </w:r>
    </w:p>
    <w:p w14:paraId="1B770898" w14:textId="41DC613D" w:rsidR="00033EB9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responsibility of both consumer and supplier for the various AVCDL work products</w:t>
      </w:r>
    </w:p>
    <w:p w14:paraId="60A39803" w14:textId="7084E764" w:rsidR="0024776E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agree</w:t>
      </w:r>
      <w:r w:rsidR="00EC39AD">
        <w:t>ment</w:t>
      </w:r>
      <w:r>
        <w:t xml:space="preserve"> upon the confidentiality level for the various AVCDL work products</w:t>
      </w:r>
    </w:p>
    <w:p w14:paraId="2672E591" w14:textId="7B7FA10E" w:rsidR="0024776E" w:rsidRDefault="0024776E" w:rsidP="00D54FD3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relevant comments of both consumer and supplier</w:t>
      </w:r>
    </w:p>
    <w:p w14:paraId="6BC40895" w14:textId="290AF1DF" w:rsidR="0024776E" w:rsidRDefault="0024776E" w:rsidP="0024776E">
      <w:pPr>
        <w:spacing w:after="240"/>
        <w:ind w:left="634" w:hanging="634"/>
      </w:pPr>
      <w:bookmarkStart w:id="1" w:name="_ka2wojif16d2" w:colFirst="0" w:colLast="0"/>
      <w:bookmarkEnd w:id="1"/>
      <w:r w:rsidRPr="0024776E">
        <w:rPr>
          <w:b/>
          <w:bCs/>
          <w:color w:val="0070C0"/>
        </w:rPr>
        <w:t>Note:</w:t>
      </w:r>
      <w:r w:rsidRPr="0024776E">
        <w:rPr>
          <w:b/>
          <w:bCs/>
          <w:color w:val="0070C0"/>
        </w:rPr>
        <w:tab/>
      </w:r>
      <w:r>
        <w:t xml:space="preserve">As the </w:t>
      </w:r>
      <w:r w:rsidRPr="0024776E">
        <w:rPr>
          <w:b/>
          <w:bCs/>
        </w:rPr>
        <w:t>AVCDL</w:t>
      </w:r>
      <w:r>
        <w:t xml:space="preserve"> </w:t>
      </w:r>
      <w:r w:rsidRPr="00950CBB">
        <w:rPr>
          <w:b/>
          <w:bCs/>
        </w:rPr>
        <w:t>Cybersecurity Interface Agreement</w:t>
      </w:r>
      <w:r>
        <w:t xml:space="preserve"> is a legal agreement, it is a tracked document.</w:t>
      </w:r>
    </w:p>
    <w:p w14:paraId="501A34BB" w14:textId="77777777" w:rsidR="00D54FD3" w:rsidRDefault="00D54FD3" w:rsidP="00D54FD3">
      <w:pPr>
        <w:spacing w:after="240"/>
        <w:jc w:val="both"/>
      </w:pPr>
      <w:r>
        <w:t>The following diagram illustrates the process to be used:</w:t>
      </w:r>
    </w:p>
    <w:p w14:paraId="174317E8" w14:textId="0EFA71B5" w:rsidR="009D17CB" w:rsidRDefault="00D54FD3" w:rsidP="00D54FD3">
      <w:pPr>
        <w:spacing w:after="240"/>
        <w:rPr>
          <w:sz w:val="40"/>
          <w:szCs w:val="40"/>
        </w:rPr>
      </w:pPr>
      <w:r>
        <w:rPr>
          <w:noProof/>
        </w:rPr>
        <w:drawing>
          <wp:inline distT="0" distB="0" distL="0" distR="0" wp14:anchorId="38E8DC2F" wp14:editId="1969D21D">
            <wp:extent cx="5975294" cy="347729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94" cy="34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7CB">
        <w:br w:type="page"/>
      </w:r>
    </w:p>
    <w:p w14:paraId="52482339" w14:textId="77777777" w:rsidR="00D54FD3" w:rsidRDefault="00D54FD3" w:rsidP="00D54FD3">
      <w:pPr>
        <w:pStyle w:val="Heading1"/>
      </w:pPr>
      <w:r>
        <w:lastRenderedPageBreak/>
        <w:t>Process</w:t>
      </w:r>
    </w:p>
    <w:p w14:paraId="347C1122" w14:textId="62BF7E3B" w:rsidR="00D54FD3" w:rsidRDefault="00656B09" w:rsidP="00D54FD3">
      <w:pPr>
        <w:pStyle w:val="Heading2"/>
      </w:pPr>
      <w:bookmarkStart w:id="2" w:name="_ekrmb8bmvbxt" w:colFirst="0" w:colLast="0"/>
      <w:bookmarkStart w:id="3" w:name="_mq831jmcy6f9" w:colFirst="0" w:colLast="0"/>
      <w:bookmarkStart w:id="4" w:name="_6isjg9bo1k0m" w:colFirst="0" w:colLast="0"/>
      <w:bookmarkEnd w:id="2"/>
      <w:bookmarkEnd w:id="3"/>
      <w:bookmarkEnd w:id="4"/>
      <w:r>
        <w:t>Agreement Draft</w:t>
      </w:r>
      <w:r w:rsidR="00367FB4">
        <w:t>ing</w:t>
      </w:r>
    </w:p>
    <w:p w14:paraId="16AA0D83" w14:textId="77777777" w:rsidR="00D54FD3" w:rsidRDefault="00D54FD3" w:rsidP="00D54FD3"/>
    <w:tbl>
      <w:tblPr>
        <w:tblW w:w="6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590"/>
      </w:tblGrid>
      <w:tr w:rsidR="00D54FD3" w14:paraId="26E72FB5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50AF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A9F" w14:textId="77777777" w:rsidR="00D54FD3" w:rsidRDefault="00367FB4" w:rsidP="00367FB4">
            <w:pPr>
              <w:widowControl w:val="0"/>
              <w:spacing w:line="240" w:lineRule="auto"/>
              <w:ind w:left="-3"/>
            </w:pPr>
            <w:r>
              <w:t>General security requirements</w:t>
            </w:r>
          </w:p>
          <w:p w14:paraId="1A27C1B1" w14:textId="77777777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AVCMDS</w:t>
            </w:r>
          </w:p>
          <w:p w14:paraId="4C139926" w14:textId="58D5962E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Supplier self-reported cybersecurity maturity</w:t>
            </w:r>
          </w:p>
        </w:tc>
      </w:tr>
      <w:tr w:rsidR="00D54FD3" w14:paraId="651BBF94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F19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2373" w14:textId="33564D0E" w:rsidR="00D54FD3" w:rsidRDefault="00367FB4" w:rsidP="001F4A2B">
            <w:pPr>
              <w:widowControl w:val="0"/>
              <w:spacing w:line="240" w:lineRule="auto"/>
            </w:pPr>
            <w:r>
              <w:t>Cybersecurity Interface Agreement (draft)</w:t>
            </w:r>
          </w:p>
        </w:tc>
      </w:tr>
      <w:tr w:rsidR="00D54FD3" w14:paraId="57EF277A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17192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97B1" w14:textId="3CB755A2" w:rsidR="00367FB4" w:rsidRDefault="00367FB4" w:rsidP="001F4A2B">
            <w:pPr>
              <w:widowControl w:val="0"/>
              <w:spacing w:line="240" w:lineRule="auto"/>
            </w:pPr>
            <w:r>
              <w:t>Supplier Security SME</w:t>
            </w:r>
          </w:p>
          <w:p w14:paraId="0ABEE1F5" w14:textId="78C86919" w:rsidR="00D54FD3" w:rsidRDefault="00367FB4" w:rsidP="001F4A2B">
            <w:pPr>
              <w:widowControl w:val="0"/>
              <w:spacing w:line="240" w:lineRule="auto"/>
            </w:pPr>
            <w:r>
              <w:t xml:space="preserve">Customer </w:t>
            </w:r>
            <w:r w:rsidR="00D54FD3">
              <w:t>Security SME</w:t>
            </w:r>
          </w:p>
        </w:tc>
      </w:tr>
    </w:tbl>
    <w:p w14:paraId="0CCA6B5C" w14:textId="77777777" w:rsidR="00D54FD3" w:rsidRDefault="00D54FD3" w:rsidP="00D54FD3"/>
    <w:p w14:paraId="4C855B73" w14:textId="77777777" w:rsidR="00D54FD3" w:rsidRDefault="00D54FD3" w:rsidP="00D54FD3">
      <w:pPr>
        <w:jc w:val="center"/>
      </w:pPr>
      <w:r>
        <w:rPr>
          <w:noProof/>
        </w:rPr>
        <w:drawing>
          <wp:inline distT="0" distB="0" distL="0" distR="0" wp14:anchorId="775BD5DF" wp14:editId="7C1F2212">
            <wp:extent cx="4139838" cy="40906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326" cy="40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901" w14:textId="77777777" w:rsidR="00D54FD3" w:rsidRDefault="00D54FD3" w:rsidP="00D54FD3"/>
    <w:p w14:paraId="5856071D" w14:textId="22AFC27E" w:rsidR="00D54FD3" w:rsidRDefault="00D54FD3" w:rsidP="00D54FD3">
      <w:pPr>
        <w:spacing w:after="240"/>
        <w:jc w:val="both"/>
      </w:pPr>
      <w:r>
        <w:t xml:space="preserve">The </w:t>
      </w:r>
      <w:r w:rsidR="0095222D">
        <w:rPr>
          <w:b/>
          <w:bCs/>
        </w:rPr>
        <w:t xml:space="preserve">general security requirements </w:t>
      </w:r>
      <w:r w:rsidR="0095222D" w:rsidRPr="0095222D">
        <w:t>for the element being supplied by the vendor</w:t>
      </w:r>
      <w:r w:rsidR="0095222D">
        <w:t xml:space="preserve">, </w:t>
      </w:r>
      <w:r w:rsidR="0095222D" w:rsidRPr="0095222D">
        <w:rPr>
          <w:b/>
          <w:bCs/>
        </w:rPr>
        <w:t>AVCMDS</w:t>
      </w:r>
      <w:r w:rsidR="00857DD8">
        <w:rPr>
          <w:b/>
          <w:bCs/>
        </w:rPr>
        <w:t xml:space="preserve"> (Autonomous Vehicle Cybersecurity Manufacturer Disclosure Statement)</w:t>
      </w:r>
      <w:r w:rsidR="0095222D">
        <w:t xml:space="preserve"> worksheet</w:t>
      </w:r>
      <w:r w:rsidR="00857DD8">
        <w:t xml:space="preserve"> </w:t>
      </w:r>
      <w:r w:rsidR="00857DD8" w:rsidRPr="00857DD8">
        <w:rPr>
          <w:b/>
          <w:bCs/>
          <w:color w:val="0070C0"/>
          <w:vertAlign w:val="superscript"/>
        </w:rPr>
        <w:t>[12]</w:t>
      </w:r>
      <w:r w:rsidR="0095222D">
        <w:t xml:space="preserve">, and </w:t>
      </w:r>
      <w:r w:rsidR="0095222D" w:rsidRPr="0095222D">
        <w:rPr>
          <w:b/>
          <w:bCs/>
        </w:rPr>
        <w:t>supplier self-reported cybersecurity maturity</w:t>
      </w:r>
      <w:r w:rsidR="0095222D">
        <w:t xml:space="preserve"> report</w:t>
      </w:r>
      <w:r w:rsidR="00857DD8">
        <w:t xml:space="preserve"> </w:t>
      </w:r>
      <w:r w:rsidR="00857DD8" w:rsidRPr="00857DD8">
        <w:rPr>
          <w:b/>
          <w:bCs/>
          <w:color w:val="0070C0"/>
          <w:vertAlign w:val="superscript"/>
        </w:rPr>
        <w:t>[13]</w:t>
      </w:r>
      <w:r>
        <w:t xml:space="preserve"> are </w:t>
      </w:r>
      <w:r w:rsidR="0095222D">
        <w:t xml:space="preserve">used by the supplier and customer security SMEs to create a </w:t>
      </w:r>
      <w:r w:rsidR="0095222D" w:rsidRPr="0095222D">
        <w:rPr>
          <w:b/>
          <w:bCs/>
        </w:rPr>
        <w:t>cybersecurity interface agreement draft</w:t>
      </w:r>
      <w:r>
        <w:t xml:space="preserve">. This should be done using </w:t>
      </w:r>
      <w:r w:rsidR="005354FE">
        <w:t xml:space="preserve">the </w:t>
      </w:r>
      <w:r w:rsidR="005354FE">
        <w:rPr>
          <w:b/>
          <w:bCs/>
        </w:rPr>
        <w:t>AVCDL</w:t>
      </w:r>
      <w:r w:rsidR="005354FE">
        <w:t xml:space="preserve"> </w:t>
      </w:r>
      <w:r w:rsidR="005354FE" w:rsidRPr="00866A81">
        <w:rPr>
          <w:b/>
          <w:bCs/>
          <w:color w:val="0070C0"/>
          <w:vertAlign w:val="superscript"/>
        </w:rPr>
        <w:t>[</w:t>
      </w:r>
      <w:r w:rsidR="005354FE">
        <w:rPr>
          <w:b/>
          <w:bCs/>
          <w:color w:val="0070C0"/>
          <w:vertAlign w:val="superscript"/>
        </w:rPr>
        <w:t>9</w:t>
      </w:r>
      <w:r w:rsidR="005354FE" w:rsidRPr="00866A81">
        <w:rPr>
          <w:b/>
          <w:bCs/>
          <w:color w:val="0070C0"/>
          <w:vertAlign w:val="superscript"/>
        </w:rPr>
        <w:t>]</w:t>
      </w:r>
      <w:r w:rsidR="005354FE">
        <w:t xml:space="preserve"> </w:t>
      </w:r>
      <w:r>
        <w:t>a</w:t>
      </w:r>
      <w:r w:rsidR="005354FE">
        <w:t>s</w:t>
      </w:r>
      <w:r>
        <w:t xml:space="preserve"> </w:t>
      </w:r>
      <w:r w:rsidR="005354FE">
        <w:t>a basis for activities to be undertaken. A template</w:t>
      </w:r>
      <w:r w:rsidR="005354FE">
        <w:rPr>
          <w:b/>
          <w:bCs/>
        </w:rPr>
        <w:t xml:space="preserve"> </w:t>
      </w:r>
      <w:r w:rsidR="005354FE" w:rsidRPr="00866A81">
        <w:rPr>
          <w:b/>
          <w:bCs/>
          <w:color w:val="0070C0"/>
          <w:vertAlign w:val="superscript"/>
        </w:rPr>
        <w:t>[</w:t>
      </w:r>
      <w:r w:rsidR="005354FE">
        <w:rPr>
          <w:b/>
          <w:bCs/>
          <w:color w:val="0070C0"/>
          <w:vertAlign w:val="superscript"/>
        </w:rPr>
        <w:t>11</w:t>
      </w:r>
      <w:r w:rsidR="005354FE" w:rsidRPr="00866A81">
        <w:rPr>
          <w:b/>
          <w:bCs/>
          <w:color w:val="0070C0"/>
          <w:vertAlign w:val="superscript"/>
        </w:rPr>
        <w:t>]</w:t>
      </w:r>
      <w:r w:rsidR="005354FE">
        <w:t xml:space="preserve"> is provided for this purpose.</w:t>
      </w:r>
    </w:p>
    <w:p w14:paraId="27A6035A" w14:textId="6BA859BF" w:rsid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lastRenderedPageBreak/>
        <w:t>Note:</w:t>
      </w:r>
      <w:r>
        <w:tab/>
        <w:t xml:space="preserve">An additional document, </w:t>
      </w:r>
      <w:r>
        <w:rPr>
          <w:b/>
          <w:bCs/>
        </w:rPr>
        <w:t xml:space="preserve">Understanding Cybersecurity Interface Agreements </w:t>
      </w:r>
      <w:r w:rsidRPr="00866A81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10</w:t>
      </w:r>
      <w:r w:rsidRPr="00866A81">
        <w:rPr>
          <w:b/>
          <w:bCs/>
          <w:color w:val="0070C0"/>
          <w:vertAlign w:val="superscript"/>
        </w:rPr>
        <w:t>]</w:t>
      </w:r>
      <w:r>
        <w:t>, is provided detailing the use of the interface agreement template.</w:t>
      </w:r>
    </w:p>
    <w:p w14:paraId="50329E42" w14:textId="5550C2F8" w:rsidR="00E13278" w:rsidRPr="00B93D6D" w:rsidRDefault="00E13278" w:rsidP="00B93D6D">
      <w:pPr>
        <w:spacing w:after="240"/>
        <w:jc w:val="center"/>
      </w:pPr>
      <w:r>
        <w:br w:type="page"/>
      </w:r>
    </w:p>
    <w:p w14:paraId="05BD1D26" w14:textId="0893F35F" w:rsidR="00367FB4" w:rsidRDefault="00367FB4" w:rsidP="00367FB4">
      <w:pPr>
        <w:pStyle w:val="Heading2"/>
      </w:pPr>
      <w:r>
        <w:lastRenderedPageBreak/>
        <w:t>Supplier Legal Review</w:t>
      </w:r>
    </w:p>
    <w:p w14:paraId="4313FDF1" w14:textId="77777777" w:rsidR="00367FB4" w:rsidRDefault="00367FB4" w:rsidP="00367FB4"/>
    <w:tbl>
      <w:tblPr>
        <w:tblW w:w="7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580"/>
      </w:tblGrid>
      <w:tr w:rsidR="00367FB4" w14:paraId="4EC8C0C2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1D6CC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369" w14:textId="55F8CE71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Cybersecurity Interface Agreement (draft)</w:t>
            </w:r>
          </w:p>
        </w:tc>
      </w:tr>
      <w:tr w:rsidR="00367FB4" w14:paraId="557A2C6A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B802" w14:textId="77777777" w:rsidR="00367FB4" w:rsidRPr="003263B9" w:rsidRDefault="00367FB4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DCED" w14:textId="79637AA2" w:rsidR="00367FB4" w:rsidRDefault="00367FB4" w:rsidP="001F4A2B">
            <w:pPr>
              <w:widowControl w:val="0"/>
              <w:spacing w:line="240" w:lineRule="auto"/>
            </w:pPr>
            <w:r>
              <w:t>Cybersecurity Interface Agreement (supplier reviewed)</w:t>
            </w:r>
          </w:p>
        </w:tc>
      </w:tr>
      <w:tr w:rsidR="00367FB4" w14:paraId="1F5EC441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6C0D0" w14:textId="77777777" w:rsidR="00367FB4" w:rsidRPr="003263B9" w:rsidRDefault="00367FB4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BD66" w14:textId="4FDCF7E1" w:rsidR="00367FB4" w:rsidRDefault="00367FB4" w:rsidP="00367FB4">
            <w:pPr>
              <w:widowControl w:val="0"/>
              <w:spacing w:line="240" w:lineRule="auto"/>
            </w:pPr>
            <w:r>
              <w:t>Supplier Legal SME</w:t>
            </w:r>
          </w:p>
        </w:tc>
      </w:tr>
    </w:tbl>
    <w:p w14:paraId="119BAF0F" w14:textId="77777777" w:rsidR="00367FB4" w:rsidRDefault="00367FB4" w:rsidP="00367FB4"/>
    <w:p w14:paraId="1C9783D4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67C23BA0" wp14:editId="34E319C0">
            <wp:extent cx="4147504" cy="2866802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04" cy="28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2A63" w14:textId="77777777" w:rsidR="00367FB4" w:rsidRDefault="00367FB4" w:rsidP="00367FB4"/>
    <w:p w14:paraId="23CC1805" w14:textId="5DBD71D7" w:rsidR="00367FB4" w:rsidRDefault="00367FB4" w:rsidP="00367FB4">
      <w:pPr>
        <w:spacing w:after="240"/>
        <w:jc w:val="both"/>
      </w:pPr>
      <w:r>
        <w:t xml:space="preserve">The </w:t>
      </w:r>
      <w:r w:rsidR="0043523B">
        <w:rPr>
          <w:b/>
          <w:bCs/>
        </w:rPr>
        <w:t>cybersecurity interface agreement (draft)</w:t>
      </w:r>
      <w:r>
        <w:t xml:space="preserve"> </w:t>
      </w:r>
      <w:r w:rsidR="0043523B">
        <w:t>is reviewed by the supplier legal SME</w:t>
      </w:r>
      <w:r>
        <w:t xml:space="preserve">. </w:t>
      </w:r>
      <w:r w:rsidR="0043523B">
        <w:t xml:space="preserve">A </w:t>
      </w:r>
      <w:r w:rsidR="0043523B" w:rsidRPr="0043523B">
        <w:rPr>
          <w:b/>
          <w:bCs/>
        </w:rPr>
        <w:t>cybersecurity interface agreement (supplier reviewed)</w:t>
      </w:r>
      <w:r w:rsidR="0043523B">
        <w:t xml:space="preserve"> is created via annotation</w:t>
      </w:r>
      <w:r>
        <w:t>.</w:t>
      </w:r>
    </w:p>
    <w:p w14:paraId="64720881" w14:textId="2EFB4F1E" w:rsidR="00367FB4" w:rsidRP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This activity and the </w:t>
      </w:r>
      <w:r>
        <w:rPr>
          <w:b/>
          <w:bCs/>
        </w:rPr>
        <w:t>Customer Legal Review</w:t>
      </w:r>
      <w:r>
        <w:t xml:space="preserve"> may be performed in parallel.</w:t>
      </w:r>
      <w:r w:rsidR="00367FB4">
        <w:br w:type="page"/>
      </w:r>
    </w:p>
    <w:p w14:paraId="03FC87D5" w14:textId="1FCABA7B" w:rsidR="00367FB4" w:rsidRDefault="00367FB4" w:rsidP="00367FB4">
      <w:pPr>
        <w:pStyle w:val="Heading2"/>
      </w:pPr>
      <w:r>
        <w:lastRenderedPageBreak/>
        <w:t>Customer Legal Review</w:t>
      </w:r>
    </w:p>
    <w:p w14:paraId="09F3ADD4" w14:textId="77777777" w:rsidR="00367FB4" w:rsidRDefault="00367FB4" w:rsidP="00367FB4"/>
    <w:tbl>
      <w:tblPr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760"/>
      </w:tblGrid>
      <w:tr w:rsidR="00367FB4" w14:paraId="0FB2E2CC" w14:textId="77777777" w:rsidTr="00367FB4">
        <w:trPr>
          <w:trHeight w:val="132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06160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760" w:type="dxa"/>
            <w:vAlign w:val="center"/>
          </w:tcPr>
          <w:p w14:paraId="4F831D0B" w14:textId="100F0350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Cybersecurity Interface Agreement (draft)</w:t>
            </w:r>
          </w:p>
        </w:tc>
      </w:tr>
      <w:tr w:rsidR="00367FB4" w14:paraId="64F7F270" w14:textId="77777777" w:rsidTr="00367FB4">
        <w:trPr>
          <w:trHeight w:val="23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356D1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760" w:type="dxa"/>
            <w:vAlign w:val="center"/>
          </w:tcPr>
          <w:p w14:paraId="73890CB4" w14:textId="58E881D5" w:rsidR="00367FB4" w:rsidRDefault="00367FB4" w:rsidP="00367FB4">
            <w:pPr>
              <w:widowControl w:val="0"/>
              <w:spacing w:line="240" w:lineRule="auto"/>
            </w:pPr>
            <w:r>
              <w:t>Cybersecurity Interface Agreement (customer reviewed)</w:t>
            </w:r>
          </w:p>
        </w:tc>
      </w:tr>
      <w:tr w:rsidR="00367FB4" w14:paraId="67736BD2" w14:textId="77777777" w:rsidTr="00367FB4">
        <w:trPr>
          <w:trHeight w:val="23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CA1CF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760" w:type="dxa"/>
            <w:vAlign w:val="center"/>
          </w:tcPr>
          <w:p w14:paraId="407175D4" w14:textId="2A61E5EC" w:rsidR="00367FB4" w:rsidRDefault="00367FB4" w:rsidP="00367FB4">
            <w:pPr>
              <w:widowControl w:val="0"/>
              <w:spacing w:line="240" w:lineRule="auto"/>
            </w:pPr>
            <w:r>
              <w:t>Customer Legal SME</w:t>
            </w:r>
          </w:p>
        </w:tc>
      </w:tr>
    </w:tbl>
    <w:p w14:paraId="51FC46B5" w14:textId="77777777" w:rsidR="00367FB4" w:rsidRDefault="00367FB4" w:rsidP="00367FB4"/>
    <w:p w14:paraId="56316B6A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488EFBE9" wp14:editId="4F311C03">
            <wp:extent cx="4147504" cy="2866802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04" cy="28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9D4C" w14:textId="77777777" w:rsidR="00367FB4" w:rsidRDefault="00367FB4" w:rsidP="00367FB4"/>
    <w:p w14:paraId="4ACEB1D0" w14:textId="55297E1B" w:rsidR="0043523B" w:rsidRDefault="0043523B" w:rsidP="0043523B">
      <w:pPr>
        <w:spacing w:after="240"/>
        <w:jc w:val="both"/>
      </w:pPr>
      <w:r>
        <w:t xml:space="preserve">The </w:t>
      </w:r>
      <w:r>
        <w:rPr>
          <w:b/>
          <w:bCs/>
        </w:rPr>
        <w:t>cybersecurity interface agreement (draft)</w:t>
      </w:r>
      <w:r>
        <w:t xml:space="preserve"> is reviewed by the supplier legal SME. A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customer</w:t>
      </w:r>
      <w:r w:rsidRPr="0043523B">
        <w:rPr>
          <w:b/>
          <w:bCs/>
        </w:rPr>
        <w:t xml:space="preserve"> reviewed)</w:t>
      </w:r>
      <w:r>
        <w:t xml:space="preserve"> is created via annotation.</w:t>
      </w:r>
    </w:p>
    <w:p w14:paraId="77835A32" w14:textId="7F4FECB3" w:rsidR="005354FE" w:rsidRP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This activity and the </w:t>
      </w:r>
      <w:r>
        <w:rPr>
          <w:b/>
          <w:bCs/>
        </w:rPr>
        <w:t>Supplier Legal Review</w:t>
      </w:r>
      <w:r>
        <w:t xml:space="preserve"> may be performed in parallel.</w:t>
      </w:r>
      <w:r>
        <w:br w:type="page"/>
      </w:r>
    </w:p>
    <w:p w14:paraId="431507F4" w14:textId="2D801074" w:rsidR="00367FB4" w:rsidRDefault="00367FB4" w:rsidP="00367FB4">
      <w:pPr>
        <w:pStyle w:val="Heading2"/>
      </w:pPr>
      <w:r>
        <w:lastRenderedPageBreak/>
        <w:t>Agreement Harmonization</w:t>
      </w:r>
    </w:p>
    <w:p w14:paraId="18DEF2B6" w14:textId="77777777" w:rsidR="00367FB4" w:rsidRDefault="00367FB4" w:rsidP="00367FB4"/>
    <w:tbl>
      <w:tblPr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760"/>
      </w:tblGrid>
      <w:tr w:rsidR="00257AA6" w14:paraId="3DDDE056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1E624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75D5C" w14:textId="09721263" w:rsidR="00257AA6" w:rsidRDefault="00257AA6" w:rsidP="00257AA6">
            <w:pPr>
              <w:widowControl w:val="0"/>
              <w:spacing w:line="240" w:lineRule="auto"/>
              <w:ind w:left="-3"/>
            </w:pPr>
            <w:r>
              <w:t>Cybersecurity Interface Agreement (supplier reviewed)</w:t>
            </w:r>
          </w:p>
          <w:p w14:paraId="22C01477" w14:textId="3C875601" w:rsidR="00257AA6" w:rsidRDefault="00257AA6" w:rsidP="00257AA6">
            <w:pPr>
              <w:widowControl w:val="0"/>
              <w:spacing w:line="240" w:lineRule="auto"/>
              <w:ind w:left="-3"/>
            </w:pPr>
            <w:r>
              <w:t>Cybersecurity Interface Agreement (customer reviewed)</w:t>
            </w:r>
          </w:p>
        </w:tc>
      </w:tr>
      <w:tr w:rsidR="00257AA6" w14:paraId="68B8B842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42B8C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4757" w14:textId="6AAE44AC" w:rsidR="00257AA6" w:rsidRDefault="00257AA6" w:rsidP="00257AA6">
            <w:pPr>
              <w:widowControl w:val="0"/>
              <w:spacing w:line="240" w:lineRule="auto"/>
            </w:pPr>
            <w:r>
              <w:t>Cybersecurity Interface Agreement (final)</w:t>
            </w:r>
          </w:p>
        </w:tc>
      </w:tr>
      <w:tr w:rsidR="00257AA6" w14:paraId="08D8CD1C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1AC26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DE0F" w14:textId="77777777" w:rsidR="00257AA6" w:rsidRDefault="00257AA6" w:rsidP="00257AA6">
            <w:pPr>
              <w:widowControl w:val="0"/>
              <w:spacing w:line="240" w:lineRule="auto"/>
            </w:pPr>
            <w:r>
              <w:t>Supplier Security SME</w:t>
            </w:r>
          </w:p>
          <w:p w14:paraId="7A14BE63" w14:textId="77777777" w:rsidR="00257AA6" w:rsidRDefault="00257AA6" w:rsidP="00257AA6">
            <w:pPr>
              <w:widowControl w:val="0"/>
              <w:spacing w:line="240" w:lineRule="auto"/>
            </w:pPr>
            <w:r>
              <w:t>Customer Security SME</w:t>
            </w:r>
          </w:p>
        </w:tc>
      </w:tr>
    </w:tbl>
    <w:p w14:paraId="00416971" w14:textId="77777777" w:rsidR="00367FB4" w:rsidRDefault="00367FB4" w:rsidP="00367FB4"/>
    <w:p w14:paraId="6876C55A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17286A87" wp14:editId="39FE4493">
            <wp:extent cx="6013174" cy="384252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74" cy="38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FB78" w14:textId="77777777" w:rsidR="00367FB4" w:rsidRDefault="00367FB4" w:rsidP="00367FB4"/>
    <w:p w14:paraId="0F24F06E" w14:textId="516963BA" w:rsidR="00367FB4" w:rsidRDefault="0043523B" w:rsidP="00367FB4">
      <w:pPr>
        <w:spacing w:after="240"/>
        <w:jc w:val="both"/>
      </w:pPr>
      <w:r>
        <w:t xml:space="preserve">The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supplier</w:t>
      </w:r>
      <w:r w:rsidRPr="0043523B">
        <w:rPr>
          <w:b/>
          <w:bCs/>
        </w:rPr>
        <w:t xml:space="preserve"> reviewed)</w:t>
      </w:r>
      <w:r>
        <w:t xml:space="preserve"> and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customer</w:t>
      </w:r>
      <w:r w:rsidRPr="0043523B">
        <w:rPr>
          <w:b/>
          <w:bCs/>
        </w:rPr>
        <w:t xml:space="preserve"> reviewed)</w:t>
      </w:r>
      <w:r>
        <w:t xml:space="preserve"> are used by the supplier and customer security SMEs to harmonize any differences</w:t>
      </w:r>
      <w:r w:rsidR="00367FB4">
        <w:t>.</w:t>
      </w:r>
      <w:r>
        <w:t xml:space="preserve"> If there are unresolved issues or questions, the harmonized information is fed back into the </w:t>
      </w:r>
      <w:r w:rsidRPr="0043523B">
        <w:rPr>
          <w:b/>
          <w:bCs/>
        </w:rPr>
        <w:t>cybersecurity interface agreement (draft)</w:t>
      </w:r>
      <w:r>
        <w:t xml:space="preserve"> triggering another round of reviews. If there are no unresolved issues or questions, the harmonized information is integrated to </w:t>
      </w:r>
      <w:r w:rsidRPr="0043523B">
        <w:rPr>
          <w:b/>
          <w:bCs/>
        </w:rPr>
        <w:t>create the cybersecurity interface agreement (final)</w:t>
      </w:r>
      <w:r>
        <w:t xml:space="preserve">. This document is the transferred to the </w:t>
      </w:r>
      <w:r w:rsidR="00EC39AD">
        <w:t>document tracking system for</w:t>
      </w:r>
      <w:r>
        <w:t xml:space="preserve"> management sign-off and archiving.</w:t>
      </w:r>
    </w:p>
    <w:p w14:paraId="25F4F6CD" w14:textId="77777777" w:rsidR="00367FB4" w:rsidRDefault="00367FB4">
      <w:pPr>
        <w:rPr>
          <w:sz w:val="40"/>
          <w:szCs w:val="40"/>
        </w:rPr>
      </w:pPr>
      <w:r>
        <w:br w:type="page"/>
      </w:r>
    </w:p>
    <w:p w14:paraId="0000000C" w14:textId="64BDAF67" w:rsidR="00E27AF5" w:rsidRDefault="008C1D59">
      <w:pPr>
        <w:pStyle w:val="Heading1"/>
      </w:pPr>
      <w:r>
        <w:lastRenderedPageBreak/>
        <w:t>References</w:t>
      </w:r>
    </w:p>
    <w:p w14:paraId="041080A6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bookmarkStart w:id="5" w:name="ref_01"/>
      <w:bookmarkEnd w:id="5"/>
      <w:r w:rsidRPr="00B917F4">
        <w:rPr>
          <w:b/>
          <w:bCs/>
        </w:rPr>
        <w:t>UNECE trans WP.29 GRVA 2019 2 - World Forum for Harmonization of Vehicle Regulations: Proposal for a Recommendation on Cyber Security</w:t>
      </w:r>
      <w:r w:rsidRPr="00B917F4">
        <w:br/>
      </w:r>
      <w:hyperlink r:id="rId14" w:history="1">
        <w:r w:rsidRPr="00901FD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https://unece.org/fileadmin/DAM/trans/doc/2019/wp29grva/ECE-TRANS-WP29-GRVA-2019-02e.pdf</w:t>
        </w:r>
      </w:hyperlink>
    </w:p>
    <w:p w14:paraId="08241043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</w:pPr>
      <w:r w:rsidRPr="00B917F4">
        <w:rPr>
          <w:rFonts w:eastAsia="Times New Roman"/>
          <w:b/>
          <w:bCs/>
          <w:lang w:val="en-US"/>
        </w:rPr>
        <w:t>Software Package Data Exchange® (SPDX®)</w:t>
      </w:r>
      <w:r w:rsidRPr="00B917F4">
        <w:rPr>
          <w:rFonts w:eastAsia="Times New Roman"/>
          <w:lang w:val="en-US"/>
        </w:rPr>
        <w:br/>
      </w:r>
      <w:hyperlink r:id="rId15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https://spdx.dev/wp-content/uploads/sites/41/2017/12/spdxversion2.1.pdf</w:t>
        </w:r>
      </w:hyperlink>
      <w:r w:rsidRPr="00B917F4">
        <w:rPr>
          <w:rFonts w:eastAsia="Times New Roman"/>
          <w:color w:val="0000FF"/>
          <w:sz w:val="20"/>
          <w:szCs w:val="20"/>
          <w:lang w:val="en-US"/>
        </w:rPr>
        <w:t xml:space="preserve"> </w:t>
      </w:r>
    </w:p>
    <w:p w14:paraId="6A909767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</w:pPr>
      <w:r w:rsidRPr="00B917F4">
        <w:rPr>
          <w:rFonts w:eastAsia="Times New Roman"/>
          <w:b/>
          <w:bCs/>
          <w:lang w:val="en-US"/>
        </w:rPr>
        <w:t>ISO 19770-2:2015 Information technology - IT asset management - Part 2: Software identification tag</w:t>
      </w:r>
      <w:r w:rsidRPr="00B917F4">
        <w:rPr>
          <w:rFonts w:eastAsia="Times New Roman"/>
          <w:lang w:val="en-US"/>
        </w:rPr>
        <w:br/>
      </w:r>
      <w:hyperlink r:id="rId16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https://www.iso.org/standard/65666.html</w:t>
        </w:r>
      </w:hyperlink>
      <w:r w:rsidRPr="00B917F4">
        <w:rPr>
          <w:rFonts w:eastAsia="Times New Roman"/>
          <w:color w:val="0F54CC"/>
          <w:sz w:val="18"/>
          <w:szCs w:val="20"/>
          <w:lang w:val="en-US"/>
        </w:rPr>
        <w:t xml:space="preserve"> </w:t>
      </w:r>
    </w:p>
    <w:p w14:paraId="480D4C0B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B917F4">
        <w:rPr>
          <w:rFonts w:eastAsia="Times New Roman"/>
          <w:b/>
          <w:bCs/>
          <w:lang w:val="en-US"/>
        </w:rPr>
        <w:t>NIST IR 8060 Guidelines for the Creation of Interoperable Software Identification (SWID) Tags</w:t>
      </w:r>
      <w:r w:rsidRPr="00B917F4">
        <w:rPr>
          <w:rFonts w:eastAsia="Times New Roman"/>
          <w:lang w:val="en-US"/>
        </w:rPr>
        <w:br/>
      </w:r>
      <w:hyperlink r:id="rId17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https://nvlpubs.nist.gov/nistpubs/ir/2016/NIST.IR.8060.pdf</w:t>
        </w:r>
      </w:hyperlink>
    </w:p>
    <w:p w14:paraId="412B24FA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right="-180" w:hanging="450"/>
      </w:pPr>
      <w:r w:rsidRPr="00DC03C5">
        <w:rPr>
          <w:rFonts w:ascii="ArialMT" w:eastAsia="Times New Roman" w:hAnsi="ArialMT"/>
          <w:b/>
          <w:bCs/>
          <w:lang w:val="en-US"/>
        </w:rPr>
        <w:t xml:space="preserve">NIST SP 800-181 </w:t>
      </w:r>
      <w:r w:rsidRPr="00DC03C5">
        <w:rPr>
          <w:rFonts w:eastAsia="Times New Roman"/>
          <w:b/>
          <w:bCs/>
          <w:lang w:val="en-US"/>
        </w:rPr>
        <w:t>NICE Cybersecurity Workforce Framework (NCWF)</w:t>
      </w:r>
      <w:r>
        <w:rPr>
          <w:rFonts w:eastAsia="Times New Roman"/>
          <w:b/>
          <w:bCs/>
          <w:lang w:val="en-US"/>
        </w:rPr>
        <w:br/>
      </w:r>
      <w:hyperlink r:id="rId18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https://nvlpubs.nist.gov/nistpubs/SpecialPublications/NIST.SP.800-181r1.pdf</w:t>
        </w:r>
      </w:hyperlink>
    </w:p>
    <w:p w14:paraId="2F3662A3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DC03C5">
        <w:rPr>
          <w:b/>
          <w:bCs/>
        </w:rPr>
        <w:t>Responsibility Assignment Matrix</w:t>
      </w:r>
      <w:r>
        <w:rPr>
          <w:b/>
          <w:bCs/>
        </w:rPr>
        <w:br/>
      </w:r>
      <w:hyperlink r:id="rId19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https://en.wikipedia.org/wiki/Responsibility_assignment_matrix</w:t>
        </w:r>
      </w:hyperlink>
    </w:p>
    <w:p w14:paraId="5472DC8F" w14:textId="77777777" w:rsidR="00EB4650" w:rsidRPr="00EB4650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DC03C5">
        <w:rPr>
          <w:b/>
          <w:bCs/>
        </w:rPr>
        <w:t>Capability Maturity Model</w:t>
      </w:r>
      <w:r>
        <w:rPr>
          <w:b/>
          <w:bCs/>
        </w:rPr>
        <w:br/>
      </w:r>
      <w:hyperlink r:id="rId20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https://en.wikipedia.org/wiki/Capability_Maturity_Model</w:t>
        </w:r>
      </w:hyperlink>
    </w:p>
    <w:p w14:paraId="55842F84" w14:textId="35B832FD" w:rsidR="00EB4650" w:rsidRPr="00EB4650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>
        <w:rPr>
          <w:b/>
          <w:bCs/>
        </w:rPr>
        <w:t>Software Bill of Materials</w:t>
      </w:r>
      <w:r>
        <w:rPr>
          <w:b/>
          <w:bCs/>
        </w:rPr>
        <w:br/>
      </w:r>
      <w:hyperlink r:id="rId21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https://www.ntia.gov/sbom</w:t>
        </w:r>
      </w:hyperlink>
    </w:p>
    <w:p w14:paraId="59957218" w14:textId="68F14FC6" w:rsidR="0095222D" w:rsidRPr="0095222D" w:rsidRDefault="0095222D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Au</w:t>
      </w:r>
      <w:r w:rsidRPr="0095222D">
        <w:rPr>
          <w:b/>
          <w:bCs/>
        </w:rPr>
        <w:t>tonomou</w:t>
      </w:r>
      <w:r>
        <w:t xml:space="preserve">s </w:t>
      </w:r>
      <w:r w:rsidRPr="0095222D">
        <w:rPr>
          <w:b/>
          <w:bCs/>
        </w:rPr>
        <w:t>Vehicle Cybersecurity Development Lifecycle (AVCDL primary document)</w:t>
      </w:r>
    </w:p>
    <w:p w14:paraId="7688E893" w14:textId="2B12EC5C" w:rsidR="00EB4650" w:rsidRPr="005354FE" w:rsidRDefault="00EB4650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Understanding Cybersecurity Interface Agreements (AVCDL secondary document)</w:t>
      </w:r>
    </w:p>
    <w:p w14:paraId="55F32EB3" w14:textId="77777777" w:rsidR="00857DD8" w:rsidRPr="00857DD8" w:rsidRDefault="005354FE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</w:t>
      </w:r>
      <w:r w:rsidRPr="005354FE">
        <w:rPr>
          <w:b/>
          <w:bCs/>
        </w:rPr>
        <w:t>CDL</w:t>
      </w:r>
      <w:r w:rsidRPr="005354FE">
        <w:t xml:space="preserve"> </w:t>
      </w:r>
      <w:r w:rsidRPr="005354FE">
        <w:rPr>
          <w:b/>
          <w:bCs/>
        </w:rPr>
        <w:t>Cybersecurity Interface Agreement template.xlsx (AVCDL template document)</w:t>
      </w:r>
    </w:p>
    <w:p w14:paraId="37A48F20" w14:textId="77777777" w:rsidR="00857DD8" w:rsidRPr="00857DD8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AVCMDS Worksheet template.xlsx (AVCDL template document)</w:t>
      </w:r>
    </w:p>
    <w:p w14:paraId="1002536D" w14:textId="15EBC432" w:rsidR="005354FE" w:rsidRPr="005354FE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AVCDL vendor CMM template.xlsx (AVCDL template document)</w:t>
      </w:r>
      <w:r w:rsidR="005354FE" w:rsidRPr="005354FE">
        <w:br/>
      </w:r>
    </w:p>
    <w:p w14:paraId="0000000E" w14:textId="77777777" w:rsidR="00E27AF5" w:rsidRDefault="00E27AF5"/>
    <w:p w14:paraId="0000000F" w14:textId="77777777" w:rsidR="00E27AF5" w:rsidRDefault="00E27AF5"/>
    <w:sectPr w:rsidR="00E27AF5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86FB5" w14:textId="77777777" w:rsidR="001A71F9" w:rsidRDefault="001A71F9" w:rsidP="004834EE">
      <w:pPr>
        <w:spacing w:line="240" w:lineRule="auto"/>
      </w:pPr>
      <w:r>
        <w:separator/>
      </w:r>
    </w:p>
  </w:endnote>
  <w:endnote w:type="continuationSeparator" w:id="0">
    <w:p w14:paraId="27E1BD93" w14:textId="77777777" w:rsidR="001A71F9" w:rsidRDefault="001A71F9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79F028" w14:textId="50033A78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99C88" w14:textId="67EAE81D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BE72D" w14:textId="77777777" w:rsidR="001A71F9" w:rsidRDefault="001A71F9" w:rsidP="004834EE">
      <w:pPr>
        <w:spacing w:line="240" w:lineRule="auto"/>
      </w:pPr>
      <w:r>
        <w:separator/>
      </w:r>
    </w:p>
  </w:footnote>
  <w:footnote w:type="continuationSeparator" w:id="0">
    <w:p w14:paraId="42FEABB3" w14:textId="77777777" w:rsidR="001A71F9" w:rsidRDefault="001A71F9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A5C2D"/>
    <w:multiLevelType w:val="hybridMultilevel"/>
    <w:tmpl w:val="E6643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4DCD"/>
    <w:multiLevelType w:val="hybridMultilevel"/>
    <w:tmpl w:val="060C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31AD"/>
    <w:multiLevelType w:val="hybridMultilevel"/>
    <w:tmpl w:val="E04A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6"/>
  </w:num>
  <w:num w:numId="6">
    <w:abstractNumId w:val="2"/>
  </w:num>
  <w:num w:numId="7">
    <w:abstractNumId w:val="3"/>
  </w:num>
  <w:num w:numId="8">
    <w:abstractNumId w:val="1"/>
  </w:num>
  <w:num w:numId="9">
    <w:abstractNumId w:val="15"/>
  </w:num>
  <w:num w:numId="10">
    <w:abstractNumId w:val="8"/>
  </w:num>
  <w:num w:numId="11">
    <w:abstractNumId w:val="9"/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33EB9"/>
    <w:rsid w:val="0005191B"/>
    <w:rsid w:val="0006765E"/>
    <w:rsid w:val="00075464"/>
    <w:rsid w:val="000833AA"/>
    <w:rsid w:val="000A4939"/>
    <w:rsid w:val="000E70FC"/>
    <w:rsid w:val="00102ABC"/>
    <w:rsid w:val="00152F71"/>
    <w:rsid w:val="001A71F9"/>
    <w:rsid w:val="001F087F"/>
    <w:rsid w:val="0020560E"/>
    <w:rsid w:val="00221008"/>
    <w:rsid w:val="00240311"/>
    <w:rsid w:val="002414F2"/>
    <w:rsid w:val="0024776E"/>
    <w:rsid w:val="00257AA6"/>
    <w:rsid w:val="00271DFD"/>
    <w:rsid w:val="002E45F8"/>
    <w:rsid w:val="00303D95"/>
    <w:rsid w:val="00323194"/>
    <w:rsid w:val="00355D32"/>
    <w:rsid w:val="00367FB4"/>
    <w:rsid w:val="0038329C"/>
    <w:rsid w:val="003A42ED"/>
    <w:rsid w:val="003E0EB7"/>
    <w:rsid w:val="003E1867"/>
    <w:rsid w:val="0043523B"/>
    <w:rsid w:val="00453DD6"/>
    <w:rsid w:val="00456EE8"/>
    <w:rsid w:val="00462E8E"/>
    <w:rsid w:val="004834EE"/>
    <w:rsid w:val="00483B61"/>
    <w:rsid w:val="004C0547"/>
    <w:rsid w:val="004C51BA"/>
    <w:rsid w:val="004D3830"/>
    <w:rsid w:val="004E1900"/>
    <w:rsid w:val="005043AA"/>
    <w:rsid w:val="00506EB3"/>
    <w:rsid w:val="005354FE"/>
    <w:rsid w:val="00546820"/>
    <w:rsid w:val="00553128"/>
    <w:rsid w:val="00566342"/>
    <w:rsid w:val="005801D5"/>
    <w:rsid w:val="00587D96"/>
    <w:rsid w:val="00587DCA"/>
    <w:rsid w:val="0059421D"/>
    <w:rsid w:val="005D165D"/>
    <w:rsid w:val="005D1D65"/>
    <w:rsid w:val="005D6AED"/>
    <w:rsid w:val="005E4439"/>
    <w:rsid w:val="00610DE3"/>
    <w:rsid w:val="00622878"/>
    <w:rsid w:val="00640407"/>
    <w:rsid w:val="0064446E"/>
    <w:rsid w:val="00656B09"/>
    <w:rsid w:val="006662B5"/>
    <w:rsid w:val="00681245"/>
    <w:rsid w:val="00683629"/>
    <w:rsid w:val="00692487"/>
    <w:rsid w:val="00693790"/>
    <w:rsid w:val="006D7366"/>
    <w:rsid w:val="006E2C4F"/>
    <w:rsid w:val="00702ACE"/>
    <w:rsid w:val="00713FD1"/>
    <w:rsid w:val="00715F28"/>
    <w:rsid w:val="00720E81"/>
    <w:rsid w:val="0073429F"/>
    <w:rsid w:val="007368AC"/>
    <w:rsid w:val="00787863"/>
    <w:rsid w:val="007F1FD3"/>
    <w:rsid w:val="008159EF"/>
    <w:rsid w:val="00835BEE"/>
    <w:rsid w:val="00857DD8"/>
    <w:rsid w:val="00881EA0"/>
    <w:rsid w:val="0088387F"/>
    <w:rsid w:val="00885117"/>
    <w:rsid w:val="008C1D59"/>
    <w:rsid w:val="008C530D"/>
    <w:rsid w:val="008E62FA"/>
    <w:rsid w:val="00900BB4"/>
    <w:rsid w:val="00924D8E"/>
    <w:rsid w:val="009313E9"/>
    <w:rsid w:val="00934FB7"/>
    <w:rsid w:val="009404D9"/>
    <w:rsid w:val="0094576C"/>
    <w:rsid w:val="00947C9D"/>
    <w:rsid w:val="00950CBB"/>
    <w:rsid w:val="0095222D"/>
    <w:rsid w:val="0096153D"/>
    <w:rsid w:val="009753BC"/>
    <w:rsid w:val="009B7B46"/>
    <w:rsid w:val="009D17CB"/>
    <w:rsid w:val="009D3D6B"/>
    <w:rsid w:val="009E3750"/>
    <w:rsid w:val="00A25950"/>
    <w:rsid w:val="00A6765C"/>
    <w:rsid w:val="00A933C4"/>
    <w:rsid w:val="00AC1576"/>
    <w:rsid w:val="00B023DF"/>
    <w:rsid w:val="00B03BD9"/>
    <w:rsid w:val="00B11197"/>
    <w:rsid w:val="00B14B28"/>
    <w:rsid w:val="00B33D4E"/>
    <w:rsid w:val="00B41D4E"/>
    <w:rsid w:val="00B46F10"/>
    <w:rsid w:val="00B667CA"/>
    <w:rsid w:val="00B85158"/>
    <w:rsid w:val="00B917F4"/>
    <w:rsid w:val="00B93D6D"/>
    <w:rsid w:val="00BD2EA3"/>
    <w:rsid w:val="00C01829"/>
    <w:rsid w:val="00C0601C"/>
    <w:rsid w:val="00C13D3D"/>
    <w:rsid w:val="00C31651"/>
    <w:rsid w:val="00C5366D"/>
    <w:rsid w:val="00C5541E"/>
    <w:rsid w:val="00CD06D9"/>
    <w:rsid w:val="00CD45C6"/>
    <w:rsid w:val="00CE0F64"/>
    <w:rsid w:val="00CE23FB"/>
    <w:rsid w:val="00CE63D3"/>
    <w:rsid w:val="00D46690"/>
    <w:rsid w:val="00D46A2F"/>
    <w:rsid w:val="00D50EDA"/>
    <w:rsid w:val="00D53F85"/>
    <w:rsid w:val="00D54FD3"/>
    <w:rsid w:val="00D602F9"/>
    <w:rsid w:val="00D7289D"/>
    <w:rsid w:val="00DB0ECE"/>
    <w:rsid w:val="00DC03C5"/>
    <w:rsid w:val="00DD7533"/>
    <w:rsid w:val="00DF1522"/>
    <w:rsid w:val="00DF2FD8"/>
    <w:rsid w:val="00DF6793"/>
    <w:rsid w:val="00E11AC0"/>
    <w:rsid w:val="00E13278"/>
    <w:rsid w:val="00E27AF5"/>
    <w:rsid w:val="00E37C60"/>
    <w:rsid w:val="00E55008"/>
    <w:rsid w:val="00EB141B"/>
    <w:rsid w:val="00EB4650"/>
    <w:rsid w:val="00EC39AD"/>
    <w:rsid w:val="00F002DA"/>
    <w:rsid w:val="00F401B6"/>
    <w:rsid w:val="00F50613"/>
    <w:rsid w:val="00F5091C"/>
    <w:rsid w:val="00F62B82"/>
    <w:rsid w:val="00F73886"/>
    <w:rsid w:val="00F86782"/>
    <w:rsid w:val="00FA113E"/>
    <w:rsid w:val="00FB58DF"/>
    <w:rsid w:val="00FC2D93"/>
    <w:rsid w:val="00FC6F1B"/>
    <w:rsid w:val="00FD013C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nvlpubs.nist.gov/nistpubs/SpecialPublications/NIST.SP.800-181r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tia.gov/sb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nvlpubs.nist.gov/nistpubs/ir/2016/NIST.IR.8060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so.org/standard/65666.html" TargetMode="External"/><Relationship Id="rId20" Type="http://schemas.openxmlformats.org/officeDocument/2006/relationships/hyperlink" Target="https://en.wikipedia.org/wiki/Capability_Maturity_Mod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pdx.dev/wp-content/uploads/sites/41/2017/12/spdxversion2.1.pdf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Responsibility_assignment_matri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nece.org/fileadmin/DAM/trans/doc/2019/wp29grva/ECE-TRANS-WP29-GRVA-2019-02e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833</Words>
  <Characters>5066</Characters>
  <Application>Microsoft Office Word</Application>
  <DocSecurity>0</DocSecurity>
  <Lines>105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Interface Agreement</vt:lpstr>
    </vt:vector>
  </TitlesOfParts>
  <Manager/>
  <Company>Motional</Company>
  <LinksUpToDate>false</LinksUpToDate>
  <CharactersWithSpaces>5828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Interface Agreement</dc:title>
  <dc:subject>cybersecurity interface agreement</dc:subject>
  <dc:creator>Charles Wilson</dc:creator>
  <cp:keywords/>
  <dc:description>This work was created by Motional and is licensed under the Creative Commons Attribution-Share Alike (CC4-SA) License.
https://creativecommons.org/licenses/by/4.0/legalcode
</dc:description>
  <cp:lastModifiedBy>Wilson, Charles</cp:lastModifiedBy>
  <cp:revision>6</cp:revision>
  <cp:lastPrinted>2022-01-04T19:32:00Z</cp:lastPrinted>
  <dcterms:created xsi:type="dcterms:W3CDTF">2022-01-04T19:32:00Z</dcterms:created>
  <dcterms:modified xsi:type="dcterms:W3CDTF">2022-01-05T13:46:00Z</dcterms:modified>
  <cp:category/>
</cp:coreProperties>
</file>