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B0CC0" w14:textId="1CBB8174" w:rsidR="009D7900" w:rsidRDefault="009D7900" w:rsidP="00240A6A">
      <w:pPr>
        <w:pStyle w:val="Heading1"/>
      </w:pPr>
      <w:r>
        <w:t>Title</w:t>
      </w:r>
    </w:p>
    <w:p w14:paraId="539AE0FC" w14:textId="5D939CEB" w:rsidR="00A97E4D" w:rsidRDefault="00A97E4D" w:rsidP="00513064">
      <w:pPr>
        <w:jc w:val="both"/>
      </w:pPr>
      <w:r>
        <w:t>I’m Charles Wilson</w:t>
      </w:r>
      <w:r w:rsidR="001C5234">
        <w:t>,</w:t>
      </w:r>
      <w:r>
        <w:t xml:space="preserve"> Senior Principal Engineer </w:t>
      </w:r>
      <w:r w:rsidR="001C5234">
        <w:t xml:space="preserve">at Motional responsible </w:t>
      </w:r>
      <w:r>
        <w:t xml:space="preserve">for </w:t>
      </w:r>
      <w:r w:rsidR="006A409C">
        <w:t xml:space="preserve">the </w:t>
      </w:r>
      <w:r>
        <w:t>cybersecurity development lifecycle practice</w:t>
      </w:r>
      <w:r w:rsidR="001C5234">
        <w:t>. T</w:t>
      </w:r>
      <w:r>
        <w:t>his presentation will cover the AVCDL supply chain overview.</w:t>
      </w:r>
    </w:p>
    <w:p w14:paraId="52FEF49E" w14:textId="5F6F691D" w:rsidR="009D7900" w:rsidRDefault="00240A6A" w:rsidP="00240A6A">
      <w:pPr>
        <w:pStyle w:val="Heading1"/>
      </w:pPr>
      <w:r>
        <w:t>Supply Chain Training Path</w:t>
      </w:r>
    </w:p>
    <w:p w14:paraId="6214907D" w14:textId="701CA2EE" w:rsidR="00A97E4D" w:rsidRDefault="002C1A84" w:rsidP="00513064">
      <w:pPr>
        <w:jc w:val="both"/>
      </w:pPr>
      <w:r>
        <w:t>Here we see</w:t>
      </w:r>
      <w:r w:rsidR="00A97E4D">
        <w:t xml:space="preserve"> the </w:t>
      </w:r>
      <w:r w:rsidR="001C5234">
        <w:t xml:space="preserve">AVCDL </w:t>
      </w:r>
      <w:r w:rsidR="00A97E4D">
        <w:t>supply chain training path. At the top is the supply chain overview which is this presentation. Additional trainings will cover manufacture disclosure statement</w:t>
      </w:r>
      <w:r w:rsidR="00F741CF">
        <w:t>s</w:t>
      </w:r>
      <w:r w:rsidR="00A97E4D">
        <w:t xml:space="preserve"> (the AVCMDS), supplier</w:t>
      </w:r>
      <w:r w:rsidR="001C5234">
        <w:t xml:space="preserve"> cybersecurity</w:t>
      </w:r>
      <w:r w:rsidR="00A97E4D">
        <w:t xml:space="preserve"> maturity, vendor </w:t>
      </w:r>
      <w:r w:rsidR="001C5234">
        <w:t xml:space="preserve">cybersecurity </w:t>
      </w:r>
      <w:r w:rsidR="00A97E4D">
        <w:t>process</w:t>
      </w:r>
      <w:r w:rsidR="001C5234">
        <w:t xml:space="preserve"> to AVCDL</w:t>
      </w:r>
      <w:r w:rsidR="00A97E4D">
        <w:t xml:space="preserve"> mapping, </w:t>
      </w:r>
      <w:r w:rsidR="001C5234">
        <w:t>cyber</w:t>
      </w:r>
      <w:r w:rsidR="00A97E4D">
        <w:t>security requirements, tailoring the cybersecurity interface agreement, service level agreements</w:t>
      </w:r>
      <w:r w:rsidR="001C5234">
        <w:t xml:space="preserve"> (SLAs)</w:t>
      </w:r>
      <w:r w:rsidR="00A97E4D">
        <w:t>, software bill of materials</w:t>
      </w:r>
      <w:r w:rsidR="001C5234">
        <w:t xml:space="preserve"> (SBOM)</w:t>
      </w:r>
      <w:r w:rsidR="00A97E4D">
        <w:t>, attack surface analysis, and threat modeling.</w:t>
      </w:r>
    </w:p>
    <w:p w14:paraId="2C31DD0A" w14:textId="08484EB7" w:rsidR="009D7900" w:rsidRDefault="00240A6A" w:rsidP="00240A6A">
      <w:pPr>
        <w:pStyle w:val="Heading1"/>
      </w:pPr>
      <w:r>
        <w:t>Cybersecurity Standards and Regulations Ecosystem</w:t>
      </w:r>
    </w:p>
    <w:p w14:paraId="690EF898" w14:textId="37083F92" w:rsidR="00A97E4D" w:rsidRDefault="00A97E4D" w:rsidP="00513064">
      <w:pPr>
        <w:jc w:val="both"/>
      </w:pPr>
      <w:r>
        <w:t>Cybersecurity doesn’t exist in a vacuum. Here we can see how the international standards and regulations</w:t>
      </w:r>
      <w:r w:rsidR="001C5234">
        <w:t xml:space="preserve"> can be combined to</w:t>
      </w:r>
      <w:r>
        <w:t xml:space="preserve"> form an ecosystem. </w:t>
      </w:r>
      <w:r w:rsidR="001C5234">
        <w:t>The foundation of this ecosystem</w:t>
      </w:r>
      <w:r>
        <w:t xml:space="preserve"> </w:t>
      </w:r>
      <w:r w:rsidR="001C5234">
        <w:t>is</w:t>
      </w:r>
      <w:r>
        <w:t xml:space="preserve"> the quality management system (how documents are recorded and tracked). </w:t>
      </w:r>
      <w:r w:rsidR="001C5234">
        <w:t>Continuing upward, we have</w:t>
      </w:r>
      <w:r>
        <w:t xml:space="preserve"> the systems development lifecycle followed by the software development lifecycle</w:t>
      </w:r>
      <w:r w:rsidR="00994262">
        <w:t xml:space="preserve">. Above that we have ISO 21434 for </w:t>
      </w:r>
      <w:r w:rsidR="001C5234">
        <w:t xml:space="preserve">road vehicle </w:t>
      </w:r>
      <w:r w:rsidR="00994262">
        <w:t xml:space="preserve">cybersecurity engineering and ISO 24089 </w:t>
      </w:r>
      <w:r w:rsidR="001C5234">
        <w:t xml:space="preserve">covering </w:t>
      </w:r>
      <w:r w:rsidR="001A255B">
        <w:t xml:space="preserve">road vehicle </w:t>
      </w:r>
      <w:r w:rsidR="00994262">
        <w:t>software update</w:t>
      </w:r>
      <w:r w:rsidR="001A255B">
        <w:t xml:space="preserve"> engineering</w:t>
      </w:r>
      <w:r w:rsidR="00994262">
        <w:t>. These two form the basis for the UNECE regulations 155 and 156 covering the cybersecurity management systems</w:t>
      </w:r>
      <w:r w:rsidR="001A255B">
        <w:t xml:space="preserve"> (CSMS)</w:t>
      </w:r>
      <w:r w:rsidR="00994262">
        <w:t xml:space="preserve"> </w:t>
      </w:r>
      <w:r w:rsidR="00F741CF">
        <w:t>and</w:t>
      </w:r>
      <w:r w:rsidR="00994262">
        <w:t xml:space="preserve"> software update management systems</w:t>
      </w:r>
      <w:r w:rsidR="001A255B">
        <w:t xml:space="preserve"> (SUMS)</w:t>
      </w:r>
      <w:r w:rsidR="00994262">
        <w:t xml:space="preserve"> respectively. Finally, the </w:t>
      </w:r>
      <w:r w:rsidR="001A255B">
        <w:t>latest</w:t>
      </w:r>
      <w:r w:rsidR="00994262">
        <w:t xml:space="preserve"> from the UNECE is the Ares proposal which will address automated driving systems</w:t>
      </w:r>
      <w:r w:rsidR="001A255B">
        <w:t xml:space="preserve"> (ADS)</w:t>
      </w:r>
      <w:r w:rsidR="00994262">
        <w:t>. It’s a superset of R155 and 156.</w:t>
      </w:r>
    </w:p>
    <w:p w14:paraId="03BF7267" w14:textId="756ABA2A" w:rsidR="00240A6A" w:rsidRDefault="00240A6A" w:rsidP="00240A6A">
      <w:pPr>
        <w:pStyle w:val="Heading1"/>
      </w:pPr>
      <w:r>
        <w:t>R155 At a Glance</w:t>
      </w:r>
    </w:p>
    <w:p w14:paraId="6460F861" w14:textId="77777777" w:rsidR="008B43A9" w:rsidRDefault="001A255B" w:rsidP="008B43A9">
      <w:pPr>
        <w:spacing w:after="240"/>
        <w:jc w:val="both"/>
      </w:pPr>
      <w:r>
        <w:t>Let’s consider the</w:t>
      </w:r>
      <w:r w:rsidR="00994262">
        <w:t xml:space="preserve"> </w:t>
      </w:r>
      <w:r>
        <w:t>general categories covered by</w:t>
      </w:r>
      <w:r w:rsidR="00994262">
        <w:t xml:space="preserve"> UNECE</w:t>
      </w:r>
      <w:r w:rsidR="00F741CF">
        <w:t xml:space="preserve"> </w:t>
      </w:r>
      <w:r w:rsidR="00994262">
        <w:t>R15</w:t>
      </w:r>
      <w:r>
        <w:t>5</w:t>
      </w:r>
      <w:r w:rsidR="00931FC3">
        <w:t>.</w:t>
      </w:r>
      <w:r w:rsidR="00994262">
        <w:t xml:space="preserve"> </w:t>
      </w:r>
      <w:r w:rsidR="00931FC3">
        <w:t>T</w:t>
      </w:r>
      <w:r w:rsidR="00994262">
        <w:t xml:space="preserve">he first is general </w:t>
      </w:r>
      <w:r w:rsidR="00A4221D">
        <w:t xml:space="preserve">boilerplate </w:t>
      </w:r>
      <w:r w:rsidR="00F85785">
        <w:t xml:space="preserve">material </w:t>
      </w:r>
      <w:r w:rsidR="00A4221D">
        <w:t>applied to all</w:t>
      </w:r>
      <w:r w:rsidR="00994262">
        <w:t xml:space="preserve"> UNECE </w:t>
      </w:r>
      <w:r w:rsidR="00A4221D">
        <w:t>regulations</w:t>
      </w:r>
      <w:r w:rsidR="00931FC3">
        <w:t>.</w:t>
      </w:r>
      <w:r w:rsidR="00994262">
        <w:t xml:space="preserve"> </w:t>
      </w:r>
      <w:r w:rsidR="00931FC3">
        <w:t>T</w:t>
      </w:r>
      <w:r w:rsidR="00994262">
        <w:t xml:space="preserve">he second is the </w:t>
      </w:r>
      <w:r w:rsidR="00931FC3">
        <w:t>c</w:t>
      </w:r>
      <w:r w:rsidR="00994262">
        <w:t xml:space="preserve">ybersecurity management system or </w:t>
      </w:r>
      <w:r w:rsidR="00931FC3">
        <w:t>C</w:t>
      </w:r>
      <w:r w:rsidR="00994262">
        <w:t>SMS which deals with the product creation process</w:t>
      </w:r>
      <w:r w:rsidR="008B43A9">
        <w:t>es</w:t>
      </w:r>
      <w:r w:rsidR="00931FC3">
        <w:t>.</w:t>
      </w:r>
      <w:r w:rsidR="00994262">
        <w:t xml:space="preserve"> </w:t>
      </w:r>
      <w:r w:rsidR="00931FC3">
        <w:t>T</w:t>
      </w:r>
      <w:r w:rsidR="00994262">
        <w:t>he third</w:t>
      </w:r>
      <w:r w:rsidR="00931FC3">
        <w:t>,</w:t>
      </w:r>
      <w:r w:rsidR="00994262">
        <w:t xml:space="preserve"> vehicle type </w:t>
      </w:r>
      <w:r w:rsidR="008B43A9">
        <w:t>covers</w:t>
      </w:r>
      <w:r w:rsidR="00994262">
        <w:t xml:space="preserve"> product operation processes</w:t>
      </w:r>
      <w:r w:rsidR="00931FC3">
        <w:t>.</w:t>
      </w:r>
      <w:r w:rsidR="00994262">
        <w:t xml:space="preserve"> </w:t>
      </w:r>
      <w:r w:rsidR="00F85785">
        <w:t>F</w:t>
      </w:r>
      <w:r w:rsidR="00994262">
        <w:t>o</w:t>
      </w:r>
      <w:r w:rsidR="00F85785">
        <w:t>u</w:t>
      </w:r>
      <w:r w:rsidR="00994262">
        <w:t>rth</w:t>
      </w:r>
      <w:r w:rsidR="00F85785">
        <w:t xml:space="preserve"> is</w:t>
      </w:r>
      <w:r w:rsidR="00994262">
        <w:t xml:space="preserve"> reporting which deals with product issue processes</w:t>
      </w:r>
      <w:r w:rsidR="00931FC3">
        <w:t>.</w:t>
      </w:r>
    </w:p>
    <w:p w14:paraId="28D17E6D" w14:textId="1A6F2855" w:rsidR="00994262" w:rsidRDefault="008B43A9" w:rsidP="006D61E7">
      <w:pPr>
        <w:spacing w:after="240"/>
        <w:jc w:val="both"/>
      </w:pPr>
      <w:r>
        <w:t xml:space="preserve">It’s important to note that </w:t>
      </w:r>
      <w:r w:rsidR="00931FC3">
        <w:t>R</w:t>
      </w:r>
      <w:r w:rsidR="00994262">
        <w:t>155 doesn’t just focus on the OEM</w:t>
      </w:r>
      <w:r w:rsidR="00931FC3">
        <w:t>,</w:t>
      </w:r>
      <w:r w:rsidR="00994262">
        <w:t xml:space="preserve"> although </w:t>
      </w:r>
      <w:r w:rsidR="00F85785">
        <w:t>the OEM</w:t>
      </w:r>
      <w:r w:rsidR="00994262">
        <w:t xml:space="preserve"> is primarily responsible for ensuring compliance</w:t>
      </w:r>
      <w:r w:rsidR="00931FC3">
        <w:t>.</w:t>
      </w:r>
      <w:r w:rsidR="00994262">
        <w:t xml:space="preserve"> </w:t>
      </w:r>
      <w:r w:rsidR="00931FC3">
        <w:t>T</w:t>
      </w:r>
      <w:r w:rsidR="00994262">
        <w:t>here is an expectation with</w:t>
      </w:r>
      <w:r w:rsidR="00F85785">
        <w:t>i</w:t>
      </w:r>
      <w:r w:rsidR="00994262">
        <w:t>n R155 that the entire supply chain conforms to the regulation</w:t>
      </w:r>
      <w:r w:rsidR="00931FC3">
        <w:t>,</w:t>
      </w:r>
      <w:r w:rsidR="00994262">
        <w:t xml:space="preserve"> regardless of the supplier tier.</w:t>
      </w:r>
    </w:p>
    <w:p w14:paraId="77027D0A" w14:textId="77777777" w:rsidR="00E11C23" w:rsidRDefault="00E11C2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E5B1B5" w14:textId="71A58C41" w:rsidR="00240A6A" w:rsidRDefault="00240A6A" w:rsidP="00240A6A">
      <w:pPr>
        <w:pStyle w:val="Heading1"/>
      </w:pPr>
      <w:r>
        <w:lastRenderedPageBreak/>
        <w:t>R155 Supply Chain Scope</w:t>
      </w:r>
    </w:p>
    <w:p w14:paraId="6C2BD6E9" w14:textId="02F29ACE" w:rsidR="00E11C23" w:rsidRDefault="00931FC3" w:rsidP="00E11C23">
      <w:pPr>
        <w:spacing w:after="240"/>
        <w:jc w:val="both"/>
      </w:pPr>
      <w:r>
        <w:t xml:space="preserve">Here we see an illustration </w:t>
      </w:r>
      <w:r w:rsidR="003D5C79">
        <w:t>of a portion of the</w:t>
      </w:r>
      <w:r w:rsidR="00994262">
        <w:t xml:space="preserve"> R155 supply chain </w:t>
      </w:r>
      <w:r w:rsidR="00E11C23">
        <w:t>showing various information flows</w:t>
      </w:r>
      <w:r>
        <w:t>.</w:t>
      </w:r>
      <w:r w:rsidR="00994262">
        <w:t xml:space="preserve"> </w:t>
      </w:r>
      <w:r w:rsidR="00E11C23">
        <w:t>T</w:t>
      </w:r>
      <w:r w:rsidR="00994262">
        <w:t xml:space="preserve">he OEM generates requirements for its tier </w:t>
      </w:r>
      <w:r w:rsidR="00774337">
        <w:t>1</w:t>
      </w:r>
      <w:r w:rsidR="00E11C23">
        <w:t xml:space="preserve"> supplier</w:t>
      </w:r>
      <w:r w:rsidR="00774337">
        <w:t>s.</w:t>
      </w:r>
      <w:r w:rsidR="00994262">
        <w:t xml:space="preserve"> </w:t>
      </w:r>
      <w:r w:rsidR="00774337">
        <w:t>T</w:t>
      </w:r>
      <w:r w:rsidR="00994262">
        <w:t>he</w:t>
      </w:r>
      <w:r w:rsidR="00E11C23">
        <w:t xml:space="preserve"> tier 1 suppliers</w:t>
      </w:r>
      <w:r w:rsidR="00994262">
        <w:t xml:space="preserve"> </w:t>
      </w:r>
      <w:r w:rsidR="009D7900" w:rsidRPr="00E11C23">
        <w:rPr>
          <w:color w:val="000000" w:themeColor="text1"/>
        </w:rPr>
        <w:t xml:space="preserve">in turn </w:t>
      </w:r>
      <w:r w:rsidR="00994262" w:rsidRPr="00E11C23">
        <w:rPr>
          <w:color w:val="000000" w:themeColor="text1"/>
        </w:rPr>
        <w:t xml:space="preserve">generate </w:t>
      </w:r>
      <w:r w:rsidR="00994262">
        <w:t>requirements for all of their lower tier suppliers</w:t>
      </w:r>
      <w:r w:rsidR="00774337">
        <w:t>.</w:t>
      </w:r>
      <w:r w:rsidR="00994262">
        <w:t xml:space="preserve"> </w:t>
      </w:r>
      <w:r w:rsidR="00E11C23">
        <w:t>All</w:t>
      </w:r>
      <w:r w:rsidR="00994262">
        <w:t xml:space="preserve"> suppliers </w:t>
      </w:r>
      <w:r w:rsidR="00E11C23">
        <w:t>are</w:t>
      </w:r>
      <w:r w:rsidR="00994262">
        <w:t xml:space="preserve"> expected to provide evidence suppor</w:t>
      </w:r>
      <w:r w:rsidR="00E11C23">
        <w:t>ting</w:t>
      </w:r>
      <w:r w:rsidR="00994262">
        <w:t xml:space="preserve"> their </w:t>
      </w:r>
      <w:r w:rsidR="00E11C23">
        <w:t>fulfillment</w:t>
      </w:r>
      <w:r w:rsidR="00994262">
        <w:t xml:space="preserve"> of the requirements and their compliance with </w:t>
      </w:r>
      <w:r w:rsidR="00774337">
        <w:t>R</w:t>
      </w:r>
      <w:r w:rsidR="00994262">
        <w:t>155</w:t>
      </w:r>
      <w:r w:rsidR="00774337">
        <w:t>.</w:t>
      </w:r>
      <w:r w:rsidR="00994262">
        <w:t xml:space="preserve"> </w:t>
      </w:r>
      <w:r w:rsidR="00E11C23">
        <w:t xml:space="preserve">This evidence accumulates as it </w:t>
      </w:r>
      <w:r w:rsidR="00994262">
        <w:t>feed</w:t>
      </w:r>
      <w:r w:rsidR="00E11C23">
        <w:t>s</w:t>
      </w:r>
      <w:r w:rsidR="00994262">
        <w:t xml:space="preserve"> up</w:t>
      </w:r>
      <w:r w:rsidR="00E11C23">
        <w:t xml:space="preserve"> the supply chain</w:t>
      </w:r>
      <w:r w:rsidR="00774337">
        <w:t>.</w:t>
      </w:r>
      <w:r w:rsidR="00994262">
        <w:t xml:space="preserve"> </w:t>
      </w:r>
      <w:r w:rsidR="00774337">
        <w:t>E</w:t>
      </w:r>
      <w:r w:rsidR="00994262">
        <w:t>ventually</w:t>
      </w:r>
      <w:r w:rsidR="00774337">
        <w:t>,</w:t>
      </w:r>
      <w:r w:rsidR="00994262">
        <w:t xml:space="preserve"> when the product is ready for certification</w:t>
      </w:r>
      <w:r w:rsidR="00774337">
        <w:t>,</w:t>
      </w:r>
      <w:r w:rsidR="00994262">
        <w:t xml:space="preserve"> the OEM </w:t>
      </w:r>
      <w:r w:rsidR="00E11C23">
        <w:t>organizes the accumulated</w:t>
      </w:r>
      <w:r w:rsidR="00994262">
        <w:t xml:space="preserve"> evidence</w:t>
      </w:r>
      <w:r w:rsidR="00E11C23">
        <w:t xml:space="preserve"> </w:t>
      </w:r>
      <w:r w:rsidR="00994262">
        <w:t>and provides it to the approval authority</w:t>
      </w:r>
      <w:r w:rsidR="00E11C23">
        <w:t>.</w:t>
      </w:r>
    </w:p>
    <w:p w14:paraId="0A3904FE" w14:textId="65A9AA7B" w:rsidR="00994262" w:rsidRDefault="00E11C23" w:rsidP="00513064">
      <w:pPr>
        <w:jc w:val="both"/>
      </w:pPr>
      <w:r>
        <w:t>If the evidence is compelling, t</w:t>
      </w:r>
      <w:r w:rsidR="00994262">
        <w:t>he approval authority provides an approval of the type to the OEM</w:t>
      </w:r>
      <w:r w:rsidR="00774337">
        <w:t>.</w:t>
      </w:r>
      <w:r w:rsidR="00994262">
        <w:t xml:space="preserve"> </w:t>
      </w:r>
      <w:r>
        <w:t>M</w:t>
      </w:r>
      <w:r w:rsidR="00994262">
        <w:t>easure</w:t>
      </w:r>
      <w:r>
        <w:t>ment</w:t>
      </w:r>
      <w:r w:rsidR="00994262">
        <w:t xml:space="preserve"> and </w:t>
      </w:r>
      <w:r>
        <w:t>control of requirements and evidence</w:t>
      </w:r>
      <w:r w:rsidR="00994262">
        <w:t xml:space="preserve"> is </w:t>
      </w:r>
      <w:r>
        <w:t>established in</w:t>
      </w:r>
      <w:r w:rsidR="00994262">
        <w:t xml:space="preserve"> the agreements between each customer and their supplier regardless of th</w:t>
      </w:r>
      <w:r>
        <w:t>eir position in the supply chain</w:t>
      </w:r>
      <w:r w:rsidR="009D7900">
        <w:t>.</w:t>
      </w:r>
      <w:r w:rsidR="00994262">
        <w:t xml:space="preserve"> </w:t>
      </w:r>
      <w:r w:rsidR="009D7900">
        <w:t>T</w:t>
      </w:r>
      <w:r w:rsidR="00994262">
        <w:t>he controlling agreement with</w:t>
      </w:r>
      <w:r w:rsidR="009D7900">
        <w:t>in</w:t>
      </w:r>
      <w:r w:rsidR="00994262">
        <w:t xml:space="preserve"> the context</w:t>
      </w:r>
      <w:r w:rsidR="009D7900">
        <w:t xml:space="preserve"> of ISO 21434 is called </w:t>
      </w:r>
      <w:r w:rsidR="00C87031">
        <w:t>the</w:t>
      </w:r>
      <w:r w:rsidR="009D7900">
        <w:t xml:space="preserve"> cybersecurity interface agreement</w:t>
      </w:r>
      <w:r>
        <w:t xml:space="preserve"> or CIA</w:t>
      </w:r>
      <w:r w:rsidR="00994262">
        <w:t>.</w:t>
      </w:r>
    </w:p>
    <w:p w14:paraId="1BB52962" w14:textId="77777777" w:rsidR="00092D9D" w:rsidRDefault="00092D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B010DEA" w14:textId="73944F5A" w:rsidR="009D7900" w:rsidRDefault="009D7900" w:rsidP="00240A6A">
      <w:pPr>
        <w:pStyle w:val="Heading1"/>
      </w:pPr>
      <w:r>
        <w:lastRenderedPageBreak/>
        <w:t>R155 Requirements</w:t>
      </w:r>
    </w:p>
    <w:p w14:paraId="0985E86C" w14:textId="77777777" w:rsidR="00FC1C77" w:rsidRDefault="00E11C23" w:rsidP="00FC1C77">
      <w:pPr>
        <w:spacing w:after="240"/>
        <w:jc w:val="both"/>
      </w:pPr>
      <w:r>
        <w:t>Implementation of</w:t>
      </w:r>
      <w:r w:rsidR="00994262">
        <w:t xml:space="preserve"> </w:t>
      </w:r>
      <w:r w:rsidR="009D7900">
        <w:t>R</w:t>
      </w:r>
      <w:r w:rsidR="00994262">
        <w:t>155</w:t>
      </w:r>
      <w:r>
        <w:t xml:space="preserve"> can be divided into </w:t>
      </w:r>
      <w:r w:rsidR="00994262">
        <w:t>four areas</w:t>
      </w:r>
      <w:r w:rsidR="009D7900">
        <w:t>.</w:t>
      </w:r>
    </w:p>
    <w:p w14:paraId="5813A213" w14:textId="3C165F7D" w:rsidR="00315390" w:rsidRDefault="009D7900" w:rsidP="00FC1C77">
      <w:pPr>
        <w:spacing w:after="240"/>
        <w:jc w:val="both"/>
      </w:pPr>
      <w:r>
        <w:t>T</w:t>
      </w:r>
      <w:r w:rsidR="00994262">
        <w:t>he first is fundamentals</w:t>
      </w:r>
      <w:r>
        <w:t>.</w:t>
      </w:r>
      <w:r w:rsidR="00994262">
        <w:t xml:space="preserve"> </w:t>
      </w:r>
      <w:r>
        <w:t>T</w:t>
      </w:r>
      <w:r w:rsidR="00994262">
        <w:t>his area is concern</w:t>
      </w:r>
      <w:r w:rsidR="00FC1C77">
        <w:t>ed with</w:t>
      </w:r>
      <w:r w:rsidR="00994262">
        <w:t xml:space="preserve"> management systems</w:t>
      </w:r>
      <w:r>
        <w:t>.</w:t>
      </w:r>
      <w:r w:rsidR="00994262">
        <w:t xml:space="preserve"> </w:t>
      </w:r>
      <w:r>
        <w:t>T</w:t>
      </w:r>
      <w:r w:rsidR="00994262">
        <w:t>he</w:t>
      </w:r>
      <w:r w:rsidR="00FC1C77">
        <w:t>se systems</w:t>
      </w:r>
      <w:r w:rsidR="00994262">
        <w:t xml:space="preserve"> track and document the evidence we have for the various activities we do</w:t>
      </w:r>
      <w:r>
        <w:t>.</w:t>
      </w:r>
      <w:r w:rsidR="00994262">
        <w:t xml:space="preserve"> </w:t>
      </w:r>
      <w:r w:rsidR="00FC1C77">
        <w:t>Management systems are expected to exist for</w:t>
      </w:r>
      <w:r w:rsidR="00994262">
        <w:t xml:space="preserve"> development</w:t>
      </w:r>
      <w:r>
        <w:t>,</w:t>
      </w:r>
      <w:r w:rsidR="00994262">
        <w:t xml:space="preserve"> production</w:t>
      </w:r>
      <w:r>
        <w:t>,</w:t>
      </w:r>
      <w:r w:rsidR="00994262">
        <w:t xml:space="preserve"> and postproduction</w:t>
      </w:r>
      <w:r w:rsidR="00FC1C77">
        <w:t xml:space="preserve"> activities</w:t>
      </w:r>
      <w:r>
        <w:t>.</w:t>
      </w:r>
    </w:p>
    <w:p w14:paraId="15055B49" w14:textId="328FBEE6" w:rsidR="00315390" w:rsidRDefault="009D7900" w:rsidP="00FC1C77">
      <w:pPr>
        <w:spacing w:after="240"/>
        <w:jc w:val="both"/>
      </w:pPr>
      <w:r>
        <w:t xml:space="preserve">The </w:t>
      </w:r>
      <w:r w:rsidR="00994262">
        <w:t>second area is product development</w:t>
      </w:r>
      <w:r>
        <w:t>.</w:t>
      </w:r>
      <w:r w:rsidR="00994262">
        <w:t xml:space="preserve"> </w:t>
      </w:r>
      <w:r>
        <w:t>I</w:t>
      </w:r>
      <w:r w:rsidR="00994262">
        <w:t xml:space="preserve">n this area </w:t>
      </w:r>
      <w:r w:rsidR="00FC1C77">
        <w:t>deals with</w:t>
      </w:r>
      <w:r w:rsidR="00994262">
        <w:t xml:space="preserve"> risk identification</w:t>
      </w:r>
      <w:r>
        <w:t>,</w:t>
      </w:r>
      <w:r w:rsidR="00994262">
        <w:t xml:space="preserve"> assessment</w:t>
      </w:r>
      <w:r>
        <w:t>,</w:t>
      </w:r>
      <w:r w:rsidR="00994262">
        <w:t xml:space="preserve"> and treatment</w:t>
      </w:r>
      <w:r>
        <w:t>;</w:t>
      </w:r>
      <w:r w:rsidR="00994262">
        <w:t xml:space="preserve"> the verification of the management of risk</w:t>
      </w:r>
      <w:r>
        <w:t>;</w:t>
      </w:r>
      <w:r w:rsidR="00994262">
        <w:t xml:space="preserve"> </w:t>
      </w:r>
      <w:r>
        <w:t>c</w:t>
      </w:r>
      <w:r w:rsidR="00994262">
        <w:t>ybersecurity testing</w:t>
      </w:r>
      <w:r>
        <w:t>;</w:t>
      </w:r>
      <w:r w:rsidR="00994262">
        <w:t xml:space="preserve"> and most importantly</w:t>
      </w:r>
      <w:r>
        <w:t>,</w:t>
      </w:r>
      <w:r w:rsidR="00994262">
        <w:t xml:space="preserve"> the freshness of the risk assessment</w:t>
      </w:r>
      <w:r>
        <w:t>.</w:t>
      </w:r>
      <w:r w:rsidR="00994262">
        <w:t xml:space="preserve"> </w:t>
      </w:r>
      <w:r w:rsidRPr="00FC1C77">
        <w:rPr>
          <w:color w:val="000000" w:themeColor="text1"/>
        </w:rPr>
        <w:t xml:space="preserve">It’s critical </w:t>
      </w:r>
      <w:r>
        <w:t>t</w:t>
      </w:r>
      <w:r w:rsidR="00994262">
        <w:t xml:space="preserve">hat </w:t>
      </w:r>
      <w:r w:rsidR="00FC1C77">
        <w:t>this information is</w:t>
      </w:r>
      <w:r w:rsidR="00994262">
        <w:t xml:space="preserve"> kep</w:t>
      </w:r>
      <w:r w:rsidR="00FC1C77">
        <w:t>t</w:t>
      </w:r>
      <w:r w:rsidR="00994262">
        <w:t xml:space="preserve"> up-to-date</w:t>
      </w:r>
      <w:r>
        <w:t>.</w:t>
      </w:r>
    </w:p>
    <w:p w14:paraId="5A97784F" w14:textId="718EAC67" w:rsidR="00FC1C77" w:rsidRDefault="00FC1C77" w:rsidP="00FC1C77">
      <w:pPr>
        <w:spacing w:after="240"/>
        <w:jc w:val="both"/>
      </w:pPr>
      <w:r>
        <w:t>The third area is that</w:t>
      </w:r>
      <w:r w:rsidR="00994262">
        <w:t xml:space="preserve"> of operations</w:t>
      </w:r>
      <w:r w:rsidR="009D7900">
        <w:t>,</w:t>
      </w:r>
      <w:r w:rsidR="00994262">
        <w:t xml:space="preserve"> it’s important that </w:t>
      </w:r>
      <w:r>
        <w:t>to</w:t>
      </w:r>
      <w:r w:rsidR="00994262">
        <w:t xml:space="preserve"> </w:t>
      </w:r>
      <w:r>
        <w:t>have</w:t>
      </w:r>
      <w:r w:rsidR="00994262">
        <w:t xml:space="preserve"> adaptable monitoring and response</w:t>
      </w:r>
      <w:r w:rsidR="009D7900">
        <w:t>.</w:t>
      </w:r>
      <w:r w:rsidR="00994262">
        <w:t xml:space="preserve"> </w:t>
      </w:r>
      <w:r w:rsidR="009D7900">
        <w:t>I</w:t>
      </w:r>
      <w:r w:rsidR="00994262">
        <w:t xml:space="preserve">t’s not sufficient just to have a set of rules in place </w:t>
      </w:r>
      <w:r>
        <w:t>f</w:t>
      </w:r>
      <w:r w:rsidR="00994262">
        <w:t xml:space="preserve">or when the product is </w:t>
      </w:r>
      <w:r w:rsidR="00F741CF">
        <w:t>i</w:t>
      </w:r>
      <w:r w:rsidR="00994262">
        <w:t>n operation</w:t>
      </w:r>
      <w:r w:rsidR="009D7900">
        <w:t>.</w:t>
      </w:r>
      <w:r w:rsidR="00905DA1">
        <w:t xml:space="preserve"> </w:t>
      </w:r>
      <w:r w:rsidR="009D7900">
        <w:t>Y</w:t>
      </w:r>
      <w:r w:rsidR="00994262">
        <w:t xml:space="preserve">ou </w:t>
      </w:r>
      <w:r w:rsidR="009D7900">
        <w:t>h</w:t>
      </w:r>
      <w:r w:rsidR="00994262">
        <w:t>ave</w:t>
      </w:r>
      <w:r w:rsidR="009D7900">
        <w:t xml:space="preserve"> to be able to adapt to changing situations</w:t>
      </w:r>
      <w:r w:rsidR="00994262">
        <w:t xml:space="preserve"> that occur over the lifetime of the vehicle</w:t>
      </w:r>
      <w:r w:rsidR="009D7900">
        <w:t>.</w:t>
      </w:r>
      <w:r w:rsidR="00994262">
        <w:t xml:space="preserve"> </w:t>
      </w:r>
      <w:r w:rsidR="009D7900">
        <w:t>T</w:t>
      </w:r>
      <w:r w:rsidR="00994262">
        <w:t>o that end</w:t>
      </w:r>
      <w:r w:rsidR="009D7900">
        <w:t>,</w:t>
      </w:r>
      <w:r w:rsidR="00994262">
        <w:t xml:space="preserve"> </w:t>
      </w:r>
      <w:r>
        <w:t>the</w:t>
      </w:r>
      <w:r w:rsidR="00994262">
        <w:t xml:space="preserve"> focus </w:t>
      </w:r>
      <w:r>
        <w:t xml:space="preserve">is </w:t>
      </w:r>
      <w:r w:rsidR="00994262">
        <w:t xml:space="preserve">on tracking the </w:t>
      </w:r>
      <w:r w:rsidR="00240A6A">
        <w:t>c</w:t>
      </w:r>
      <w:r w:rsidR="00994262">
        <w:t xml:space="preserve">ybersecurity controls </w:t>
      </w:r>
      <w:r>
        <w:t>used</w:t>
      </w:r>
      <w:r w:rsidR="00315390">
        <w:t>.</w:t>
      </w:r>
    </w:p>
    <w:p w14:paraId="7C36D34D" w14:textId="7B6130BB" w:rsidR="00315390" w:rsidRDefault="00315390" w:rsidP="00FC1C77">
      <w:pPr>
        <w:spacing w:after="240"/>
        <w:jc w:val="both"/>
      </w:pPr>
      <w:r>
        <w:t>A</w:t>
      </w:r>
      <w:r w:rsidR="00994262">
        <w:t>lso</w:t>
      </w:r>
      <w:r>
        <w:t>,</w:t>
      </w:r>
      <w:r w:rsidR="00994262">
        <w:t xml:space="preserve"> </w:t>
      </w:r>
      <w:r w:rsidR="00FC1C77">
        <w:t>it’s necessary</w:t>
      </w:r>
      <w:r w:rsidR="00994262">
        <w:t xml:space="preserve"> to </w:t>
      </w:r>
      <w:r w:rsidR="00FC1C77">
        <w:t>en</w:t>
      </w:r>
      <w:r w:rsidR="00994262">
        <w:t>sure that the risk mitigation</w:t>
      </w:r>
      <w:r>
        <w:t>s</w:t>
      </w:r>
      <w:r w:rsidR="00994262">
        <w:t xml:space="preserve"> in place are implemented in a timely fashion</w:t>
      </w:r>
      <w:r>
        <w:t>.</w:t>
      </w:r>
    </w:p>
    <w:p w14:paraId="7146676A" w14:textId="77777777" w:rsidR="002917C2" w:rsidRDefault="00315390" w:rsidP="00FC1C77">
      <w:pPr>
        <w:spacing w:after="240"/>
        <w:jc w:val="both"/>
      </w:pPr>
      <w:r>
        <w:t>I</w:t>
      </w:r>
      <w:r w:rsidR="00994262">
        <w:t>t’s important to be able to do threa</w:t>
      </w:r>
      <w:r>
        <w:t>t</w:t>
      </w:r>
      <w:r w:rsidR="00994262">
        <w:t xml:space="preserve"> extraction from the vehicle logs</w:t>
      </w:r>
      <w:r>
        <w:t>.</w:t>
      </w:r>
      <w:r w:rsidR="00994262">
        <w:t xml:space="preserve"> </w:t>
      </w:r>
      <w:r>
        <w:t>A</w:t>
      </w:r>
      <w:r w:rsidR="00994262">
        <w:t>re the right pieces of information</w:t>
      </w:r>
      <w:r w:rsidR="00FC1C77">
        <w:t xml:space="preserve"> being recorded</w:t>
      </w:r>
      <w:r w:rsidR="00994262">
        <w:t xml:space="preserve"> that will </w:t>
      </w:r>
      <w:r w:rsidR="00FC1C77">
        <w:t>identify</w:t>
      </w:r>
      <w:r w:rsidR="00994262">
        <w:t xml:space="preserve"> when </w:t>
      </w:r>
      <w:r w:rsidR="001B7111">
        <w:t>a</w:t>
      </w:r>
      <w:r w:rsidR="00994262">
        <w:t xml:space="preserve"> </w:t>
      </w:r>
      <w:r>
        <w:t>c</w:t>
      </w:r>
      <w:r w:rsidR="00994262">
        <w:t xml:space="preserve">ybersecurity related activity </w:t>
      </w:r>
      <w:r w:rsidRPr="00FC1C77">
        <w:rPr>
          <w:color w:val="000000" w:themeColor="text1"/>
        </w:rPr>
        <w:t>or</w:t>
      </w:r>
      <w:r w:rsidR="00994262" w:rsidRPr="00FC1C77">
        <w:rPr>
          <w:color w:val="000000" w:themeColor="text1"/>
        </w:rPr>
        <w:t xml:space="preserve"> </w:t>
      </w:r>
      <w:r w:rsidR="00994262">
        <w:t>incident happens</w:t>
      </w:r>
      <w:r>
        <w:t>,</w:t>
      </w:r>
      <w:r w:rsidR="00994262">
        <w:t xml:space="preserve"> such that you can use th</w:t>
      </w:r>
      <w:r w:rsidR="002917C2">
        <w:t>e</w:t>
      </w:r>
      <w:r w:rsidR="00994262">
        <w:t xml:space="preserve"> </w:t>
      </w:r>
      <w:r w:rsidRPr="002917C2">
        <w:rPr>
          <w:color w:val="000000" w:themeColor="text1"/>
        </w:rPr>
        <w:t xml:space="preserve">information </w:t>
      </w:r>
      <w:r w:rsidR="00994262">
        <w:t xml:space="preserve">for both diagnostic and </w:t>
      </w:r>
      <w:r>
        <w:t>mitigation</w:t>
      </w:r>
      <w:r w:rsidR="00994262">
        <w:t xml:space="preserve"> purposes</w:t>
      </w:r>
      <w:r w:rsidR="002917C2">
        <w:t>?</w:t>
      </w:r>
    </w:p>
    <w:p w14:paraId="04B76425" w14:textId="1001477B" w:rsidR="005D612D" w:rsidRDefault="00315390" w:rsidP="00FC1C77">
      <w:pPr>
        <w:spacing w:after="240"/>
        <w:jc w:val="both"/>
      </w:pPr>
      <w:r>
        <w:t>A</w:t>
      </w:r>
      <w:r w:rsidR="00994262">
        <w:t>re supplier deficiencies</w:t>
      </w:r>
      <w:r w:rsidR="005D3EB4">
        <w:t xml:space="preserve"> being managed</w:t>
      </w:r>
      <w:r>
        <w:t>?</w:t>
      </w:r>
      <w:r w:rsidR="00994262">
        <w:t xml:space="preserve"> </w:t>
      </w:r>
      <w:r w:rsidR="005D3EB4">
        <w:t>This must be done</w:t>
      </w:r>
      <w:r w:rsidR="00994262">
        <w:t xml:space="preserve"> regardless of what </w:t>
      </w:r>
      <w:r>
        <w:t>tier</w:t>
      </w:r>
      <w:r w:rsidR="00994262">
        <w:t xml:space="preserve"> you’re in</w:t>
      </w:r>
      <w:r w:rsidR="005D3EB4">
        <w:t>.</w:t>
      </w:r>
      <w:r w:rsidR="00994262">
        <w:t xml:space="preserve"> </w:t>
      </w:r>
      <w:r w:rsidR="005D3EB4">
        <w:t>A</w:t>
      </w:r>
      <w:r w:rsidR="00994262">
        <w:t xml:space="preserve">re you tracking to </w:t>
      </w:r>
      <w:r w:rsidR="00905DA1">
        <w:t>ensure</w:t>
      </w:r>
      <w:r w:rsidR="00994262">
        <w:t xml:space="preserve"> that your suppliers are </w:t>
      </w:r>
      <w:r w:rsidR="00905DA1">
        <w:t>responding appropriately</w:t>
      </w:r>
      <w:r w:rsidR="00994262">
        <w:t xml:space="preserve"> when </w:t>
      </w:r>
      <w:r>
        <w:t>c</w:t>
      </w:r>
      <w:r w:rsidR="00994262">
        <w:t>ybersecurity issues arise</w:t>
      </w:r>
      <w:r>
        <w:t>?</w:t>
      </w:r>
    </w:p>
    <w:p w14:paraId="6FC248AF" w14:textId="10D2F2B7" w:rsidR="00994262" w:rsidRDefault="002917C2" w:rsidP="00FC1C77">
      <w:pPr>
        <w:spacing w:after="240"/>
        <w:jc w:val="both"/>
      </w:pPr>
      <w:r>
        <w:t xml:space="preserve">The fourth area addresses </w:t>
      </w:r>
      <w:r w:rsidR="005D612D">
        <w:t xml:space="preserve">the </w:t>
      </w:r>
      <w:r>
        <w:t xml:space="preserve">support suppliers provide </w:t>
      </w:r>
      <w:r w:rsidR="00446010">
        <w:t>to the OEM.</w:t>
      </w:r>
      <w:r w:rsidR="00994262">
        <w:t xml:space="preserve"> </w:t>
      </w:r>
      <w:r w:rsidR="005D3EB4">
        <w:t>The entire supply chain</w:t>
      </w:r>
      <w:r w:rsidR="00994262">
        <w:t xml:space="preserve"> needs to be supporting the OEM </w:t>
      </w:r>
      <w:r w:rsidR="005D3EB4" w:rsidRPr="005D3EB4">
        <w:rPr>
          <w:color w:val="000000" w:themeColor="text1"/>
        </w:rPr>
        <w:t>since</w:t>
      </w:r>
      <w:r w:rsidR="00994262" w:rsidRPr="005D3EB4">
        <w:rPr>
          <w:color w:val="000000" w:themeColor="text1"/>
        </w:rPr>
        <w:t xml:space="preserve"> </w:t>
      </w:r>
      <w:r w:rsidR="00994262">
        <w:t>they are the party being held responsible</w:t>
      </w:r>
      <w:r w:rsidR="005D612D">
        <w:t xml:space="preserve"> under R155</w:t>
      </w:r>
      <w:r w:rsidR="00315390">
        <w:t>.</w:t>
      </w:r>
      <w:r w:rsidR="00994262">
        <w:t xml:space="preserve"> </w:t>
      </w:r>
      <w:r w:rsidR="005D3EB4">
        <w:t>S</w:t>
      </w:r>
      <w:r w:rsidR="00240A6A" w:rsidRPr="005D3EB4">
        <w:rPr>
          <w:color w:val="000000" w:themeColor="text1"/>
        </w:rPr>
        <w:t>hared activities</w:t>
      </w:r>
      <w:r w:rsidR="00994262" w:rsidRPr="005D3EB4">
        <w:rPr>
          <w:color w:val="000000" w:themeColor="text1"/>
        </w:rPr>
        <w:t xml:space="preserve"> </w:t>
      </w:r>
      <w:r w:rsidR="005D612D">
        <w:t>include</w:t>
      </w:r>
      <w:r w:rsidR="00994262">
        <w:t xml:space="preserve"> critical element risk assessment</w:t>
      </w:r>
      <w:r w:rsidR="00240A6A">
        <w:t>,</w:t>
      </w:r>
      <w:r w:rsidR="00994262">
        <w:t xml:space="preserve"> type risk </w:t>
      </w:r>
      <w:r w:rsidR="00240A6A" w:rsidRPr="005D3EB4">
        <w:rPr>
          <w:color w:val="000000" w:themeColor="text1"/>
        </w:rPr>
        <w:t>protection</w:t>
      </w:r>
      <w:r w:rsidR="00240A6A">
        <w:t>,</w:t>
      </w:r>
      <w:r w:rsidR="00994262">
        <w:t xml:space="preserve"> risk countermeasures</w:t>
      </w:r>
      <w:r w:rsidR="00240A6A">
        <w:t xml:space="preserve">, </w:t>
      </w:r>
      <w:r w:rsidR="00240A6A" w:rsidRPr="005D3EB4">
        <w:rPr>
          <w:color w:val="000000" w:themeColor="text1"/>
        </w:rPr>
        <w:t>and</w:t>
      </w:r>
      <w:r w:rsidR="00994262" w:rsidRPr="005D3EB4">
        <w:rPr>
          <w:color w:val="000000" w:themeColor="text1"/>
        </w:rPr>
        <w:t xml:space="preserve"> </w:t>
      </w:r>
      <w:r w:rsidR="00994262">
        <w:t>sufficiency testing</w:t>
      </w:r>
      <w:r w:rsidR="00240A6A">
        <w:t>.</w:t>
      </w:r>
      <w:r w:rsidR="00994262">
        <w:t xml:space="preserve"> </w:t>
      </w:r>
      <w:r w:rsidR="005D3EB4">
        <w:t>All suppliers</w:t>
      </w:r>
      <w:r w:rsidR="001B7111">
        <w:t xml:space="preserve"> need</w:t>
      </w:r>
      <w:r w:rsidR="00994262">
        <w:t xml:space="preserve"> </w:t>
      </w:r>
      <w:r w:rsidR="00240A6A">
        <w:t xml:space="preserve">to </w:t>
      </w:r>
      <w:r w:rsidR="00240A6A" w:rsidRPr="005D3EB4">
        <w:rPr>
          <w:color w:val="000000" w:themeColor="text1"/>
        </w:rPr>
        <w:t>ensure</w:t>
      </w:r>
      <w:r w:rsidR="00994262" w:rsidRPr="005D3EB4">
        <w:rPr>
          <w:color w:val="000000" w:themeColor="text1"/>
        </w:rPr>
        <w:t xml:space="preserve"> </w:t>
      </w:r>
      <w:r w:rsidR="00994262">
        <w:t xml:space="preserve">that </w:t>
      </w:r>
      <w:r w:rsidR="005D3EB4">
        <w:t>they</w:t>
      </w:r>
      <w:r w:rsidR="00994262">
        <w:t xml:space="preserve"> are doing everything </w:t>
      </w:r>
      <w:r w:rsidR="005D3EB4">
        <w:t>reasonable</w:t>
      </w:r>
      <w:r w:rsidR="00994262">
        <w:t xml:space="preserve"> to detect and prevent </w:t>
      </w:r>
      <w:r w:rsidR="00257D65">
        <w:t>cyberattacks</w:t>
      </w:r>
      <w:r w:rsidR="00240A6A">
        <w:t>.</w:t>
      </w:r>
      <w:r w:rsidR="00994262">
        <w:t xml:space="preserve"> </w:t>
      </w:r>
      <w:r w:rsidR="005D3EB4">
        <w:t>After releasing to their customer, suppliers</w:t>
      </w:r>
      <w:r w:rsidR="005814C5">
        <w:t xml:space="preserve"> need to</w:t>
      </w:r>
      <w:r w:rsidR="00994262">
        <w:t xml:space="preserve"> monitor for </w:t>
      </w:r>
      <w:r w:rsidR="00240A6A">
        <w:t>c</w:t>
      </w:r>
      <w:r w:rsidR="00994262">
        <w:t xml:space="preserve">ybersecurity events that occur and need to provide the ability to extract forensic information from </w:t>
      </w:r>
      <w:r w:rsidR="005814C5">
        <w:t>their</w:t>
      </w:r>
      <w:r w:rsidR="00994262">
        <w:t xml:space="preserve"> </w:t>
      </w:r>
      <w:r w:rsidR="00240A6A">
        <w:t>logs.</w:t>
      </w:r>
    </w:p>
    <w:p w14:paraId="07B5FE0C" w14:textId="2206AFD4" w:rsidR="009F0D85" w:rsidRDefault="00330EC2" w:rsidP="00FC1C77">
      <w:pPr>
        <w:spacing w:after="240"/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30EC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ISO 21434 Work Products and Requirements</w:t>
      </w:r>
    </w:p>
    <w:p w14:paraId="635FA9F1" w14:textId="77777777" w:rsidR="00B419FE" w:rsidRDefault="006402DA" w:rsidP="00FC1C77">
      <w:pPr>
        <w:spacing w:after="240"/>
        <w:jc w:val="both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As mentioned earlier in this presentation, ISO 21434 serves as the technical underpinning for R155. Here we see a portion of the 21434 work products showing their dependent requirements.</w:t>
      </w:r>
    </w:p>
    <w:p w14:paraId="75941ED2" w14:textId="30E52F98" w:rsidR="00330EC2" w:rsidRDefault="006402DA" w:rsidP="00FC1C77">
      <w:pPr>
        <w:spacing w:after="240"/>
        <w:jc w:val="both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These work products and the</w:t>
      </w:r>
      <w:r w:rsidR="00B419FE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ir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dependent requirements</w:t>
      </w:r>
      <w:r w:rsidR="00B419FE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h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ave a much higher granularity when we compare them with </w:t>
      </w:r>
      <w:r w:rsidR="00B419FE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those of 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R155 itself. This is to be expected from a technical specification.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11C59974" w14:textId="77777777" w:rsidR="00092D9D" w:rsidRDefault="00092D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32928599" w14:textId="1C1FF9F9" w:rsidR="006402DA" w:rsidRDefault="00426182" w:rsidP="00FC1C77">
      <w:pPr>
        <w:spacing w:after="240"/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2618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AVCDL to ISO 21434 mapping</w:t>
      </w:r>
    </w:p>
    <w:p w14:paraId="3BABD3C3" w14:textId="77777777" w:rsidR="00B419FE" w:rsidRDefault="00426182" w:rsidP="00FC1C77">
      <w:pPr>
        <w:spacing w:after="240"/>
        <w:jc w:val="both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The AVCDL provides us a way to satisfy both R155 and ISO 21434. Here</w:t>
      </w:r>
      <w:r w:rsidR="00B419FE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’s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 portion of the mapping between the AVCDL phase requirements and the ISO 21434 work products.</w:t>
      </w:r>
    </w:p>
    <w:p w14:paraId="6385B871" w14:textId="49E7A945" w:rsidR="00426182" w:rsidRDefault="00426182" w:rsidP="00FC1C77">
      <w:pPr>
        <w:spacing w:after="240"/>
        <w:jc w:val="both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As a lifecycle, the AVCDL more readily integrates with an established development process. Additionally, it's written in a manner which is far more accessible </w:t>
      </w:r>
      <w:r w:rsidR="00B419FE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t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o those who don</w:t>
      </w:r>
      <w:r w:rsidR="00B419FE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’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t spend their time reading ISO</w:t>
      </w:r>
      <w:r w:rsidR="00B419FE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and UNECE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documents.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799CCB1A" w14:textId="4FA6301E" w:rsidR="00426182" w:rsidRDefault="00426182" w:rsidP="00FC1C77">
      <w:pPr>
        <w:spacing w:after="240"/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2618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AVCDL document set</w:t>
      </w:r>
    </w:p>
    <w:p w14:paraId="6D737E73" w14:textId="77777777" w:rsidR="00B419FE" w:rsidRDefault="00426182" w:rsidP="00FC1C77">
      <w:pPr>
        <w:spacing w:after="240"/>
        <w:jc w:val="both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The AVCDL itself is comprised of four major </w:t>
      </w:r>
      <w:r w:rsidR="00B419FE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document types.</w:t>
      </w:r>
    </w:p>
    <w:p w14:paraId="77499756" w14:textId="17F3B68F" w:rsidR="00B419FE" w:rsidRDefault="00B419FE" w:rsidP="00FC1C77">
      <w:pPr>
        <w:spacing w:after="240"/>
        <w:jc w:val="both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The first</w:t>
      </w:r>
      <w:r w:rsidR="00426182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i</w:t>
      </w:r>
      <w:r w:rsidR="00426182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s the overview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,</w:t>
      </w:r>
      <w:r w:rsidR="00426182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also known as the primary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426182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document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  <w:r w:rsidR="00426182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This document is entitled the </w:t>
      </w:r>
      <w:r w:rsidR="00092D9D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A</w:t>
      </w:r>
      <w:r w:rsidR="00426182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utonomous Vehicle </w:t>
      </w:r>
      <w:r w:rsidR="00092D9D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C</w:t>
      </w:r>
      <w:r w:rsidR="00426182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ybersecurity </w:t>
      </w:r>
      <w:r w:rsidR="00092D9D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D</w:t>
      </w:r>
      <w:r w:rsidR="00426182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evelopment lifecycle, or AVCDL.</w:t>
      </w:r>
    </w:p>
    <w:p w14:paraId="0444B404" w14:textId="3E7A7706" w:rsidR="00092D9D" w:rsidRDefault="00426182" w:rsidP="00FC1C77">
      <w:pPr>
        <w:spacing w:after="240"/>
        <w:jc w:val="both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The second </w:t>
      </w:r>
      <w:r w:rsidR="00092D9D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type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are the process detail documents, also called the secondary documents.</w:t>
      </w:r>
      <w:r w:rsidR="00092D9D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These seventy documents individually detail all the processes within the AVCDL.</w:t>
      </w:r>
    </w:p>
    <w:p w14:paraId="0A61E168" w14:textId="2F4915CA" w:rsidR="00B419FE" w:rsidRDefault="00426182" w:rsidP="00FC1C77">
      <w:pPr>
        <w:spacing w:after="240"/>
        <w:jc w:val="both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Together, the primary and the secondary documents give us the what, </w:t>
      </w:r>
      <w:r w:rsidR="00092D9D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t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he </w:t>
      </w:r>
      <w:r w:rsidR="00092D9D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w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ho and the when of the lifecycle. Th</w:t>
      </w:r>
      <w:r w:rsidR="00092D9D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is material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092D9D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is completely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company agnostic.</w:t>
      </w:r>
    </w:p>
    <w:p w14:paraId="01A0BB2D" w14:textId="77777777" w:rsidR="00092D9D" w:rsidRDefault="00092D9D" w:rsidP="00FC1C77">
      <w:pPr>
        <w:spacing w:after="240"/>
        <w:jc w:val="both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T</w:t>
      </w:r>
      <w:r w:rsidR="00426182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he third set of documents, the procedures or tertiary documents are the how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of the lifecycle.</w:t>
      </w:r>
    </w:p>
    <w:p w14:paraId="5302A2BA" w14:textId="3E70DC05" w:rsidR="00B419FE" w:rsidRDefault="00092D9D" w:rsidP="00FC1C77">
      <w:pPr>
        <w:spacing w:after="240"/>
        <w:jc w:val="both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T</w:t>
      </w:r>
      <w:r w:rsidR="00426182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hese 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documents are</w:t>
      </w:r>
      <w:r w:rsidR="00426182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company specific 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as they</w:t>
      </w:r>
      <w:r w:rsidR="00426182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tell us exactly what tools are used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and</w:t>
      </w:r>
      <w:r w:rsidR="00426182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what procedures are followed in order to implement the processes specified in the primary and secondary.</w:t>
      </w:r>
    </w:p>
    <w:p w14:paraId="0AB56EF5" w14:textId="0D4396F4" w:rsidR="00092D9D" w:rsidRDefault="00092D9D" w:rsidP="00FC1C77">
      <w:pPr>
        <w:spacing w:after="240"/>
        <w:jc w:val="both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It is expected that every company adopting the AVCDL provide their own procedure documents.</w:t>
      </w:r>
    </w:p>
    <w:p w14:paraId="5CEDC330" w14:textId="77777777" w:rsidR="00092D9D" w:rsidRDefault="00426182" w:rsidP="00FC1C77">
      <w:pPr>
        <w:spacing w:after="240"/>
        <w:jc w:val="both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The last </w:t>
      </w:r>
      <w:r w:rsidR="00092D9D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type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092D9D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are 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the supporting materials</w:t>
      </w:r>
      <w:r w:rsidR="00092D9D" w:rsidRPr="00092D9D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092D9D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documents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</w:p>
    <w:p w14:paraId="3590D2DB" w14:textId="588CAA3D" w:rsidR="00426182" w:rsidRDefault="00092D9D" w:rsidP="00FC1C77">
      <w:pPr>
        <w:spacing w:after="240"/>
        <w:jc w:val="both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T</w:t>
      </w:r>
      <w:r w:rsidR="00426182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hese materials 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include</w:t>
      </w:r>
      <w:r w:rsidR="00426182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spreadsheets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,</w:t>
      </w:r>
      <w:r w:rsidR="00426182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templates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, and</w:t>
      </w:r>
      <w:r w:rsidR="00426182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b</w:t>
      </w:r>
      <w:r w:rsidR="00426182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log posts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. The spreadsheets contain reference materials used to construct the AVCDL itself. The templates give AVCDL adopters a starting point for providing information to outside entities. And the blog posts</w:t>
      </w:r>
      <w:r w:rsidR="00426182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describe and explain various aspects of the AVCDL.</w:t>
      </w:r>
      <w:r w:rsidR="00426182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78C86523" w14:textId="478FFF7D" w:rsidR="00426182" w:rsidRDefault="00426182" w:rsidP="00FC1C77">
      <w:pPr>
        <w:spacing w:after="240"/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2618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AVCDL materials</w:t>
      </w:r>
    </w:p>
    <w:p w14:paraId="23D73DFE" w14:textId="02F05A9C" w:rsidR="00092D9D" w:rsidRDefault="00426182" w:rsidP="00FC1C77">
      <w:pPr>
        <w:spacing w:after="240"/>
        <w:jc w:val="both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Within the supply chain context, materials of interest include the primary and secondary documents</w:t>
      </w:r>
      <w:r w:rsidR="00092D9D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,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blog posts covering the supply chain, </w:t>
      </w:r>
      <w:r w:rsidR="00092D9D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and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elaboration documents describing how to use</w:t>
      </w:r>
      <w:r w:rsidR="007D6E74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and interpret the various supplier materials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.</w:t>
      </w:r>
    </w:p>
    <w:p w14:paraId="073C185A" w14:textId="46708BCA" w:rsidR="006D6B9B" w:rsidRDefault="006D6B9B" w:rsidP="00FC1C77">
      <w:pPr>
        <w:spacing w:after="240"/>
        <w:jc w:val="both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Also</w:t>
      </w:r>
      <w:r w:rsidR="007D6E74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of interest are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t</w:t>
      </w:r>
      <w:r w:rsidR="00426182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he reference material for the cyber</w:t>
      </w:r>
      <w:r w:rsidR="00987E8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s</w:t>
      </w:r>
      <w:r w:rsidR="00426182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ecurity interface agreement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, </w:t>
      </w:r>
      <w:r w:rsidR="00426182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AVCMDS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, and t</w:t>
      </w:r>
      <w:r w:rsidR="00426182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he mapping between vendor 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p</w:t>
      </w:r>
      <w:r w:rsidR="00426182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rocesses and the AVCDL itself.</w:t>
      </w:r>
    </w:p>
    <w:p w14:paraId="7A49352D" w14:textId="0129F47C" w:rsidR="00426182" w:rsidRDefault="00D57A13" w:rsidP="00FC1C77">
      <w:pPr>
        <w:spacing w:after="240"/>
        <w:jc w:val="both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Finally,</w:t>
      </w:r>
      <w:r w:rsidR="007D6E74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are</w:t>
      </w:r>
      <w:r w:rsidR="00426182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the general information on how lifecycles are created for those organizations which don't have established development lifecycles.</w:t>
      </w:r>
      <w:r w:rsidR="00426182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7964C0E1" w14:textId="4EC153A1" w:rsidR="00426182" w:rsidRDefault="00426182" w:rsidP="00FC1C77">
      <w:pPr>
        <w:spacing w:after="240"/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2618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AVCDL on GitHub</w:t>
      </w:r>
    </w:p>
    <w:p w14:paraId="50428DE6" w14:textId="77777777" w:rsidR="006D6B9B" w:rsidRDefault="00426182" w:rsidP="00FC1C77">
      <w:pPr>
        <w:spacing w:after="240"/>
        <w:jc w:val="both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All AVCDL materials, both in source and distribution forms, are available on our GitHub site</w:t>
      </w:r>
      <w:r w:rsidR="006D6B9B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,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</w:t>
      </w:r>
      <w:r w:rsidR="006D6B9B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a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s shown here.</w:t>
      </w:r>
    </w:p>
    <w:p w14:paraId="4AA0EA5B" w14:textId="5359650B" w:rsidR="00426182" w:rsidRDefault="00426182" w:rsidP="00FC1C77">
      <w:pPr>
        <w:spacing w:after="240"/>
        <w:jc w:val="both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Because of the size of the repository, it's recommended that you either clone the repository or download a zip archive of it </w:t>
      </w:r>
      <w:r w:rsidR="006D6B9B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i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f you're not familiar with using Git. Instructions for downloading a ZIP archive are link</w:t>
      </w:r>
      <w:r w:rsidR="006D6B9B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ed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to on </w:t>
      </w:r>
      <w:r w:rsidR="006D6B9B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the repository’s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front page.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2DB7FA99" w14:textId="77777777" w:rsidR="006D6B9B" w:rsidRDefault="006D6B9B" w:rsidP="00FC1C77">
      <w:pPr>
        <w:spacing w:after="240"/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6D6B9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Supply Chain Training Path – Next Steps</w:t>
      </w:r>
    </w:p>
    <w:p w14:paraId="7889E295" w14:textId="62A65716" w:rsidR="006D6B9B" w:rsidRDefault="00987E89" w:rsidP="00FC1C77">
      <w:pPr>
        <w:spacing w:after="240"/>
        <w:jc w:val="both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The next step in this training sequence</w:t>
      </w:r>
      <w:r w:rsidR="006D6B9B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is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to take one of the three following courses.</w:t>
      </w:r>
    </w:p>
    <w:p w14:paraId="0821ABC7" w14:textId="77777777" w:rsidR="006D6B9B" w:rsidRDefault="00987E89" w:rsidP="00FC1C77">
      <w:pPr>
        <w:spacing w:after="240"/>
        <w:jc w:val="both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The AVCMDS, which covers the manufacturers disclosure statement in the area of cybersecurity.</w:t>
      </w:r>
    </w:p>
    <w:p w14:paraId="3061CEBE" w14:textId="6ABC6A29" w:rsidR="006D6B9B" w:rsidRDefault="00987E89" w:rsidP="00FC1C77">
      <w:pPr>
        <w:spacing w:after="240"/>
        <w:jc w:val="both"/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The supplier maturity training</w:t>
      </w:r>
      <w:r w:rsidR="006D6B9B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, w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hich covers how a supplier </w:t>
      </w:r>
      <w:r w:rsidR="006D6B9B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s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elf-report</w:t>
      </w:r>
      <w:r w:rsidR="006D6B9B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s the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maturity of their processes in the context of the AVCDL.</w:t>
      </w:r>
    </w:p>
    <w:p w14:paraId="43393F9B" w14:textId="4B72C615" w:rsidR="00987E89" w:rsidRDefault="006D6B9B" w:rsidP="006D61E7">
      <w:pPr>
        <w:spacing w:after="240"/>
        <w:jc w:val="both"/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Or t</w:t>
      </w:r>
      <w:r w:rsidR="00987E8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he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vendor </w:t>
      </w:r>
      <w:r w:rsidR="00987E8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process mapping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training which c</w:t>
      </w:r>
      <w:r w:rsidR="00987E8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overs how to take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e</w:t>
      </w:r>
      <w:r w:rsidR="00987E8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stablished vendor processes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a</w:t>
      </w:r>
      <w:r w:rsidR="00987E8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nd map them to the corresponding AVCDL processes. This helps to ensure that no gaps will exist between the vendor and the customer</w:t>
      </w: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i</w:t>
      </w:r>
      <w:r w:rsidR="00987E89"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n the area of cybersecurity.</w:t>
      </w:r>
    </w:p>
    <w:p w14:paraId="0372C200" w14:textId="77777777" w:rsidR="006D61E7" w:rsidRDefault="006D61E7" w:rsidP="006D61E7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References</w:t>
      </w:r>
    </w:p>
    <w:p w14:paraId="64893E7C" w14:textId="77777777" w:rsidR="006D61E7" w:rsidRPr="005602AE" w:rsidRDefault="006D61E7" w:rsidP="006D61E7">
      <w:pPr>
        <w:spacing w:after="24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5602AE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Here are references to the source material used in the creation of this presentation.</w:t>
      </w:r>
    </w:p>
    <w:p w14:paraId="002EF5A4" w14:textId="77777777" w:rsidR="006D61E7" w:rsidRPr="005602AE" w:rsidRDefault="006D61E7" w:rsidP="006D61E7">
      <w:pPr>
        <w:spacing w:after="24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5602AE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They'll also be included in the video description.</w:t>
      </w:r>
    </w:p>
    <w:p w14:paraId="249238D8" w14:textId="77777777" w:rsidR="006D61E7" w:rsidRPr="005602AE" w:rsidRDefault="006D61E7" w:rsidP="006D61E7">
      <w:pPr>
        <w:spacing w:after="24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5602AE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Additionally, this presentation’s source material will be provided on the AVCDL GitHub repository.</w:t>
      </w:r>
    </w:p>
    <w:p w14:paraId="0D25EFF2" w14:textId="77777777" w:rsidR="006D61E7" w:rsidRDefault="006D61E7" w:rsidP="006D61E7">
      <w:pPr>
        <w:spacing w:after="240"/>
        <w:jc w:val="both"/>
      </w:pPr>
    </w:p>
    <w:sectPr w:rsidR="006D6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E4D"/>
    <w:rsid w:val="00092D9D"/>
    <w:rsid w:val="001A255B"/>
    <w:rsid w:val="001B7111"/>
    <w:rsid w:val="001C5234"/>
    <w:rsid w:val="00240A6A"/>
    <w:rsid w:val="00257D65"/>
    <w:rsid w:val="002917C2"/>
    <w:rsid w:val="002C1A84"/>
    <w:rsid w:val="00315390"/>
    <w:rsid w:val="00330EC2"/>
    <w:rsid w:val="003D5C79"/>
    <w:rsid w:val="00426182"/>
    <w:rsid w:val="00446010"/>
    <w:rsid w:val="00484937"/>
    <w:rsid w:val="004F7056"/>
    <w:rsid w:val="00513064"/>
    <w:rsid w:val="005814C5"/>
    <w:rsid w:val="005D3EB4"/>
    <w:rsid w:val="005D612D"/>
    <w:rsid w:val="006402DA"/>
    <w:rsid w:val="006A409C"/>
    <w:rsid w:val="006D61E7"/>
    <w:rsid w:val="006D6B9B"/>
    <w:rsid w:val="00774337"/>
    <w:rsid w:val="007D6E74"/>
    <w:rsid w:val="008477AB"/>
    <w:rsid w:val="008B43A9"/>
    <w:rsid w:val="00905DA1"/>
    <w:rsid w:val="00931FC3"/>
    <w:rsid w:val="00987E89"/>
    <w:rsid w:val="00994262"/>
    <w:rsid w:val="009D7900"/>
    <w:rsid w:val="009F0D85"/>
    <w:rsid w:val="00A4221D"/>
    <w:rsid w:val="00A97E4D"/>
    <w:rsid w:val="00B419FE"/>
    <w:rsid w:val="00BA7A91"/>
    <w:rsid w:val="00C619AE"/>
    <w:rsid w:val="00C87031"/>
    <w:rsid w:val="00CD5BA9"/>
    <w:rsid w:val="00D238AE"/>
    <w:rsid w:val="00D57A13"/>
    <w:rsid w:val="00E11C23"/>
    <w:rsid w:val="00F741CF"/>
    <w:rsid w:val="00F85785"/>
    <w:rsid w:val="00FC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D92A5"/>
  <w15:chartTrackingRefBased/>
  <w15:docId w15:val="{8AF5A976-4633-A947-A1FF-4059A6A4F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A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A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ormaltextrun">
    <w:name w:val="normaltextrun"/>
    <w:basedOn w:val="DefaultParagraphFont"/>
    <w:rsid w:val="006402DA"/>
  </w:style>
  <w:style w:type="character" w:customStyle="1" w:styleId="eop">
    <w:name w:val="eop"/>
    <w:basedOn w:val="DefaultParagraphFont"/>
    <w:rsid w:val="00640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8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1237</Words>
  <Characters>8067</Characters>
  <Application>Microsoft Office Word</Application>
  <DocSecurity>0</DocSecurity>
  <Lines>175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Motional</Company>
  <LinksUpToDate>false</LinksUpToDate>
  <CharactersWithSpaces>9170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Wilson</dc:creator>
  <cp:keywords/>
  <dc:description/>
  <cp:lastModifiedBy>Charles Wilson</cp:lastModifiedBy>
  <cp:revision>20</cp:revision>
  <dcterms:created xsi:type="dcterms:W3CDTF">2022-12-22T18:29:00Z</dcterms:created>
  <dcterms:modified xsi:type="dcterms:W3CDTF">2023-02-13T17:38:00Z</dcterms:modified>
</cp:coreProperties>
</file>