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A87200"/>
          <w:sz w:val="18"/>
        </w:rPr>
        <w:t>BEEWATCH AI  ·  PROGETTO 7</w:t>
      </w:r>
    </w:p>
    <w:p>
      <w:pPr>
        <w:spacing w:after="40"/>
      </w:pPr>
      <w:r>
        <w:rPr>
          <w:rFonts w:ascii="Calibri" w:hAnsi="Calibri"/>
          <w:b/>
          <w:color w:val="1A2138"/>
          <w:sz w:val="40"/>
        </w:rPr>
        <w:t>I dati di BeeWatch AI</w:t>
      </w:r>
    </w:p>
    <w:p>
      <w:pPr>
        <w:spacing w:after="320"/>
        <w:pBdr>
          <w:bottom w:val="single" w:sz="6" w:space="6" w:color="D9D2C4"/>
        </w:pBdr>
      </w:pPr>
      <w:r>
        <w:rPr>
          <w:rFonts w:ascii="Calibri" w:hAnsi="Calibri"/>
          <w:color w:val="5B6178"/>
          <w:sz w:val="21"/>
        </w:rPr>
        <w:t>M2 — Dati e database</w:t>
      </w:r>
    </w:p>
    <w:p>
      <w:pPr>
        <w:spacing w:after="200"/>
        <w:ind w:left="283"/>
        <w:pBdr>
          <w:left w:val="single" w:sz="12" w:space="6" w:color="A87200"/>
        </w:pBdr>
      </w:pPr>
      <w:r>
        <w:rPr>
          <w:rFonts w:ascii="Calibri" w:hAnsi="Calibri"/>
          <w:b/>
          <w:i w:val="0"/>
          <w:color w:val="5B6178"/>
          <w:sz w:val="20"/>
        </w:rPr>
        <w:t>Task M2-T1</w:t>
      </w:r>
      <w:r>
        <w:rPr>
          <w:rFonts w:ascii="Calibri" w:hAnsi="Calibri"/>
          <w:b w:val="0"/>
          <w:i w:val="0"/>
          <w:color w:val="5B6178"/>
          <w:sz w:val="20"/>
        </w:rPr>
        <w:t xml:space="preserve"> · analisi esplorativa → sezioni </w:t>
      </w:r>
      <w:r>
        <w:rPr>
          <w:rFonts w:ascii="Calibri" w:hAnsi="Calibri"/>
          <w:b w:val="0"/>
          <w:i/>
          <w:color w:val="5B6178"/>
          <w:sz w:val="20"/>
        </w:rPr>
        <w:t>Fonte</w:t>
      </w:r>
      <w:r>
        <w:rPr>
          <w:rFonts w:ascii="Calibri" w:hAnsi="Calibri"/>
          <w:b w:val="0"/>
          <w:i w:val="0"/>
          <w:color w:val="5B6178"/>
          <w:sz w:val="20"/>
        </w:rPr>
        <w:t xml:space="preserve">, </w:t>
      </w:r>
      <w:r>
        <w:rPr>
          <w:rFonts w:ascii="Calibri" w:hAnsi="Calibri"/>
          <w:b w:val="0"/>
          <w:i/>
          <w:color w:val="5B6178"/>
          <w:sz w:val="20"/>
        </w:rPr>
        <w:t>Struttura</w:t>
      </w:r>
      <w:r>
        <w:rPr>
          <w:rFonts w:ascii="Calibri" w:hAnsi="Calibri"/>
          <w:b w:val="0"/>
          <w:i w:val="0"/>
          <w:color w:val="5B6178"/>
          <w:sz w:val="20"/>
        </w:rPr>
        <w:t xml:space="preserve">, </w:t>
      </w:r>
      <w:r>
        <w:rPr>
          <w:rFonts w:ascii="Calibri" w:hAnsi="Calibri"/>
          <w:b w:val="0"/>
          <w:i/>
          <w:color w:val="5B6178"/>
          <w:sz w:val="20"/>
        </w:rPr>
        <w:t>Osservazioni</w:t>
      </w:r>
      <w:r>
        <w:rPr>
          <w:rFonts w:ascii="Calibri" w:hAnsi="Calibri"/>
          <w:b w:val="0"/>
          <w:i w:val="0"/>
          <w:color w:val="5B6178"/>
          <w:sz w:val="20"/>
        </w:rPr>
        <w:t xml:space="preserve">, </w:t>
      </w:r>
      <w:r>
        <w:rPr>
          <w:rFonts w:ascii="Calibri" w:hAnsi="Calibri"/>
          <w:b w:val="0"/>
          <w:i/>
          <w:color w:val="5B6178"/>
          <w:sz w:val="20"/>
        </w:rPr>
        <w:t>Anomalie</w:t>
      </w:r>
      <w:r>
        <w:rPr>
          <w:rFonts w:ascii="Calibri" w:hAnsi="Calibri"/>
          <w:b w:val="0"/>
          <w:i w:val="0"/>
          <w:color w:val="5B6178"/>
          <w:sz w:val="20"/>
        </w:rPr>
        <w:t xml:space="preserve">  </w:t>
      </w:r>
      <w:r>
        <w:rPr>
          <w:rFonts w:ascii="Calibri" w:hAnsi="Calibri"/>
          <w:b/>
          <w:i w:val="0"/>
          <w:color w:val="5B6178"/>
          <w:sz w:val="20"/>
        </w:rPr>
        <w:t>Task M2-T2</w:t>
      </w:r>
      <w:r>
        <w:rPr>
          <w:rFonts w:ascii="Calibri" w:hAnsi="Calibri"/>
          <w:b w:val="0"/>
          <w:i w:val="0"/>
          <w:color w:val="5B6178"/>
          <w:sz w:val="20"/>
        </w:rPr>
        <w:t xml:space="preserve"> · dizionario e pulizia → sezioni </w:t>
      </w:r>
      <w:r>
        <w:rPr>
          <w:rFonts w:ascii="Calibri" w:hAnsi="Calibri"/>
          <w:b w:val="0"/>
          <w:i/>
          <w:color w:val="5B6178"/>
          <w:sz w:val="20"/>
        </w:rPr>
        <w:t>Dizionario delle colonne</w:t>
      </w:r>
      <w:r>
        <w:rPr>
          <w:rFonts w:ascii="Calibri" w:hAnsi="Calibri"/>
          <w:b w:val="0"/>
          <w:i w:val="0"/>
          <w:color w:val="5B6178"/>
          <w:sz w:val="20"/>
        </w:rPr>
        <w:t xml:space="preserve">, </w:t>
      </w:r>
      <w:r>
        <w:rPr>
          <w:rFonts w:ascii="Calibri" w:hAnsi="Calibri"/>
          <w:b w:val="0"/>
          <w:i/>
          <w:color w:val="5B6178"/>
          <w:sz w:val="20"/>
        </w:rPr>
        <w:t>Regole di pulizia</w:t>
      </w:r>
      <w:r>
        <w:rPr>
          <w:rFonts w:ascii="Calibri" w:hAnsi="Calibri"/>
          <w:b w:val="0"/>
          <w:i w:val="0"/>
          <w:color w:val="5B6178"/>
          <w:sz w:val="20"/>
        </w:rPr>
        <w:t xml:space="preserve">, </w:t>
      </w:r>
      <w:r>
        <w:rPr>
          <w:rFonts w:ascii="Calibri" w:hAnsi="Calibri"/>
          <w:b w:val="0"/>
          <w:i/>
          <w:color w:val="5B6178"/>
          <w:sz w:val="20"/>
        </w:rPr>
        <w:t>Conversioni di unità</w:t>
      </w:r>
      <w:r>
        <w:rPr>
          <w:rFonts w:ascii="Calibri" w:hAnsi="Calibri"/>
          <w:b w:val="0"/>
          <w:i w:val="0"/>
          <w:color w:val="5B6178"/>
          <w:sz w:val="20"/>
        </w:rPr>
        <w:t xml:space="preserve">  </w:t>
      </w:r>
      <w:r>
        <w:rPr>
          <w:rFonts w:ascii="Calibri" w:hAnsi="Calibri"/>
          <w:b/>
          <w:i w:val="0"/>
          <w:color w:val="5B6178"/>
          <w:sz w:val="20"/>
        </w:rPr>
        <w:t>Procedimento completo:</w:t>
      </w:r>
      <w:r>
        <w:rPr>
          <w:rFonts w:ascii="Calibri" w:hAnsi="Calibri"/>
          <w:b w:val="0"/>
          <w:i w:val="0"/>
          <w:color w:val="5B6178"/>
          <w:sz w:val="20"/>
        </w:rPr>
        <w:t xml:space="preserve"> </w:t>
      </w:r>
      <w:r>
        <w:rPr>
          <w:rFonts w:ascii="Consolas" w:hAnsi="Consolas"/>
          <w:b w:val="0"/>
          <w:i w:val="0"/>
          <w:color w:val="7A5200"/>
          <w:sz w:val="19"/>
        </w:rPr>
        <w:t>notebooks/01_eda.ipynb</w:t>
      </w:r>
      <w:r>
        <w:rPr>
          <w:rFonts w:ascii="Calibri" w:hAnsi="Calibri"/>
          <w:b w:val="0"/>
          <w:i w:val="0"/>
          <w:color w:val="5B6178"/>
          <w:sz w:val="20"/>
        </w:rPr>
        <w:t xml:space="preserve"> (eseguibile dall'inizio alla fine)  </w:t>
      </w:r>
      <w:r>
        <w:rPr>
          <w:rFonts w:ascii="Calibri" w:hAnsi="Calibri"/>
          <w:b/>
          <w:i w:val="0"/>
          <w:color w:val="5B6178"/>
          <w:sz w:val="20"/>
        </w:rPr>
        <w:t>File analizzato:</w:t>
      </w:r>
      <w:r>
        <w:rPr>
          <w:rFonts w:ascii="Calibri" w:hAnsi="Calibri"/>
          <w:b w:val="0"/>
          <w:i w:val="0"/>
          <w:color w:val="5B6178"/>
          <w:sz w:val="20"/>
        </w:rPr>
        <w:t xml:space="preserve"> </w:t>
      </w:r>
      <w:r>
        <w:rPr>
          <w:rFonts w:ascii="Consolas" w:hAnsi="Consolas"/>
          <w:b w:val="0"/>
          <w:i w:val="0"/>
          <w:color w:val="7A5200"/>
          <w:sz w:val="19"/>
        </w:rPr>
        <w:t>data/honeyproduction.csv</w:t>
      </w:r>
      <w:r>
        <w:rPr>
          <w:rFonts w:ascii="Calibri" w:hAnsi="Calibri"/>
          <w:b w:val="0"/>
          <w:i w:val="0"/>
          <w:color w:val="5B6178"/>
          <w:sz w:val="20"/>
        </w:rPr>
        <w:t xml:space="preserve"> — 32 KB, ignorato da git  </w:t>
      </w:r>
      <w:r>
        <w:rPr>
          <w:rFonts w:ascii="Calibri" w:hAnsi="Calibri"/>
          <w:b/>
          <w:i w:val="0"/>
          <w:color w:val="5B6178"/>
          <w:sz w:val="20"/>
        </w:rPr>
        <w:t>Stato:</w:t>
      </w:r>
      <w:r>
        <w:rPr>
          <w:rFonts w:ascii="Calibri" w:hAnsi="Calibri"/>
          <w:b w:val="0"/>
          <w:i w:val="0"/>
          <w:color w:val="5B6178"/>
          <w:sz w:val="20"/>
        </w:rPr>
        <w:t xml:space="preserve"> manca la scelta motivata del target, che arriva con M2-T3.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Fonte</w:t>
      </w:r>
    </w:p>
    <w:p>
      <w:pPr>
        <w:jc w:val="both"/>
      </w:pPr>
      <w:r>
        <w:rPr>
          <w:rFonts w:ascii="Calibri" w:hAnsi="Calibri"/>
          <w:b w:val="0"/>
          <w:i/>
          <w:color w:val="1A2138"/>
          <w:sz w:val="21"/>
        </w:rPr>
        <w:t>Honey Production in the USA (1998-2012)</w:t>
      </w:r>
      <w:r>
        <w:rPr>
          <w:rFonts w:ascii="Calibri" w:hAnsi="Calibri"/>
          <w:b w:val="0"/>
          <w:i w:val="0"/>
          <w:color w:val="1A2138"/>
          <w:sz w:val="21"/>
        </w:rPr>
        <w:t xml:space="preserve">, pubblicato su Kaggle da Jessica Li, ricavato dai rilevamenti del </w:t>
      </w:r>
      <w:r>
        <w:rPr>
          <w:rFonts w:ascii="Calibri" w:hAnsi="Calibri"/>
          <w:b/>
          <w:i w:val="0"/>
          <w:color w:val="1A2138"/>
          <w:sz w:val="21"/>
        </w:rPr>
        <w:t>National Agricultural Statistics Service (NASS)</w:t>
      </w:r>
      <w:r>
        <w:rPr>
          <w:rFonts w:ascii="Calibri" w:hAnsi="Calibri"/>
          <w:b w:val="0"/>
          <w:i w:val="0"/>
          <w:color w:val="1A2138"/>
          <w:sz w:val="21"/>
        </w:rPr>
        <w:t xml:space="preserve"> del Dipartimento dell'Agricoltura degli Stati Uniti.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Il file </w:t>
      </w:r>
      <w:r>
        <w:rPr>
          <w:rFonts w:ascii="Consolas" w:hAnsi="Consolas"/>
          <w:b w:val="0"/>
          <w:i w:val="0"/>
          <w:color w:val="7A5200"/>
          <w:sz w:val="20"/>
        </w:rPr>
        <w:t>honeyproduction.csv</w:t>
      </w:r>
      <w:r>
        <w:rPr>
          <w:rFonts w:ascii="Calibri" w:hAnsi="Calibri"/>
          <w:b w:val="0"/>
          <w:i w:val="0"/>
          <w:color w:val="1A2138"/>
          <w:sz w:val="21"/>
        </w:rPr>
        <w:t xml:space="preserve"> è la versione già ripulita dall'autrice; nello stesso archivio ci sono tre file </w:t>
      </w:r>
      <w:r>
        <w:rPr>
          <w:rFonts w:ascii="Consolas" w:hAnsi="Consolas"/>
          <w:b w:val="0"/>
          <w:i w:val="0"/>
          <w:color w:val="7A5200"/>
          <w:sz w:val="20"/>
        </w:rPr>
        <w:t>honeyraw_*</w:t>
      </w:r>
      <w:r>
        <w:rPr>
          <w:rFonts w:ascii="Calibri" w:hAnsi="Calibri"/>
          <w:b w:val="0"/>
          <w:i w:val="0"/>
          <w:color w:val="1A2138"/>
          <w:sz w:val="21"/>
        </w:rPr>
        <w:t xml:space="preserve"> con i dati grezzi, che </w:t>
      </w:r>
      <w:r>
        <w:rPr>
          <w:rFonts w:ascii="Calibri" w:hAnsi="Calibri"/>
          <w:b/>
          <w:i w:val="0"/>
          <w:color w:val="1A2138"/>
          <w:sz w:val="21"/>
        </w:rPr>
        <w:t>non usiamo</w:t>
      </w:r>
      <w:r>
        <w:rPr>
          <w:rFonts w:ascii="Calibri" w:hAnsi="Calibri"/>
          <w:b w:val="0"/>
          <w:i w:val="0"/>
          <w:color w:val="1A2138"/>
          <w:sz w:val="21"/>
        </w:rPr>
        <w:t>: partire dal file tidy è una scelta deliberata, perché la nostra task non è ricostruire il dataset ma capirlo.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Ogni riga è la sintesi di </w:t>
      </w:r>
      <w:r>
        <w:rPr>
          <w:rFonts w:ascii="Calibri" w:hAnsi="Calibri"/>
          <w:b/>
          <w:i w:val="0"/>
          <w:color w:val="1A2138"/>
          <w:sz w:val="21"/>
        </w:rPr>
        <w:t>uno stato in un anno</w:t>
      </w:r>
      <w:r>
        <w:rPr>
          <w:rFonts w:ascii="Calibri" w:hAnsi="Calibri"/>
          <w:b w:val="0"/>
          <w:i w:val="0"/>
          <w:color w:val="1A2138"/>
          <w:sz w:val="21"/>
        </w:rPr>
        <w:t>. Non esistono righe per singolo apiario o per singolo alveare: è un dato aggregato, e questo è il fatto più importante di tutta l'analisi.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Struttura in breve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3708"/>
        <w:gridCol w:w="4903"/>
      </w:tblGrid>
      <w:tr>
        <w:tc>
          <w:tcPr>
            <w:tcW w:type="dxa" w:w="370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Righe</w:t>
            </w:r>
          </w:p>
        </w:tc>
        <w:tc>
          <w:tcPr>
            <w:tcW w:type="dxa" w:w="490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626</w:t>
            </w:r>
          </w:p>
        </w:tc>
      </w:tr>
      <w:tr>
        <w:tc>
          <w:tcPr>
            <w:tcW w:type="dxa" w:w="370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Colonne</w:t>
            </w:r>
          </w:p>
        </w:tc>
        <w:tc>
          <w:tcPr>
            <w:tcW w:type="dxa" w:w="490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8</w:t>
            </w:r>
          </w:p>
        </w:tc>
      </w:tr>
      <w:tr>
        <w:tc>
          <w:tcPr>
            <w:tcW w:type="dxa" w:w="370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Stati</w:t>
            </w:r>
          </w:p>
        </w:tc>
        <w:tc>
          <w:tcPr>
            <w:tcW w:type="dxa" w:w="490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44</w:t>
            </w:r>
          </w:p>
        </w:tc>
      </w:tr>
      <w:tr>
        <w:tc>
          <w:tcPr>
            <w:tcW w:type="dxa" w:w="370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Anni</w:t>
            </w:r>
          </w:p>
        </w:tc>
        <w:tc>
          <w:tcPr>
            <w:tcW w:type="dxa" w:w="490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1998 – 2012 (15)</w:t>
            </w:r>
          </w:p>
        </w:tc>
      </w:tr>
      <w:tr>
        <w:tc>
          <w:tcPr>
            <w:tcW w:type="dxa" w:w="370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Valori mancanti</w:t>
            </w:r>
          </w:p>
        </w:tc>
        <w:tc>
          <w:tcPr>
            <w:tcW w:type="dxa" w:w="4903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0</w:t>
            </w:r>
          </w:p>
        </w:tc>
      </w:tr>
      <w:tr>
        <w:tc>
          <w:tcPr>
            <w:tcW w:type="dxa" w:w="370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Duplicati su (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state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year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)</w:t>
            </w:r>
          </w:p>
        </w:tc>
        <w:tc>
          <w:tcPr>
            <w:tcW w:type="dxa" w:w="4903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0</w:t>
            </w:r>
          </w:p>
        </w:tc>
      </w:tr>
      <w:tr>
        <w:tc>
          <w:tcPr>
            <w:tcW w:type="dxa" w:w="370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Unità di misura</w:t>
            </w:r>
          </w:p>
        </w:tc>
        <w:tc>
          <w:tcPr>
            <w:tcW w:type="dxa" w:w="490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libbre (produzione), dollari (prezzo e valore)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Le colonne: </w:t>
      </w:r>
      <w:r>
        <w:rPr>
          <w:rFonts w:ascii="Consolas" w:hAnsi="Consolas"/>
          <w:b w:val="0"/>
          <w:i w:val="0"/>
          <w:color w:val="7A5200"/>
          <w:sz w:val="20"/>
        </w:rPr>
        <w:t>state</w:t>
      </w:r>
      <w:r>
        <w:rPr>
          <w:rFonts w:ascii="Calibri" w:hAnsi="Calibri"/>
          <w:b w:val="0"/>
          <w:i w:val="0"/>
          <w:color w:val="1A2138"/>
          <w:sz w:val="21"/>
        </w:rPr>
        <w:t xml:space="preserve">, </w:t>
      </w:r>
      <w:r>
        <w:rPr>
          <w:rFonts w:ascii="Consolas" w:hAnsi="Consolas"/>
          <w:b w:val="0"/>
          <w:i w:val="0"/>
          <w:color w:val="7A5200"/>
          <w:sz w:val="20"/>
        </w:rPr>
        <w:t>numcol</w:t>
      </w:r>
      <w:r>
        <w:rPr>
          <w:rFonts w:ascii="Calibri" w:hAnsi="Calibri"/>
          <w:b w:val="0"/>
          <w:i w:val="0"/>
          <w:color w:val="1A2138"/>
          <w:sz w:val="21"/>
        </w:rPr>
        <w:t xml:space="preserve"> (numero di colonie), </w:t>
      </w:r>
      <w:r>
        <w:rPr>
          <w:rFonts w:ascii="Consolas" w:hAnsi="Consolas"/>
          <w:b w:val="0"/>
          <w:i w:val="0"/>
          <w:color w:val="7A5200"/>
          <w:sz w:val="20"/>
        </w:rPr>
        <w:t>yieldpercol</w:t>
      </w:r>
      <w:r>
        <w:rPr>
          <w:rFonts w:ascii="Calibri" w:hAnsi="Calibri"/>
          <w:b w:val="0"/>
          <w:i w:val="0"/>
          <w:color w:val="1A2138"/>
          <w:sz w:val="21"/>
        </w:rPr>
        <w:t xml:space="preserve"> (resa per colonia in libbre), </w:t>
      </w:r>
      <w:r>
        <w:rPr>
          <w:rFonts w:ascii="Consolas" w:hAnsi="Consolas"/>
          <w:b w:val="0"/>
          <w:i w:val="0"/>
          <w:color w:val="7A5200"/>
          <w:sz w:val="20"/>
        </w:rPr>
        <w:t>totalprod</w:t>
      </w:r>
      <w:r>
        <w:rPr>
          <w:rFonts w:ascii="Calibri" w:hAnsi="Calibri"/>
          <w:b w:val="0"/>
          <w:i w:val="0"/>
          <w:color w:val="1A2138"/>
          <w:sz w:val="21"/>
        </w:rPr>
        <w:t xml:space="preserve"> (produzione totale in libbre), </w:t>
      </w:r>
      <w:r>
        <w:rPr>
          <w:rFonts w:ascii="Consolas" w:hAnsi="Consolas"/>
          <w:b w:val="0"/>
          <w:i w:val="0"/>
          <w:color w:val="7A5200"/>
          <w:sz w:val="20"/>
        </w:rPr>
        <w:t>stocks</w:t>
      </w:r>
      <w:r>
        <w:rPr>
          <w:rFonts w:ascii="Calibri" w:hAnsi="Calibri"/>
          <w:b w:val="0"/>
          <w:i w:val="0"/>
          <w:color w:val="1A2138"/>
          <w:sz w:val="21"/>
        </w:rPr>
        <w:t xml:space="preserve"> (scorte a fine anno in libbre), </w:t>
      </w:r>
      <w:r>
        <w:rPr>
          <w:rFonts w:ascii="Consolas" w:hAnsi="Consolas"/>
          <w:b w:val="0"/>
          <w:i w:val="0"/>
          <w:color w:val="7A5200"/>
          <w:sz w:val="20"/>
        </w:rPr>
        <w:t>priceperlb</w:t>
      </w:r>
      <w:r>
        <w:rPr>
          <w:rFonts w:ascii="Calibri" w:hAnsi="Calibri"/>
          <w:b w:val="0"/>
          <w:i w:val="0"/>
          <w:color w:val="1A2138"/>
          <w:sz w:val="21"/>
        </w:rPr>
        <w:t xml:space="preserve"> (prezzo per libbra in dollari), </w:t>
      </w:r>
      <w:r>
        <w:rPr>
          <w:rFonts w:ascii="Consolas" w:hAnsi="Consolas"/>
          <w:b w:val="0"/>
          <w:i w:val="0"/>
          <w:color w:val="7A5200"/>
          <w:sz w:val="20"/>
        </w:rPr>
        <w:t>prodvalue</w:t>
      </w:r>
      <w:r>
        <w:rPr>
          <w:rFonts w:ascii="Calibri" w:hAnsi="Calibri"/>
          <w:b w:val="0"/>
          <w:i w:val="0"/>
          <w:color w:val="1A2138"/>
          <w:sz w:val="21"/>
        </w:rPr>
        <w:t xml:space="preserve"> (valore della produzione in dollari), </w:t>
      </w:r>
      <w:r>
        <w:rPr>
          <w:rFonts w:ascii="Consolas" w:hAnsi="Consolas"/>
          <w:b w:val="0"/>
          <w:i w:val="0"/>
          <w:color w:val="7A5200"/>
          <w:sz w:val="20"/>
        </w:rPr>
        <w:t>year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Dizionario delle colonne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Il </w:t>
      </w:r>
      <w:r>
        <w:rPr>
          <w:rFonts w:ascii="Calibri" w:hAnsi="Calibri"/>
          <w:b/>
          <w:i w:val="0"/>
          <w:color w:val="1A2138"/>
          <w:sz w:val="21"/>
        </w:rPr>
        <w:t>nome interno</w:t>
      </w:r>
      <w:r>
        <w:rPr>
          <w:rFonts w:ascii="Calibri" w:hAnsi="Calibri"/>
          <w:b w:val="0"/>
          <w:i w:val="0"/>
          <w:color w:val="1A2138"/>
          <w:sz w:val="21"/>
        </w:rPr>
        <w:t xml:space="preserve"> è quello che useremo nel codice, nel database e nell'interfaccia. Il nome originale resta solo nel modulo che legge il CSV.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1733"/>
        <w:gridCol w:w="2282"/>
        <w:gridCol w:w="1678"/>
        <w:gridCol w:w="1514"/>
        <w:gridCol w:w="1404"/>
      </w:tblGrid>
      <w:tr>
        <w:tc>
          <w:tcPr>
            <w:tcW w:type="dxa" w:w="1733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Colonna (fonte)</w:t>
            </w:r>
          </w:p>
        </w:tc>
        <w:tc>
          <w:tcPr>
            <w:tcW w:type="dxa" w:w="2282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Nome interno</w:t>
            </w:r>
          </w:p>
        </w:tc>
        <w:tc>
          <w:tcPr>
            <w:tcW w:type="dxa" w:w="1678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Significato</w:t>
            </w:r>
          </w:p>
        </w:tc>
        <w:tc>
          <w:tcPr>
            <w:tcW w:type="dxa" w:w="1514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Tipo</w:t>
            </w:r>
          </w:p>
        </w:tc>
        <w:tc>
          <w:tcPr>
            <w:tcW w:type="dxa" w:w="1404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Unità</w:t>
            </w:r>
          </w:p>
        </w:tc>
      </w:tr>
      <w:tr>
        <w:tc>
          <w:tcPr>
            <w:tcW w:type="dxa" w:w="173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state</w:t>
            </w:r>
          </w:p>
        </w:tc>
        <w:tc>
          <w:tcPr>
            <w:tcW w:type="dxa" w:w="228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stato</w:t>
            </w:r>
          </w:p>
        </w:tc>
        <w:tc>
          <w:tcPr>
            <w:tcW w:type="dxa" w:w="167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Codice dello stato USA in cui è stata rilevata la produzione</w:t>
            </w:r>
          </w:p>
        </w:tc>
        <w:tc>
          <w:tcPr>
            <w:tcW w:type="dxa" w:w="151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testo, 2 caratteri</w:t>
            </w:r>
          </w:p>
        </w:tc>
        <w:tc>
          <w:tcPr>
            <w:tcW w:type="dxa" w:w="140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—</w:t>
            </w:r>
          </w:p>
        </w:tc>
      </w:tr>
      <w:tr>
        <w:tc>
          <w:tcPr>
            <w:tcW w:type="dxa" w:w="173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year</w:t>
            </w:r>
          </w:p>
        </w:tc>
        <w:tc>
          <w:tcPr>
            <w:tcW w:type="dxa" w:w="228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anno</w:t>
            </w:r>
          </w:p>
        </w:tc>
        <w:tc>
          <w:tcPr>
            <w:tcW w:type="dxa" w:w="167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Anno di riferimento della rilevazione</w:t>
            </w:r>
          </w:p>
        </w:tc>
        <w:tc>
          <w:tcPr>
            <w:tcW w:type="dxa" w:w="151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intero</w:t>
            </w:r>
          </w:p>
        </w:tc>
        <w:tc>
          <w:tcPr>
            <w:tcW w:type="dxa" w:w="140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anno solare</w:t>
            </w:r>
          </w:p>
        </w:tc>
      </w:tr>
      <w:tr>
        <w:tc>
          <w:tcPr>
            <w:tcW w:type="dxa" w:w="173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numcol</w:t>
            </w:r>
          </w:p>
        </w:tc>
        <w:tc>
          <w:tcPr>
            <w:tcW w:type="dxa" w:w="228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numero_colonie</w:t>
            </w:r>
          </w:p>
        </w:tc>
        <w:tc>
          <w:tcPr>
            <w:tcW w:type="dxa" w:w="167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Numero di colonie produttive nello stato</w:t>
            </w:r>
          </w:p>
        </w:tc>
        <w:tc>
          <w:tcPr>
            <w:tcW w:type="dxa" w:w="151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intero</w:t>
            </w:r>
          </w:p>
        </w:tc>
        <w:tc>
          <w:tcPr>
            <w:tcW w:type="dxa" w:w="140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colonie</w:t>
            </w:r>
          </w:p>
        </w:tc>
      </w:tr>
      <w:tr>
        <w:tc>
          <w:tcPr>
            <w:tcW w:type="dxa" w:w="173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yieldpercol</w:t>
            </w:r>
          </w:p>
        </w:tc>
        <w:tc>
          <w:tcPr>
            <w:tcW w:type="dxa" w:w="228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resa_per_colonia_kg</w:t>
            </w:r>
          </w:p>
        </w:tc>
        <w:tc>
          <w:tcPr>
            <w:tcW w:type="dxa" w:w="167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Miele prodotto in media da una colonia</w:t>
            </w:r>
          </w:p>
        </w:tc>
        <w:tc>
          <w:tcPr>
            <w:tcW w:type="dxa" w:w="151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decimale</w:t>
            </w:r>
          </w:p>
        </w:tc>
        <w:tc>
          <w:tcPr>
            <w:tcW w:type="dxa" w:w="140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kg (da libbre)</w:t>
            </w:r>
          </w:p>
        </w:tc>
      </w:tr>
      <w:tr>
        <w:tc>
          <w:tcPr>
            <w:tcW w:type="dxa" w:w="173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totalprod</w:t>
            </w:r>
          </w:p>
        </w:tc>
        <w:tc>
          <w:tcPr>
            <w:tcW w:type="dxa" w:w="228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produzione_totale_kg</w:t>
            </w:r>
          </w:p>
        </w:tc>
        <w:tc>
          <w:tcPr>
            <w:tcW w:type="dxa" w:w="167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Produzione complessiva dello stato — </w:t>
            </w: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derivata</w:t>
            </w:r>
          </w:p>
        </w:tc>
        <w:tc>
          <w:tcPr>
            <w:tcW w:type="dxa" w:w="151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decimale</w:t>
            </w:r>
          </w:p>
        </w:tc>
        <w:tc>
          <w:tcPr>
            <w:tcW w:type="dxa" w:w="140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kg (da libbre)</w:t>
            </w:r>
          </w:p>
        </w:tc>
      </w:tr>
      <w:tr>
        <w:tc>
          <w:tcPr>
            <w:tcW w:type="dxa" w:w="173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stocks</w:t>
            </w:r>
          </w:p>
        </w:tc>
        <w:tc>
          <w:tcPr>
            <w:tcW w:type="dxa" w:w="228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scorte_kg</w:t>
            </w:r>
          </w:p>
        </w:tc>
        <w:tc>
          <w:tcPr>
            <w:tcW w:type="dxa" w:w="167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Miele invenduto al 15 dicembre</w:t>
            </w:r>
          </w:p>
        </w:tc>
        <w:tc>
          <w:tcPr>
            <w:tcW w:type="dxa" w:w="151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decimale</w:t>
            </w:r>
          </w:p>
        </w:tc>
        <w:tc>
          <w:tcPr>
            <w:tcW w:type="dxa" w:w="140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kg (da libbre)</w:t>
            </w:r>
          </w:p>
        </w:tc>
      </w:tr>
      <w:tr>
        <w:tc>
          <w:tcPr>
            <w:tcW w:type="dxa" w:w="173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priceperlb</w:t>
            </w:r>
          </w:p>
        </w:tc>
        <w:tc>
          <w:tcPr>
            <w:tcW w:type="dxa" w:w="228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prezzo_per_kg_usd</w:t>
            </w:r>
          </w:p>
        </w:tc>
        <w:tc>
          <w:tcPr>
            <w:tcW w:type="dxa" w:w="167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Prezzo medio di vendita</w:t>
            </w:r>
          </w:p>
        </w:tc>
        <w:tc>
          <w:tcPr>
            <w:tcW w:type="dxa" w:w="151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decimale</w:t>
            </w:r>
          </w:p>
        </w:tc>
        <w:tc>
          <w:tcPr>
            <w:tcW w:type="dxa" w:w="140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USD/kg (da USD/lb)</w:t>
            </w:r>
          </w:p>
        </w:tc>
      </w:tr>
      <w:tr>
        <w:tc>
          <w:tcPr>
            <w:tcW w:type="dxa" w:w="173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prodvalue</w:t>
            </w:r>
          </w:p>
        </w:tc>
        <w:tc>
          <w:tcPr>
            <w:tcW w:type="dxa" w:w="228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valore_produzione_usd</w:t>
            </w:r>
          </w:p>
        </w:tc>
        <w:tc>
          <w:tcPr>
            <w:tcW w:type="dxa" w:w="167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Valore della produzione — </w:t>
            </w: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derivata</w:t>
            </w:r>
          </w:p>
        </w:tc>
        <w:tc>
          <w:tcPr>
            <w:tcW w:type="dxa" w:w="151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decimale</w:t>
            </w:r>
          </w:p>
        </w:tc>
        <w:tc>
          <w:tcPr>
            <w:tcW w:type="dxa" w:w="140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USD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Range e qualità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1598"/>
        <w:gridCol w:w="1420"/>
        <w:gridCol w:w="1420"/>
        <w:gridCol w:w="1376"/>
        <w:gridCol w:w="1376"/>
        <w:gridCol w:w="1420"/>
      </w:tblGrid>
      <w:tr>
        <w:tc>
          <w:tcPr>
            <w:tcW w:type="dxa" w:w="1598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Colonna</w:t>
            </w:r>
          </w:p>
        </w:tc>
        <w:tc>
          <w:tcPr>
            <w:tcW w:type="dxa" w:w="1420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Minimo osservato</w:t>
            </w:r>
          </w:p>
        </w:tc>
        <w:tc>
          <w:tcPr>
            <w:tcW w:type="dxa" w:w="1420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Massimo osservato</w:t>
            </w:r>
          </w:p>
        </w:tc>
        <w:tc>
          <w:tcPr>
            <w:tcW w:type="dxa" w:w="1376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Valori distinti</w:t>
            </w:r>
          </w:p>
        </w:tc>
        <w:tc>
          <w:tcPr>
            <w:tcW w:type="dxa" w:w="1376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Mancanti</w:t>
            </w:r>
          </w:p>
        </w:tc>
        <w:tc>
          <w:tcPr>
            <w:tcW w:type="dxa" w:w="1420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Range accettato dall'ETL</w:t>
            </w:r>
          </w:p>
        </w:tc>
      </w:tr>
      <w:tr>
        <w:tc>
          <w:tcPr>
            <w:tcW w:type="dxa" w:w="159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state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AL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WY</w:t>
            </w:r>
          </w:p>
        </w:tc>
        <w:tc>
          <w:tcPr>
            <w:tcW w:type="dxa" w:w="13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44</w:t>
            </w:r>
          </w:p>
        </w:tc>
        <w:tc>
          <w:tcPr>
            <w:tcW w:type="dxa" w:w="13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0 %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uno dei 44 codici elencati sotto</w:t>
            </w:r>
          </w:p>
        </w:tc>
      </w:tr>
      <w:tr>
        <w:tc>
          <w:tcPr>
            <w:tcW w:type="dxa" w:w="159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year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1998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2012</w:t>
            </w:r>
          </w:p>
        </w:tc>
        <w:tc>
          <w:tcPr>
            <w:tcW w:type="dxa" w:w="13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15</w:t>
            </w:r>
          </w:p>
        </w:tc>
        <w:tc>
          <w:tcPr>
            <w:tcW w:type="dxa" w:w="13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0 %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1990 – anno corrente</w:t>
            </w:r>
          </w:p>
        </w:tc>
      </w:tr>
      <w:tr>
        <w:tc>
          <w:tcPr>
            <w:tcW w:type="dxa" w:w="159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numcol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2 000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510 000</w:t>
            </w:r>
          </w:p>
        </w:tc>
        <w:tc>
          <w:tcPr>
            <w:tcW w:type="dxa" w:w="13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148</w:t>
            </w:r>
          </w:p>
        </w:tc>
        <w:tc>
          <w:tcPr>
            <w:tcW w:type="dxa" w:w="13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0 %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 – 1 000 000</w:t>
            </w:r>
          </w:p>
        </w:tc>
      </w:tr>
      <w:tr>
        <w:tc>
          <w:tcPr>
            <w:tcW w:type="dxa" w:w="159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yieldpercol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19 lb (8,6 kg)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136 lb (61,7 kg)</w:t>
            </w:r>
          </w:p>
        </w:tc>
        <w:tc>
          <w:tcPr>
            <w:tcW w:type="dxa" w:w="13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95</w:t>
            </w:r>
          </w:p>
        </w:tc>
        <w:tc>
          <w:tcPr>
            <w:tcW w:type="dxa" w:w="13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0 %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 – 200 lb</w:t>
            </w:r>
          </w:p>
        </w:tc>
      </w:tr>
      <w:tr>
        <w:tc>
          <w:tcPr>
            <w:tcW w:type="dxa" w:w="159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totalprod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84 000 lb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46 410 000 lb</w:t>
            </w:r>
          </w:p>
        </w:tc>
        <w:tc>
          <w:tcPr>
            <w:tcW w:type="dxa" w:w="13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517</w:t>
            </w:r>
          </w:p>
        </w:tc>
        <w:tc>
          <w:tcPr>
            <w:tcW w:type="dxa" w:w="13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0 %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&gt; 0</w:t>
            </w:r>
          </w:p>
        </w:tc>
      </w:tr>
      <w:tr>
        <w:tc>
          <w:tcPr>
            <w:tcW w:type="dxa" w:w="159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stocks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8 000 lb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13 800 000 lb</w:t>
            </w:r>
          </w:p>
        </w:tc>
        <w:tc>
          <w:tcPr>
            <w:tcW w:type="dxa" w:w="13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500</w:t>
            </w:r>
          </w:p>
        </w:tc>
        <w:tc>
          <w:tcPr>
            <w:tcW w:type="dxa" w:w="13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0 %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≥ 0</w:t>
            </w:r>
          </w:p>
        </w:tc>
      </w:tr>
      <w:tr>
        <w:tc>
          <w:tcPr>
            <w:tcW w:type="dxa" w:w="159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priceperlb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0,49 USD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4,15 USD</w:t>
            </w:r>
          </w:p>
        </w:tc>
        <w:tc>
          <w:tcPr>
            <w:tcW w:type="dxa" w:w="13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210</w:t>
            </w:r>
          </w:p>
        </w:tc>
        <w:tc>
          <w:tcPr>
            <w:tcW w:type="dxa" w:w="13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0 %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0,10 – 10,00 USD</w:t>
            </w:r>
          </w:p>
        </w:tc>
      </w:tr>
      <w:tr>
        <w:tc>
          <w:tcPr>
            <w:tcW w:type="dxa" w:w="159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prodvalue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162 000 USD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69 615 000 USD</w:t>
            </w:r>
          </w:p>
        </w:tc>
        <w:tc>
          <w:tcPr>
            <w:tcW w:type="dxa" w:w="13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589</w:t>
            </w:r>
          </w:p>
        </w:tc>
        <w:tc>
          <w:tcPr>
            <w:tcW w:type="dxa" w:w="13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0 %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&gt; 0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Il </w:t>
      </w:r>
      <w:r>
        <w:rPr>
          <w:rFonts w:ascii="Calibri" w:hAnsi="Calibri"/>
          <w:b/>
          <w:i w:val="0"/>
          <w:color w:val="1A2138"/>
          <w:sz w:val="21"/>
        </w:rPr>
        <w:t>range accettato</w:t>
      </w:r>
      <w:r>
        <w:rPr>
          <w:rFonts w:ascii="Calibri" w:hAnsi="Calibri"/>
          <w:b w:val="0"/>
          <w:i w:val="0"/>
          <w:color w:val="1A2138"/>
          <w:sz w:val="21"/>
        </w:rPr>
        <w:t xml:space="preserve"> è volutamente più largo di quello osservato: serve a validare i dati in ingresso senza rifiutare valori legittimi che il dataset attuale non contiene. Un valore fuori da quell'intervallo è un errore di formato, non un caso raro.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I 44 codici ammessi: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AL AR AZ CA CO FL GA HI IA ID IL IN KS KY LA MD ME MI MN MO MS MT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NC ND NE NJ NM NV NY OH OK OR PA SC SD TN TX UT VA VT WA WI WV WY</w:t>
      </w:r>
    </w:p>
    <w:p>
      <w:pPr>
        <w:spacing w:after="120"/>
      </w:pP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Un dettaglio sulla precisione</w:t>
      </w:r>
    </w:p>
    <w:p>
      <w:pPr>
        <w:jc w:val="both"/>
      </w:pPr>
      <w:r>
        <w:rPr>
          <w:rFonts w:ascii="Consolas" w:hAnsi="Consolas"/>
          <w:b w:val="0"/>
          <w:i w:val="0"/>
          <w:color w:val="7A5200"/>
          <w:sz w:val="20"/>
        </w:rPr>
        <w:t>numcol</w:t>
      </w:r>
      <w:r>
        <w:rPr>
          <w:rFonts w:ascii="Calibri" w:hAnsi="Calibri"/>
          <w:b w:val="0"/>
          <w:i w:val="0"/>
          <w:color w:val="1A2138"/>
          <w:sz w:val="21"/>
        </w:rPr>
        <w:t xml:space="preserve">, </w:t>
      </w:r>
      <w:r>
        <w:rPr>
          <w:rFonts w:ascii="Consolas" w:hAnsi="Consolas"/>
          <w:b w:val="0"/>
          <w:i w:val="0"/>
          <w:color w:val="7A5200"/>
          <w:sz w:val="20"/>
        </w:rPr>
        <w:t>totalprod</w:t>
      </w:r>
      <w:r>
        <w:rPr>
          <w:rFonts w:ascii="Calibri" w:hAnsi="Calibri"/>
          <w:b w:val="0"/>
          <w:i w:val="0"/>
          <w:color w:val="1A2138"/>
          <w:sz w:val="21"/>
        </w:rPr>
        <w:t xml:space="preserve">, </w:t>
      </w:r>
      <w:r>
        <w:rPr>
          <w:rFonts w:ascii="Consolas" w:hAnsi="Consolas"/>
          <w:b w:val="0"/>
          <w:i w:val="0"/>
          <w:color w:val="7A5200"/>
          <w:sz w:val="20"/>
        </w:rPr>
        <w:t>stocks</w:t>
      </w:r>
      <w:r>
        <w:rPr>
          <w:rFonts w:ascii="Calibri" w:hAnsi="Calibri"/>
          <w:b w:val="0"/>
          <w:i w:val="0"/>
          <w:color w:val="1A2138"/>
          <w:sz w:val="21"/>
        </w:rPr>
        <w:t xml:space="preserve"> e </w:t>
      </w:r>
      <w:r>
        <w:rPr>
          <w:rFonts w:ascii="Consolas" w:hAnsi="Consolas"/>
          <w:b w:val="0"/>
          <w:i w:val="0"/>
          <w:color w:val="7A5200"/>
          <w:sz w:val="20"/>
        </w:rPr>
        <w:t>prodvalue</w:t>
      </w:r>
      <w:r>
        <w:rPr>
          <w:rFonts w:ascii="Calibri" w:hAnsi="Calibri"/>
          <w:b w:val="0"/>
          <w:i w:val="0"/>
          <w:color w:val="1A2138"/>
          <w:sz w:val="21"/>
        </w:rPr>
        <w:t xml:space="preserve"> sono </w:t>
      </w:r>
      <w:r>
        <w:rPr>
          <w:rFonts w:ascii="Calibri" w:hAnsi="Calibri"/>
          <w:b/>
          <w:i w:val="0"/>
          <w:color w:val="1A2138"/>
          <w:sz w:val="21"/>
        </w:rPr>
        <w:t>tutti multipli di 1000</w:t>
      </w:r>
      <w:r>
        <w:rPr>
          <w:rFonts w:ascii="Calibri" w:hAnsi="Calibri"/>
          <w:b w:val="0"/>
          <w:i w:val="0"/>
          <w:color w:val="1A2138"/>
          <w:sz w:val="21"/>
        </w:rPr>
        <w:t xml:space="preserve"> nella fonte: il NASS arrotonda al migliaio. </w:t>
      </w:r>
      <w:r>
        <w:rPr>
          <w:rFonts w:ascii="Consolas" w:hAnsi="Consolas"/>
          <w:b w:val="0"/>
          <w:i w:val="0"/>
          <w:color w:val="7A5200"/>
          <w:sz w:val="20"/>
        </w:rPr>
        <w:t>yieldpercol</w:t>
      </w:r>
      <w:r>
        <w:rPr>
          <w:rFonts w:ascii="Calibri" w:hAnsi="Calibri"/>
          <w:b w:val="0"/>
          <w:i w:val="0"/>
          <w:color w:val="1A2138"/>
          <w:sz w:val="21"/>
        </w:rPr>
        <w:t xml:space="preserve"> è un intero in libbre, </w:t>
      </w:r>
      <w:r>
        <w:rPr>
          <w:rFonts w:ascii="Consolas" w:hAnsi="Consolas"/>
          <w:b w:val="0"/>
          <w:i w:val="0"/>
          <w:color w:val="7A5200"/>
          <w:sz w:val="20"/>
        </w:rPr>
        <w:t>priceperlb</w:t>
      </w:r>
      <w:r>
        <w:rPr>
          <w:rFonts w:ascii="Calibri" w:hAnsi="Calibri"/>
          <w:b w:val="0"/>
          <w:i w:val="0"/>
          <w:color w:val="1A2138"/>
          <w:sz w:val="21"/>
        </w:rPr>
        <w:t xml:space="preserve"> ha al massimo due decimali.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Conseguenza.</w:t>
      </w:r>
      <w:r>
        <w:rPr>
          <w:rFonts w:ascii="Calibri" w:hAnsi="Calibri"/>
          <w:b w:val="0"/>
          <w:i w:val="0"/>
          <w:color w:val="1A2138"/>
          <w:sz w:val="21"/>
        </w:rPr>
        <w:t xml:space="preserve"> Il dato di partenza ha una precisione grossolana. Una previsione che uscisse con tre cifre decimali darebbe un'impressione di accuratezza che i dati non giustificano: la UI dovrà arrotondare di conseguenza (M6).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Osservazioni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1. Il dataset è completo, ma il pannello è sbilanciato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Zero valori mancanti e zero duplicati: un caso raro, che si spiega col fatto che il file è già stato ripulito a monte. Sarebbe però un errore concluderne che i dati sono "completi".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Solo </w:t>
      </w:r>
      <w:r>
        <w:rPr>
          <w:rFonts w:ascii="Calibri" w:hAnsi="Calibri"/>
          <w:b/>
          <w:i w:val="0"/>
          <w:color w:val="1A2138"/>
          <w:sz w:val="21"/>
        </w:rPr>
        <w:t>40 stati su 44</w:t>
      </w:r>
      <w:r>
        <w:rPr>
          <w:rFonts w:ascii="Calibri" w:hAnsi="Calibri"/>
          <w:b w:val="0"/>
          <w:i w:val="0"/>
          <w:color w:val="1A2138"/>
          <w:sz w:val="21"/>
        </w:rPr>
        <w:t xml:space="preserve"> hanno tutti e 15 gli anni. Gli altri quattro compaiono a intermittenza: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306"/>
        <w:gridCol w:w="4306"/>
      </w:tblGrid>
      <w:tr>
        <w:tc>
          <w:tcPr>
            <w:tcW w:type="dxa" w:w="4306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Stato</w:t>
            </w:r>
          </w:p>
        </w:tc>
        <w:tc>
          <w:tcPr>
            <w:tcW w:type="dxa" w:w="4306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Anni presenti</w:t>
            </w:r>
          </w:p>
        </w:tc>
      </w:tr>
      <w:tr>
        <w:tc>
          <w:tcPr>
            <w:tcW w:type="dxa" w:w="430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South Carolina (SC)</w:t>
            </w:r>
          </w:p>
        </w:tc>
        <w:tc>
          <w:tcPr>
            <w:tcW w:type="dxa" w:w="430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3</w:t>
            </w:r>
          </w:p>
        </w:tc>
      </w:tr>
      <w:tr>
        <w:tc>
          <w:tcPr>
            <w:tcW w:type="dxa" w:w="430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Maryland (MD)</w:t>
            </w:r>
          </w:p>
        </w:tc>
        <w:tc>
          <w:tcPr>
            <w:tcW w:type="dxa" w:w="430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6</w:t>
            </w:r>
          </w:p>
        </w:tc>
      </w:tr>
      <w:tr>
        <w:tc>
          <w:tcPr>
            <w:tcW w:type="dxa" w:w="430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Oklahoma (OK)</w:t>
            </w:r>
          </w:p>
        </w:tc>
        <w:tc>
          <w:tcPr>
            <w:tcW w:type="dxa" w:w="430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6</w:t>
            </w:r>
          </w:p>
        </w:tc>
      </w:tr>
      <w:tr>
        <w:tc>
          <w:tcPr>
            <w:tcW w:type="dxa" w:w="430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Nevada (NV)</w:t>
            </w:r>
          </w:p>
        </w:tc>
        <w:tc>
          <w:tcPr>
            <w:tcW w:type="dxa" w:w="430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11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Il numero di stati rilevati scende da 43 nel 1998 a </w:t>
      </w:r>
      <w:r>
        <w:rPr>
          <w:rFonts w:ascii="Calibri" w:hAnsi="Calibri"/>
          <w:b/>
          <w:i w:val="0"/>
          <w:color w:val="1A2138"/>
          <w:sz w:val="21"/>
        </w:rPr>
        <w:t>40 dal 2009 in poi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Perché conta.</w:t>
      </w:r>
      <w:r>
        <w:rPr>
          <w:rFonts w:ascii="Calibri" w:hAnsi="Calibri"/>
          <w:b w:val="0"/>
          <w:i w:val="0"/>
          <w:color w:val="1A2138"/>
          <w:sz w:val="21"/>
        </w:rPr>
        <w:t xml:space="preserve"> Sommare la produzione anno per anno su tutti gli stati disponibili produce una serie storica in cui parte del calo è dovuta all'uscita di stati dal campione, non a un fenomeno reale. Nel notebook gli andamenti temporali sono calcolati </w:t>
      </w:r>
      <w:r>
        <w:rPr>
          <w:rFonts w:ascii="Calibri" w:hAnsi="Calibri"/>
          <w:b/>
          <w:i w:val="0"/>
          <w:color w:val="1A2138"/>
          <w:sz w:val="21"/>
        </w:rPr>
        <w:t>solo sui 40 stati completi</w:t>
      </w:r>
      <w:r>
        <w:rPr>
          <w:rFonts w:ascii="Calibri" w:hAnsi="Calibri"/>
          <w:b w:val="0"/>
          <w:i w:val="0"/>
          <w:color w:val="1A2138"/>
          <w:sz w:val="21"/>
        </w:rPr>
        <w:t xml:space="preserve"> (pannello bilanciato). Chiunque rifaccia questa analisi deve fare lo stesso.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2. Tre colonne su otto sono calcolate dalle altre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Verificato su tutte le 626 righe, con scarto massimo pari a </w:t>
      </w:r>
      <w:r>
        <w:rPr>
          <w:rFonts w:ascii="Calibri" w:hAnsi="Calibri"/>
          <w:b/>
          <w:i w:val="0"/>
          <w:color w:val="1A2138"/>
          <w:sz w:val="21"/>
        </w:rPr>
        <w:t>zero</w:t>
      </w:r>
      <w:r>
        <w:rPr>
          <w:rFonts w:ascii="Calibri" w:hAnsi="Calibri"/>
          <w:b w:val="0"/>
          <w:i w:val="0"/>
          <w:color w:val="1A2138"/>
          <w:sz w:val="21"/>
        </w:rPr>
        <w:t>: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totalprod = numcol × yieldpercol</w:t>
      </w:r>
    </w:p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E, a meno di un arrotondamento al migliaio di dollari (scarto massimo 500 $, pari allo 0,22 %):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prodvalue = totalprod × priceperlb</w:t>
      </w:r>
    </w:p>
    <w:p>
      <w:pPr>
        <w:spacing w:after="120"/>
      </w:pP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Perché conta.</w:t>
      </w:r>
      <w:r>
        <w:rPr>
          <w:rFonts w:ascii="Calibri" w:hAnsi="Calibri"/>
          <w:b w:val="0"/>
          <w:i w:val="0"/>
          <w:color w:val="1A2138"/>
          <w:sz w:val="21"/>
        </w:rPr>
        <w:t xml:space="preserve"> È l'osservazione con più conseguenze pratiche di tutta l'analisi. Un modello di regressione che prevede </w:t>
      </w:r>
      <w:r>
        <w:rPr>
          <w:rFonts w:ascii="Consolas" w:hAnsi="Consolas"/>
          <w:b w:val="0"/>
          <w:i w:val="0"/>
          <w:color w:val="7A5200"/>
          <w:sz w:val="20"/>
        </w:rPr>
        <w:t>totalprod</w:t>
      </w:r>
      <w:r>
        <w:rPr>
          <w:rFonts w:ascii="Calibri" w:hAnsi="Calibri"/>
          <w:b w:val="0"/>
          <w:i w:val="0"/>
          <w:color w:val="1A2138"/>
          <w:sz w:val="21"/>
        </w:rPr>
        <w:t xml:space="preserve"> ricevendo </w:t>
      </w:r>
      <w:r>
        <w:rPr>
          <w:rFonts w:ascii="Consolas" w:hAnsi="Consolas"/>
          <w:b w:val="0"/>
          <w:i w:val="0"/>
          <w:color w:val="7A5200"/>
          <w:sz w:val="20"/>
        </w:rPr>
        <w:t>numcol</w:t>
      </w:r>
      <w:r>
        <w:rPr>
          <w:rFonts w:ascii="Calibri" w:hAnsi="Calibri"/>
          <w:b w:val="0"/>
          <w:i w:val="0"/>
          <w:color w:val="1A2138"/>
          <w:sz w:val="21"/>
        </w:rPr>
        <w:t xml:space="preserve"> e </w:t>
      </w:r>
      <w:r>
        <w:rPr>
          <w:rFonts w:ascii="Consolas" w:hAnsi="Consolas"/>
          <w:b w:val="0"/>
          <w:i w:val="0"/>
          <w:color w:val="7A5200"/>
          <w:sz w:val="20"/>
        </w:rPr>
        <w:t>yieldpercol</w:t>
      </w:r>
      <w:r>
        <w:rPr>
          <w:rFonts w:ascii="Calibri" w:hAnsi="Calibri"/>
          <w:b w:val="0"/>
          <w:i w:val="0"/>
          <w:color w:val="1A2138"/>
          <w:sz w:val="21"/>
        </w:rPr>
        <w:t xml:space="preserve"> fra le variabili di ingresso otterrebbe un R² pari a 1 senza aver imparato nulla: starebbe eseguendo una moltiplicazione. È il caso da manuale di </w:t>
      </w:r>
      <w:r>
        <w:rPr>
          <w:rFonts w:ascii="Calibri" w:hAnsi="Calibri"/>
          <w:b/>
          <w:i w:val="0"/>
          <w:color w:val="1A2138"/>
          <w:sz w:val="21"/>
        </w:rPr>
        <w:t>data leakage</w:t>
      </w:r>
      <w:r>
        <w:rPr>
          <w:rFonts w:ascii="Calibri" w:hAnsi="Calibri"/>
          <w:b w:val="0"/>
          <w:i w:val="0"/>
          <w:color w:val="1A2138"/>
          <w:sz w:val="21"/>
        </w:rPr>
        <w:t>, e sarebbe la prima cosa che un esaminatore nota.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Conseguenza per il progetto.</w:t>
      </w:r>
      <w:r>
        <w:rPr>
          <w:rFonts w:ascii="Calibri" w:hAnsi="Calibri"/>
          <w:b w:val="0"/>
          <w:i w:val="0"/>
          <w:color w:val="1A2138"/>
          <w:sz w:val="21"/>
        </w:rPr>
        <w:t xml:space="preserve"> Il target della regressione deve essere </w:t>
      </w:r>
      <w:r>
        <w:rPr>
          <w:rFonts w:ascii="Consolas" w:hAnsi="Consolas"/>
          <w:b w:val="0"/>
          <w:i w:val="0"/>
          <w:color w:val="7A5200"/>
          <w:sz w:val="20"/>
        </w:rPr>
        <w:t>yieldpercol</w:t>
      </w:r>
      <w:r>
        <w:rPr>
          <w:rFonts w:ascii="Calibri" w:hAnsi="Calibri"/>
          <w:b w:val="0"/>
          <w:i w:val="0"/>
          <w:color w:val="1A2138"/>
          <w:sz w:val="21"/>
        </w:rPr>
        <w:t xml:space="preserve">, la resa per colonia, e </w:t>
      </w:r>
      <w:r>
        <w:rPr>
          <w:rFonts w:ascii="Consolas" w:hAnsi="Consolas"/>
          <w:b w:val="0"/>
          <w:i w:val="0"/>
          <w:color w:val="7A5200"/>
          <w:sz w:val="20"/>
        </w:rPr>
        <w:t>totalprod</w:t>
      </w:r>
      <w:r>
        <w:rPr>
          <w:rFonts w:ascii="Calibri" w:hAnsi="Calibri"/>
          <w:b w:val="0"/>
          <w:i w:val="0"/>
          <w:color w:val="1A2138"/>
          <w:sz w:val="21"/>
        </w:rPr>
        <w:t xml:space="preserve"> e </w:t>
      </w:r>
      <w:r>
        <w:rPr>
          <w:rFonts w:ascii="Consolas" w:hAnsi="Consolas"/>
          <w:b w:val="0"/>
          <w:i w:val="0"/>
          <w:color w:val="7A5200"/>
          <w:sz w:val="20"/>
        </w:rPr>
        <w:t>prodvalue</w:t>
      </w:r>
      <w:r>
        <w:rPr>
          <w:rFonts w:ascii="Calibri" w:hAnsi="Calibri"/>
          <w:b w:val="0"/>
          <w:i w:val="0"/>
          <w:color w:val="1A2138"/>
          <w:sz w:val="21"/>
        </w:rPr>
        <w:t xml:space="preserve"> non possono comparire fra i predittori. La decisione formale è di M2-T3; qui è la prova numerica che la rende obbligata.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3. La produzione crolla, ma gli alveari non diminuiscono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Sul pannello bilanciato, fra il 1998 e il 2012: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638"/>
        <w:gridCol w:w="1668"/>
        <w:gridCol w:w="1668"/>
        <w:gridCol w:w="2638"/>
      </w:tblGrid>
      <w:tr>
        <w:tc>
          <w:tcPr>
            <w:tcW w:type="dxa" w:w="2638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Grandezza</w:t>
            </w:r>
          </w:p>
        </w:tc>
        <w:tc>
          <w:tcPr>
            <w:tcW w:type="dxa" w:w="1668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1998</w:t>
            </w:r>
          </w:p>
        </w:tc>
        <w:tc>
          <w:tcPr>
            <w:tcW w:type="dxa" w:w="1668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2012</w:t>
            </w:r>
          </w:p>
        </w:tc>
        <w:tc>
          <w:tcPr>
            <w:tcW w:type="dxa" w:w="2638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Variazione</w:t>
            </w:r>
          </w:p>
        </w:tc>
      </w:tr>
      <w:tr>
        <w:tc>
          <w:tcPr>
            <w:tcW w:type="dxa" w:w="263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Colonie totali</w:t>
            </w:r>
          </w:p>
        </w:tc>
        <w:tc>
          <w:tcPr>
            <w:tcW w:type="dxa" w:w="166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2 600 000</w:t>
            </w:r>
          </w:p>
        </w:tc>
        <w:tc>
          <w:tcPr>
            <w:tcW w:type="dxa" w:w="166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2 509 000</w:t>
            </w:r>
          </w:p>
        </w:tc>
        <w:tc>
          <w:tcPr>
            <w:tcW w:type="dxa" w:w="2638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−3,5 %</w:t>
            </w:r>
          </w:p>
        </w:tc>
      </w:tr>
      <w:tr>
        <w:tc>
          <w:tcPr>
            <w:tcW w:type="dxa" w:w="263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Produzione totale (lb)</w:t>
            </w:r>
          </w:p>
        </w:tc>
        <w:tc>
          <w:tcPr>
            <w:tcW w:type="dxa" w:w="166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218 547 000</w:t>
            </w:r>
          </w:p>
        </w:tc>
        <w:tc>
          <w:tcPr>
            <w:tcW w:type="dxa" w:w="166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140 907 000</w:t>
            </w:r>
          </w:p>
        </w:tc>
        <w:tc>
          <w:tcPr>
            <w:tcW w:type="dxa" w:w="2638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−35,5 %</w:t>
            </w:r>
          </w:p>
        </w:tc>
      </w:tr>
      <w:tr>
        <w:tc>
          <w:tcPr>
            <w:tcW w:type="dxa" w:w="263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Resa media per colonia (lb)</w:t>
            </w:r>
          </w:p>
        </w:tc>
        <w:tc>
          <w:tcPr>
            <w:tcW w:type="dxa" w:w="166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71,7</w:t>
            </w:r>
          </w:p>
        </w:tc>
        <w:tc>
          <w:tcPr>
            <w:tcW w:type="dxa" w:w="166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55,2</w:t>
            </w:r>
          </w:p>
        </w:tc>
        <w:tc>
          <w:tcPr>
            <w:tcW w:type="dxa" w:w="2638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−23,0 %</w:t>
            </w:r>
          </w:p>
        </w:tc>
      </w:tr>
      <w:tr>
        <w:tc>
          <w:tcPr>
            <w:tcW w:type="dxa" w:w="263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Prezzo medio (USD/lb)</w:t>
            </w:r>
          </w:p>
        </w:tc>
        <w:tc>
          <w:tcPr>
            <w:tcW w:type="dxa" w:w="166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0,80</w:t>
            </w:r>
          </w:p>
        </w:tc>
        <w:tc>
          <w:tcPr>
            <w:tcW w:type="dxa" w:w="166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2,37</w:t>
            </w:r>
          </w:p>
        </w:tc>
        <w:tc>
          <w:tcPr>
            <w:tcW w:type="dxa" w:w="2638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+197,6 %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Perché conta.</w:t>
      </w:r>
      <w:r>
        <w:rPr>
          <w:rFonts w:ascii="Calibri" w:hAnsi="Calibri"/>
          <w:b w:val="0"/>
          <w:i w:val="0"/>
          <w:color w:val="1A2138"/>
          <w:sz w:val="21"/>
        </w:rPr>
        <w:t xml:space="preserve"> Il calo della produzione non è spiegato da un calo del numero di alveari: è spiegato da alveari </w:t>
      </w:r>
      <w:r>
        <w:rPr>
          <w:rFonts w:ascii="Calibri" w:hAnsi="Calibri"/>
          <w:b/>
          <w:i w:val="0"/>
          <w:color w:val="1A2138"/>
          <w:sz w:val="21"/>
        </w:rPr>
        <w:t>meno produttivi</w:t>
      </w:r>
      <w:r>
        <w:rPr>
          <w:rFonts w:ascii="Calibri" w:hAnsi="Calibri"/>
          <w:b w:val="0"/>
          <w:i w:val="0"/>
          <w:color w:val="1A2138"/>
          <w:sz w:val="21"/>
        </w:rPr>
        <w:t xml:space="preserve">. Il periodo coincide con gli anni in cui è stato descritto il </w:t>
      </w:r>
      <w:r>
        <w:rPr>
          <w:rFonts w:ascii="Calibri" w:hAnsi="Calibri"/>
          <w:b w:val="0"/>
          <w:i/>
          <w:color w:val="1A2138"/>
          <w:sz w:val="21"/>
        </w:rPr>
        <w:t>Colony Collapse Disorder</w:t>
      </w:r>
      <w:r>
        <w:rPr>
          <w:rFonts w:ascii="Calibri" w:hAnsi="Calibri"/>
          <w:b w:val="0"/>
          <w:i w:val="0"/>
          <w:color w:val="1A2138"/>
          <w:sz w:val="21"/>
        </w:rPr>
        <w:t>; il dataset da solo non permette di stabilire un nesso causale, ma la forma del fenomeno è quella.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Conseguenza per il progetto.</w:t>
      </w:r>
      <w:r>
        <w:rPr>
          <w:rFonts w:ascii="Calibri" w:hAnsi="Calibri"/>
          <w:b w:val="0"/>
          <w:i w:val="0"/>
          <w:color w:val="1A2138"/>
          <w:sz w:val="21"/>
        </w:rPr>
        <w:t xml:space="preserve"> </w:t>
      </w:r>
      <w:r>
        <w:rPr>
          <w:rFonts w:ascii="Consolas" w:hAnsi="Consolas"/>
          <w:b w:val="0"/>
          <w:i w:val="0"/>
          <w:color w:val="7A5200"/>
          <w:sz w:val="20"/>
        </w:rPr>
        <w:t>year</w:t>
      </w:r>
      <w:r>
        <w:rPr>
          <w:rFonts w:ascii="Calibri" w:hAnsi="Calibri"/>
          <w:b w:val="0"/>
          <w:i w:val="0"/>
          <w:color w:val="1A2138"/>
          <w:sz w:val="21"/>
        </w:rPr>
        <w:t xml:space="preserve"> è una variabile informativa e non decorativa: la resa attesa nel 2012 è sistematicamente diversa da quella del</w:t>
      </w:r>
    </w:p>
    <w:p>
      <w:pPr>
        <w:pStyle w:val="ListNumber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>Va inclusa fra i predittori, ma con cautela — un modello addestrato su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questa tendenza ed estrapolato al 2026 sta indovinando.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4. Il prezzo è l'unica variabile con una tendenza temporale netta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La correlazione fra </w:t>
      </w:r>
      <w:r>
        <w:rPr>
          <w:rFonts w:ascii="Consolas" w:hAnsi="Consolas"/>
          <w:b w:val="0"/>
          <w:i w:val="0"/>
          <w:color w:val="7A5200"/>
          <w:sz w:val="20"/>
        </w:rPr>
        <w:t>priceperlb</w:t>
      </w:r>
      <w:r>
        <w:rPr>
          <w:rFonts w:ascii="Calibri" w:hAnsi="Calibri"/>
          <w:b w:val="0"/>
          <w:i w:val="0"/>
          <w:color w:val="1A2138"/>
          <w:sz w:val="21"/>
        </w:rPr>
        <w:t xml:space="preserve"> e </w:t>
      </w:r>
      <w:r>
        <w:rPr>
          <w:rFonts w:ascii="Consolas" w:hAnsi="Consolas"/>
          <w:b w:val="0"/>
          <w:i w:val="0"/>
          <w:color w:val="7A5200"/>
          <w:sz w:val="20"/>
        </w:rPr>
        <w:t>year</w:t>
      </w:r>
      <w:r>
        <w:rPr>
          <w:rFonts w:ascii="Calibri" w:hAnsi="Calibri"/>
          <w:b w:val="0"/>
          <w:i w:val="0"/>
          <w:color w:val="1A2138"/>
          <w:sz w:val="21"/>
        </w:rPr>
        <w:t xml:space="preserve"> è </w:t>
      </w:r>
      <w:r>
        <w:rPr>
          <w:rFonts w:ascii="Calibri" w:hAnsi="Calibri"/>
          <w:b/>
          <w:i w:val="0"/>
          <w:color w:val="1A2138"/>
          <w:sz w:val="21"/>
        </w:rPr>
        <w:t>0,694</w:t>
      </w:r>
      <w:r>
        <w:rPr>
          <w:rFonts w:ascii="Calibri" w:hAnsi="Calibri"/>
          <w:b w:val="0"/>
          <w:i w:val="0"/>
          <w:color w:val="1A2138"/>
          <w:sz w:val="21"/>
        </w:rPr>
        <w:t>, di gran lunga la più alta fra quelle con l'anno. Tutte le altre correlazioni elevate della matrice (</w:t>
      </w:r>
      <w:r>
        <w:rPr>
          <w:rFonts w:ascii="Consolas" w:hAnsi="Consolas"/>
          <w:b w:val="0"/>
          <w:i w:val="0"/>
          <w:color w:val="7A5200"/>
          <w:sz w:val="20"/>
        </w:rPr>
        <w:t>numcol</w:t>
      </w:r>
      <w:r>
        <w:rPr>
          <w:rFonts w:ascii="Calibri" w:hAnsi="Calibri"/>
          <w:b w:val="0"/>
          <w:i w:val="0"/>
          <w:color w:val="1A2138"/>
          <w:sz w:val="21"/>
        </w:rPr>
        <w:t>–</w:t>
      </w:r>
      <w:r>
        <w:rPr>
          <w:rFonts w:ascii="Consolas" w:hAnsi="Consolas"/>
          <w:b w:val="0"/>
          <w:i w:val="0"/>
          <w:color w:val="7A5200"/>
          <w:sz w:val="20"/>
        </w:rPr>
        <w:t>totalprod</w:t>
      </w:r>
      <w:r>
        <w:rPr>
          <w:rFonts w:ascii="Calibri" w:hAnsi="Calibri"/>
          <w:b w:val="0"/>
          <w:i w:val="0"/>
          <w:color w:val="1A2138"/>
          <w:sz w:val="21"/>
        </w:rPr>
        <w:t xml:space="preserve"> = 0,954, </w:t>
      </w:r>
      <w:r>
        <w:rPr>
          <w:rFonts w:ascii="Consolas" w:hAnsi="Consolas"/>
          <w:b w:val="0"/>
          <w:i w:val="0"/>
          <w:color w:val="7A5200"/>
          <w:sz w:val="20"/>
        </w:rPr>
        <w:t>totalprod</w:t>
      </w:r>
      <w:r>
        <w:rPr>
          <w:rFonts w:ascii="Calibri" w:hAnsi="Calibri"/>
          <w:b w:val="0"/>
          <w:i w:val="0"/>
          <w:color w:val="1A2138"/>
          <w:sz w:val="21"/>
        </w:rPr>
        <w:t>–</w:t>
      </w:r>
      <w:r>
        <w:rPr>
          <w:rFonts w:ascii="Consolas" w:hAnsi="Consolas"/>
          <w:b w:val="0"/>
          <w:i w:val="0"/>
          <w:color w:val="7A5200"/>
          <w:sz w:val="20"/>
        </w:rPr>
        <w:t>prodvalue</w:t>
      </w:r>
      <w:r>
        <w:rPr>
          <w:rFonts w:ascii="Calibri" w:hAnsi="Calibri"/>
          <w:b w:val="0"/>
          <w:i w:val="0"/>
          <w:color w:val="1A2138"/>
          <w:sz w:val="21"/>
        </w:rPr>
        <w:t xml:space="preserve"> = 0,907) sono l'identità algebrica dell'osservazione 2, non una relazione empirica.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Il prezzo è </w:t>
      </w:r>
      <w:r>
        <w:rPr>
          <w:rFonts w:ascii="Calibri" w:hAnsi="Calibri"/>
          <w:b/>
          <w:i w:val="0"/>
          <w:color w:val="1A2138"/>
          <w:sz w:val="21"/>
        </w:rPr>
        <w:t>nominale</w:t>
      </w:r>
      <w:r>
        <w:rPr>
          <w:rFonts w:ascii="Calibri" w:hAnsi="Calibri"/>
          <w:b w:val="0"/>
          <w:i w:val="0"/>
          <w:color w:val="1A2138"/>
          <w:sz w:val="21"/>
        </w:rPr>
        <w:t>: non è corretto per l'inflazione. Confronti diretti fra il 1998 e il 2012 vanno letti tenendone conto.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5. Gli outlier non sono errori: sono i grandi produttori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La regola IQR (fattore 1,5) segnala molte righe: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3693"/>
        <w:gridCol w:w="3076"/>
        <w:gridCol w:w="1843"/>
      </w:tblGrid>
      <w:tr>
        <w:tc>
          <w:tcPr>
            <w:tcW w:type="dxa" w:w="3693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Colonna</w:t>
            </w:r>
          </w:p>
        </w:tc>
        <w:tc>
          <w:tcPr>
            <w:tcW w:type="dxa" w:w="3076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Righe fuori intervallo</w:t>
            </w:r>
          </w:p>
        </w:tc>
        <w:tc>
          <w:tcPr>
            <w:tcW w:type="dxa" w:w="1843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%</w:t>
            </w:r>
          </w:p>
        </w:tc>
      </w:tr>
      <w:tr>
        <w:tc>
          <w:tcPr>
            <w:tcW w:type="dxa" w:w="369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prodvalue</w:t>
            </w:r>
          </w:p>
        </w:tc>
        <w:tc>
          <w:tcPr>
            <w:tcW w:type="dxa" w:w="30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76</w:t>
            </w:r>
          </w:p>
        </w:tc>
        <w:tc>
          <w:tcPr>
            <w:tcW w:type="dxa" w:w="184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12,1 %</w:t>
            </w:r>
          </w:p>
        </w:tc>
      </w:tr>
      <w:tr>
        <w:tc>
          <w:tcPr>
            <w:tcW w:type="dxa" w:w="369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totalprod</w:t>
            </w:r>
          </w:p>
        </w:tc>
        <w:tc>
          <w:tcPr>
            <w:tcW w:type="dxa" w:w="30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75</w:t>
            </w:r>
          </w:p>
        </w:tc>
        <w:tc>
          <w:tcPr>
            <w:tcW w:type="dxa" w:w="184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12,0 %</w:t>
            </w:r>
          </w:p>
        </w:tc>
      </w:tr>
      <w:tr>
        <w:tc>
          <w:tcPr>
            <w:tcW w:type="dxa" w:w="369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numcol</w:t>
            </w:r>
          </w:p>
        </w:tc>
        <w:tc>
          <w:tcPr>
            <w:tcW w:type="dxa" w:w="30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63</w:t>
            </w:r>
          </w:p>
        </w:tc>
        <w:tc>
          <w:tcPr>
            <w:tcW w:type="dxa" w:w="184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10,1 %</w:t>
            </w:r>
          </w:p>
        </w:tc>
      </w:tr>
      <w:tr>
        <w:tc>
          <w:tcPr>
            <w:tcW w:type="dxa" w:w="369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stocks</w:t>
            </w:r>
          </w:p>
        </w:tc>
        <w:tc>
          <w:tcPr>
            <w:tcW w:type="dxa" w:w="30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54</w:t>
            </w:r>
          </w:p>
        </w:tc>
        <w:tc>
          <w:tcPr>
            <w:tcW w:type="dxa" w:w="184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8,6 %</w:t>
            </w:r>
          </w:p>
        </w:tc>
      </w:tr>
      <w:tr>
        <w:tc>
          <w:tcPr>
            <w:tcW w:type="dxa" w:w="369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priceperlb</w:t>
            </w:r>
          </w:p>
        </w:tc>
        <w:tc>
          <w:tcPr>
            <w:tcW w:type="dxa" w:w="30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22</w:t>
            </w:r>
          </w:p>
        </w:tc>
        <w:tc>
          <w:tcPr>
            <w:tcW w:type="dxa" w:w="184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3,5 %</w:t>
            </w:r>
          </w:p>
        </w:tc>
      </w:tr>
      <w:tr>
        <w:tc>
          <w:tcPr>
            <w:tcW w:type="dxa" w:w="369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yieldpercol</w:t>
            </w:r>
          </w:p>
        </w:tc>
        <w:tc>
          <w:tcPr>
            <w:tcW w:type="dxa" w:w="307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12</w:t>
            </w:r>
          </w:p>
        </w:tc>
        <w:tc>
          <w:tcPr>
            <w:tcW w:type="dxa" w:w="184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1,9 %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Guardando </w:t>
      </w:r>
      <w:r>
        <w:rPr>
          <w:rFonts w:ascii="Calibri" w:hAnsi="Calibri"/>
          <w:b/>
          <w:i w:val="0"/>
          <w:color w:val="1A2138"/>
          <w:sz w:val="21"/>
        </w:rPr>
        <w:t>chi</w:t>
      </w:r>
      <w:r>
        <w:rPr>
          <w:rFonts w:ascii="Calibri" w:hAnsi="Calibri"/>
          <w:b w:val="0"/>
          <w:i w:val="0"/>
          <w:color w:val="1A2138"/>
          <w:sz w:val="21"/>
        </w:rPr>
        <w:t xml:space="preserve"> sono, il quadro cambia: gli outlier di </w:t>
      </w:r>
      <w:r>
        <w:rPr>
          <w:rFonts w:ascii="Consolas" w:hAnsi="Consolas"/>
          <w:b w:val="0"/>
          <w:i w:val="0"/>
          <w:color w:val="7A5200"/>
          <w:sz w:val="20"/>
        </w:rPr>
        <w:t>totalprod</w:t>
      </w:r>
      <w:r>
        <w:rPr>
          <w:rFonts w:ascii="Calibri" w:hAnsi="Calibri"/>
          <w:b w:val="0"/>
          <w:i w:val="0"/>
          <w:color w:val="1A2138"/>
          <w:sz w:val="21"/>
        </w:rPr>
        <w:t xml:space="preserve"> provengono da North Dakota, California, South Dakota e Florida in </w:t>
      </w:r>
      <w:r>
        <w:rPr>
          <w:rFonts w:ascii="Calibri" w:hAnsi="Calibri"/>
          <w:b/>
          <w:i w:val="0"/>
          <w:color w:val="1A2138"/>
          <w:sz w:val="21"/>
        </w:rPr>
        <w:t>tutti e 15 gli anni</w:t>
      </w:r>
      <w:r>
        <w:rPr>
          <w:rFonts w:ascii="Calibri" w:hAnsi="Calibri"/>
          <w:b w:val="0"/>
          <w:i w:val="0"/>
          <w:color w:val="1A2138"/>
          <w:sz w:val="21"/>
        </w:rPr>
        <w:t>, più Montana (8) e Minnesota (7).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Perché conta.</w:t>
      </w:r>
      <w:r>
        <w:rPr>
          <w:rFonts w:ascii="Calibri" w:hAnsi="Calibri"/>
          <w:b w:val="0"/>
          <w:i w:val="0"/>
          <w:color w:val="1A2138"/>
          <w:sz w:val="21"/>
        </w:rPr>
        <w:t xml:space="preserve"> Un valore estremo che si ripete per quindici anni consecutivi non è un errore di misura: è una caratteristica strutturale. Eliminare quelle righe cancellerebbe oltre la metà della produzione nazionale.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Conseguenza per il progetto.</w:t>
      </w:r>
      <w:r>
        <w:rPr>
          <w:rFonts w:ascii="Calibri" w:hAnsi="Calibri"/>
          <w:b w:val="0"/>
          <w:i w:val="0"/>
          <w:color w:val="1A2138"/>
          <w:sz w:val="21"/>
        </w:rPr>
        <w:t xml:space="preserve"> Nessuna rimozione di outlier su </w:t>
      </w:r>
      <w:r>
        <w:rPr>
          <w:rFonts w:ascii="Consolas" w:hAnsi="Consolas"/>
          <w:b w:val="0"/>
          <w:i w:val="0"/>
          <w:color w:val="7A5200"/>
          <w:sz w:val="20"/>
        </w:rPr>
        <w:t>totalprod</w:t>
      </w:r>
      <w:r>
        <w:rPr>
          <w:rFonts w:ascii="Calibri" w:hAnsi="Calibri"/>
          <w:b w:val="0"/>
          <w:i w:val="0"/>
          <w:color w:val="1A2138"/>
          <w:sz w:val="21"/>
        </w:rPr>
        <w:t xml:space="preserve">, </w:t>
      </w:r>
      <w:r>
        <w:rPr>
          <w:rFonts w:ascii="Consolas" w:hAnsi="Consolas"/>
          <w:b w:val="0"/>
          <w:i w:val="0"/>
          <w:color w:val="7A5200"/>
          <w:sz w:val="20"/>
        </w:rPr>
        <w:t>numcol</w:t>
      </w:r>
      <w:r>
        <w:rPr>
          <w:rFonts w:ascii="Calibri" w:hAnsi="Calibri"/>
          <w:b w:val="0"/>
          <w:i w:val="0"/>
          <w:color w:val="1A2138"/>
          <w:sz w:val="21"/>
        </w:rPr>
        <w:t xml:space="preserve">, </w:t>
      </w:r>
      <w:r>
        <w:rPr>
          <w:rFonts w:ascii="Consolas" w:hAnsi="Consolas"/>
          <w:b w:val="0"/>
          <w:i w:val="0"/>
          <w:color w:val="7A5200"/>
          <w:sz w:val="20"/>
        </w:rPr>
        <w:t>stocks</w:t>
      </w:r>
      <w:r>
        <w:rPr>
          <w:rFonts w:ascii="Calibri" w:hAnsi="Calibri"/>
          <w:b w:val="0"/>
          <w:i w:val="0"/>
          <w:color w:val="1A2138"/>
          <w:sz w:val="21"/>
        </w:rPr>
        <w:t xml:space="preserve"> e </w:t>
      </w:r>
      <w:r>
        <w:rPr>
          <w:rFonts w:ascii="Consolas" w:hAnsi="Consolas"/>
          <w:b w:val="0"/>
          <w:i w:val="0"/>
          <w:color w:val="7A5200"/>
          <w:sz w:val="20"/>
        </w:rPr>
        <w:t>prodvalue</w:t>
      </w:r>
      <w:r>
        <w:rPr>
          <w:rFonts w:ascii="Calibri" w:hAnsi="Calibri"/>
          <w:b w:val="0"/>
          <w:i w:val="0"/>
          <w:color w:val="1A2138"/>
          <w:sz w:val="21"/>
        </w:rPr>
        <w:t>. La regola di pulizia definitiva si scrive in M2-T2, ma la direzione è già decisa da questi numeri.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6. La produzione è fortemente concentrata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I primi </w:t>
      </w:r>
      <w:r>
        <w:rPr>
          <w:rFonts w:ascii="Calibri" w:hAnsi="Calibri"/>
          <w:b/>
          <w:i w:val="0"/>
          <w:color w:val="1A2138"/>
          <w:sz w:val="21"/>
        </w:rPr>
        <w:t>5 stati</w:t>
      </w:r>
      <w:r>
        <w:rPr>
          <w:rFonts w:ascii="Calibri" w:hAnsi="Calibri"/>
          <w:b w:val="0"/>
          <w:i w:val="0"/>
          <w:color w:val="1A2138"/>
          <w:sz w:val="21"/>
        </w:rPr>
        <w:t xml:space="preserve"> valgono il </w:t>
      </w:r>
      <w:r>
        <w:rPr>
          <w:rFonts w:ascii="Calibri" w:hAnsi="Calibri"/>
          <w:b/>
          <w:i w:val="0"/>
          <w:color w:val="1A2138"/>
          <w:sz w:val="21"/>
        </w:rPr>
        <w:t>57,2 %</w:t>
      </w:r>
      <w:r>
        <w:rPr>
          <w:rFonts w:ascii="Calibri" w:hAnsi="Calibri"/>
          <w:b w:val="0"/>
          <w:i w:val="0"/>
          <w:color w:val="1A2138"/>
          <w:sz w:val="21"/>
        </w:rPr>
        <w:t xml:space="preserve"> della produzione dei quindici anni; il solo North Dakota vale il </w:t>
      </w:r>
      <w:r>
        <w:rPr>
          <w:rFonts w:ascii="Calibri" w:hAnsi="Calibri"/>
          <w:b/>
          <w:i w:val="0"/>
          <w:color w:val="1A2138"/>
          <w:sz w:val="21"/>
        </w:rPr>
        <w:t>18,2 %</w:t>
      </w:r>
      <w:r>
        <w:rPr>
          <w:rFonts w:ascii="Calibri" w:hAnsi="Calibri"/>
          <w:b w:val="0"/>
          <w:i w:val="0"/>
          <w:color w:val="1A2138"/>
          <w:sz w:val="21"/>
        </w:rPr>
        <w:t>. Gli ultimi dieci stati messi insieme arrivano all'</w:t>
      </w:r>
      <w:r>
        <w:rPr>
          <w:rFonts w:ascii="Calibri" w:hAnsi="Calibri"/>
          <w:b/>
          <w:i w:val="0"/>
          <w:color w:val="1A2138"/>
          <w:sz w:val="21"/>
        </w:rPr>
        <w:t>1,4 %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Conseguenza per il progetto.</w:t>
      </w:r>
      <w:r>
        <w:rPr>
          <w:rFonts w:ascii="Calibri" w:hAnsi="Calibri"/>
          <w:b w:val="0"/>
          <w:i w:val="0"/>
          <w:color w:val="1A2138"/>
          <w:sz w:val="21"/>
        </w:rPr>
        <w:t xml:space="preserve"> Una media nazionale non descrive nessuno stato reale. Se il modello userà </w:t>
      </w:r>
      <w:r>
        <w:rPr>
          <w:rFonts w:ascii="Consolas" w:hAnsi="Consolas"/>
          <w:b w:val="0"/>
          <w:i w:val="0"/>
          <w:color w:val="7A5200"/>
          <w:sz w:val="20"/>
        </w:rPr>
        <w:t>state</w:t>
      </w:r>
      <w:r>
        <w:rPr>
          <w:rFonts w:ascii="Calibri" w:hAnsi="Calibri"/>
          <w:b w:val="0"/>
          <w:i w:val="0"/>
          <w:color w:val="1A2138"/>
          <w:sz w:val="21"/>
        </w:rPr>
        <w:t xml:space="preserve"> come variabile, dovrà trattarla come categoria, non come indice numerico.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7. La resa per colonia è l'unica variabile "biologica"</w:t>
      </w:r>
    </w:p>
    <w:p>
      <w:pPr>
        <w:jc w:val="both"/>
      </w:pPr>
      <w:r>
        <w:rPr>
          <w:rFonts w:ascii="Consolas" w:hAnsi="Consolas"/>
          <w:b w:val="0"/>
          <w:i w:val="0"/>
          <w:color w:val="7A5200"/>
          <w:sz w:val="20"/>
        </w:rPr>
        <w:t>yieldpercol</w:t>
      </w:r>
      <w:r>
        <w:rPr>
          <w:rFonts w:ascii="Calibri" w:hAnsi="Calibri"/>
          <w:b w:val="0"/>
          <w:i w:val="0"/>
          <w:color w:val="1A2138"/>
          <w:sz w:val="21"/>
        </w:rPr>
        <w:t xml:space="preserve"> è l'unica colonna con una distribuzione ragionevolmente simmetrica (media 62,0 lb, mediana 60,0 lb) e con la percentuale più bassa di outlier (1,9 %). Tutte le altre grandezze sono asimmetriche a destra perché dipendono dalla </w:t>
      </w:r>
      <w:r>
        <w:rPr>
          <w:rFonts w:ascii="Calibri" w:hAnsi="Calibri"/>
          <w:b/>
          <w:i w:val="0"/>
          <w:color w:val="1A2138"/>
          <w:sz w:val="21"/>
        </w:rPr>
        <w:t>dimensione</w:t>
      </w:r>
      <w:r>
        <w:rPr>
          <w:rFonts w:ascii="Calibri" w:hAnsi="Calibri"/>
          <w:b w:val="0"/>
          <w:i w:val="0"/>
          <w:color w:val="1A2138"/>
          <w:sz w:val="21"/>
        </w:rPr>
        <w:t xml:space="preserve"> dello stato, non dal comportamento delle api.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Conseguenza per il progetto.</w:t>
      </w:r>
      <w:r>
        <w:rPr>
          <w:rFonts w:ascii="Calibri" w:hAnsi="Calibri"/>
          <w:b w:val="0"/>
          <w:i w:val="0"/>
          <w:color w:val="1A2138"/>
          <w:sz w:val="21"/>
        </w:rPr>
        <w:t xml:space="preserve"> Conferma dal lato statistico quello che l'osservazione 2 imponeva dal lato logico: </w:t>
      </w:r>
      <w:r>
        <w:rPr>
          <w:rFonts w:ascii="Consolas" w:hAnsi="Consolas"/>
          <w:b w:val="0"/>
          <w:i w:val="0"/>
          <w:color w:val="7A5200"/>
          <w:sz w:val="20"/>
        </w:rPr>
        <w:t>yieldpercol</w:t>
      </w:r>
      <w:r>
        <w:rPr>
          <w:rFonts w:ascii="Calibri" w:hAnsi="Calibri"/>
          <w:b w:val="0"/>
          <w:i w:val="0"/>
          <w:color w:val="1A2138"/>
          <w:sz w:val="21"/>
        </w:rPr>
        <w:t xml:space="preserve"> è il candidato naturale come target.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8. Gli estremi di resa hanno una spiegazione geografica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3179"/>
        <w:gridCol w:w="3179"/>
        <w:gridCol w:w="2254"/>
      </w:tblGrid>
      <w:tr>
        <w:tc>
          <w:tcPr>
            <w:tcW w:type="dxa" w:w="3179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</w:r>
          </w:p>
        </w:tc>
        <w:tc>
          <w:tcPr>
            <w:tcW w:type="dxa" w:w="3179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Stato, anno</w:t>
            </w:r>
          </w:p>
        </w:tc>
        <w:tc>
          <w:tcPr>
            <w:tcW w:type="dxa" w:w="2254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Resa (lb)</w:t>
            </w:r>
          </w:p>
        </w:tc>
      </w:tr>
      <w:tr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Massimo</w:t>
            </w: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Hawaii, 2002</w:t>
            </w:r>
          </w:p>
        </w:tc>
        <w:tc>
          <w:tcPr>
            <w:tcW w:type="dxa" w:w="225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136</w:t>
            </w:r>
          </w:p>
        </w:tc>
      </w:tr>
      <w:tr>
        <w:tc>
          <w:tcPr>
            <w:tcW w:type="dxa" w:w="3179"/>
          </w:tcPr>
          <w:p>
            <w:pPr>
              <w:spacing w:after="40"/>
            </w:pP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Hawaii, 2005</w:t>
            </w:r>
          </w:p>
        </w:tc>
        <w:tc>
          <w:tcPr>
            <w:tcW w:type="dxa" w:w="225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131</w:t>
            </w:r>
          </w:p>
        </w:tc>
      </w:tr>
      <w:tr>
        <w:tc>
          <w:tcPr>
            <w:tcW w:type="dxa" w:w="3179"/>
          </w:tcPr>
          <w:p>
            <w:pPr>
              <w:spacing w:after="40"/>
            </w:pP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North Dakota, 1998</w:t>
            </w:r>
          </w:p>
        </w:tc>
        <w:tc>
          <w:tcPr>
            <w:tcW w:type="dxa" w:w="225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128</w:t>
            </w:r>
          </w:p>
        </w:tc>
      </w:tr>
      <w:tr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Minimo</w:t>
            </w: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New Jersey, 2003</w:t>
            </w:r>
          </w:p>
        </w:tc>
        <w:tc>
          <w:tcPr>
            <w:tcW w:type="dxa" w:w="225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19</w:t>
            </w:r>
          </w:p>
        </w:tc>
      </w:tr>
      <w:tr>
        <w:tc>
          <w:tcPr>
            <w:tcW w:type="dxa" w:w="3179"/>
          </w:tcPr>
          <w:p>
            <w:pPr>
              <w:spacing w:after="40"/>
            </w:pP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Maine, 2001</w:t>
            </w:r>
          </w:p>
        </w:tc>
        <w:tc>
          <w:tcPr>
            <w:tcW w:type="dxa" w:w="225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20</w:t>
            </w:r>
          </w:p>
        </w:tc>
      </w:tr>
      <w:tr>
        <w:tc>
          <w:tcPr>
            <w:tcW w:type="dxa" w:w="3179"/>
          </w:tcPr>
          <w:p>
            <w:pPr>
              <w:spacing w:after="40"/>
            </w:pP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Maine, 2000</w:t>
            </w:r>
          </w:p>
        </w:tc>
        <w:tc>
          <w:tcPr>
            <w:tcW w:type="dxa" w:w="225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21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Per medie sui quindici anni: in testa Hawaii (98), Louisiana (96), North Dakota (88); in coda Maine (31), New Jersey (37), Virginia (40).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Perché conta.</w:t>
      </w:r>
      <w:r>
        <w:rPr>
          <w:rFonts w:ascii="Calibri" w:hAnsi="Calibri"/>
          <w:b w:val="0"/>
          <w:i w:val="0"/>
          <w:color w:val="1A2138"/>
          <w:sz w:val="21"/>
        </w:rPr>
        <w:t xml:space="preserve"> Alle Hawaii la fioritura è continua tutto l'anno, nel Maine la stagione utile dura poche settimane. La differenza fra il primo e l'ultimo è di </w:t>
      </w:r>
      <w:r>
        <w:rPr>
          <w:rFonts w:ascii="Calibri" w:hAnsi="Calibri"/>
          <w:b/>
          <w:i w:val="0"/>
          <w:color w:val="1A2138"/>
          <w:sz w:val="21"/>
        </w:rPr>
        <w:t>oltre tre volte</w:t>
      </w:r>
      <w:r>
        <w:rPr>
          <w:rFonts w:ascii="Calibri" w:hAnsi="Calibri"/>
          <w:b w:val="0"/>
          <w:i w:val="0"/>
          <w:color w:val="1A2138"/>
          <w:sz w:val="21"/>
        </w:rPr>
        <w:t>. Non sono dati da correggere: sono la prova che il clima domina la resa, e che un modello che ignora la posizione geografica non può funzionare.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9. Il dato è commerciale e aggregato, l'utente è amatoriale e italiano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Convertendo in unità comprensibili (1 lb = 0,45359237 kg):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942"/>
        <w:gridCol w:w="2301"/>
        <w:gridCol w:w="3369"/>
      </w:tblGrid>
      <w:tr>
        <w:tc>
          <w:tcPr>
            <w:tcW w:type="dxa" w:w="2942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</w:r>
          </w:p>
        </w:tc>
        <w:tc>
          <w:tcPr>
            <w:tcW w:type="dxa" w:w="2301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Libbre</w:t>
            </w:r>
          </w:p>
        </w:tc>
        <w:tc>
          <w:tcPr>
            <w:tcW w:type="dxa" w:w="3369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Chilogrammi</w:t>
            </w:r>
          </w:p>
        </w:tc>
      </w:tr>
      <w:tr>
        <w:tc>
          <w:tcPr>
            <w:tcW w:type="dxa" w:w="2942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Resa media per colonia</w:t>
            </w:r>
          </w:p>
        </w:tc>
        <w:tc>
          <w:tcPr>
            <w:tcW w:type="dxa" w:w="230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62,0</w:t>
            </w:r>
          </w:p>
        </w:tc>
        <w:tc>
          <w:tcPr>
            <w:tcW w:type="dxa" w:w="3369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28,1</w:t>
            </w:r>
          </w:p>
        </w:tc>
      </w:tr>
      <w:tr>
        <w:tc>
          <w:tcPr>
            <w:tcW w:type="dxa" w:w="2942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Resa mediana</w:t>
            </w:r>
          </w:p>
        </w:tc>
        <w:tc>
          <w:tcPr>
            <w:tcW w:type="dxa" w:w="230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60,0</w:t>
            </w:r>
          </w:p>
        </w:tc>
        <w:tc>
          <w:tcPr>
            <w:tcW w:type="dxa" w:w="336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27,2</w:t>
            </w:r>
          </w:p>
        </w:tc>
      </w:tr>
      <w:tr>
        <w:tc>
          <w:tcPr>
            <w:tcW w:type="dxa" w:w="2942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Minimo osservato</w:t>
            </w:r>
          </w:p>
        </w:tc>
        <w:tc>
          <w:tcPr>
            <w:tcW w:type="dxa" w:w="230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19</w:t>
            </w:r>
          </w:p>
        </w:tc>
        <w:tc>
          <w:tcPr>
            <w:tcW w:type="dxa" w:w="336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8,6</w:t>
            </w:r>
          </w:p>
        </w:tc>
      </w:tr>
      <w:tr>
        <w:tc>
          <w:tcPr>
            <w:tcW w:type="dxa" w:w="2942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Massimo osservato</w:t>
            </w:r>
          </w:p>
        </w:tc>
        <w:tc>
          <w:tcPr>
            <w:tcW w:type="dxa" w:w="230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136</w:t>
            </w:r>
          </w:p>
        </w:tc>
        <w:tc>
          <w:tcPr>
            <w:tcW w:type="dxa" w:w="336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61,7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Perché conta.</w:t>
      </w:r>
      <w:r>
        <w:rPr>
          <w:rFonts w:ascii="Calibri" w:hAnsi="Calibri"/>
          <w:b w:val="0"/>
          <w:i w:val="0"/>
          <w:color w:val="1A2138"/>
          <w:sz w:val="21"/>
        </w:rPr>
        <w:t xml:space="preserve"> L'ordine di grandezza è confrontabile con quello di un alveare amatoriale italiano in una buona stagione, ma la somiglianza è ingannevole: qui si tratta di </w:t>
      </w:r>
      <w:r>
        <w:rPr>
          <w:rFonts w:ascii="Calibri" w:hAnsi="Calibri"/>
          <w:b/>
          <w:i w:val="0"/>
          <w:color w:val="1A2138"/>
          <w:sz w:val="21"/>
        </w:rPr>
        <w:t>medie statali di apicoltura professionale</w:t>
      </w:r>
      <w:r>
        <w:rPr>
          <w:rFonts w:ascii="Calibri" w:hAnsi="Calibri"/>
          <w:b w:val="0"/>
          <w:i w:val="0"/>
          <w:color w:val="1A2138"/>
          <w:sz w:val="21"/>
        </w:rPr>
        <w:t>, con pratiche di gestione, nomadismo e selezione genetica che un amatore non ha.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Conseguenza per il progetto.</w:t>
      </w:r>
      <w:r>
        <w:rPr>
          <w:rFonts w:ascii="Calibri" w:hAnsi="Calibri"/>
          <w:b w:val="0"/>
          <w:i w:val="0"/>
          <w:color w:val="1A2138"/>
          <w:sz w:val="21"/>
        </w:rPr>
        <w:t xml:space="preserve"> La previsione mostrata all'utente non può essere un numero secco. Deve essere una stima indicativa con banda di incertezza e un avviso esplicito sulla provenienza dei dati. È il punto che M2-T3 formalizza e che la pagina Trasparenza (M6-T8) dovrà comunicare.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Anomalie e valori sospetti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1247"/>
        <w:gridCol w:w="2719"/>
        <w:gridCol w:w="1587"/>
        <w:gridCol w:w="3059"/>
      </w:tblGrid>
      <w:tr>
        <w:tc>
          <w:tcPr>
            <w:tcW w:type="dxa" w:w="1247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#</w:t>
            </w:r>
          </w:p>
        </w:tc>
        <w:tc>
          <w:tcPr>
            <w:tcW w:type="dxa" w:w="2719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Anomalia</w:t>
            </w:r>
          </w:p>
        </w:tc>
        <w:tc>
          <w:tcPr>
            <w:tcW w:type="dxa" w:w="1587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Righe</w:t>
            </w:r>
          </w:p>
        </w:tc>
        <w:tc>
          <w:tcPr>
            <w:tcW w:type="dxa" w:w="3059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Valutazione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A1</w:t>
            </w:r>
          </w:p>
        </w:tc>
        <w:tc>
          <w:tcPr>
            <w:tcW w:type="dxa" w:w="27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Stati con meno di 15 anni di rilevazione (SC, MD, OK, NV)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26</w:t>
            </w:r>
          </w:p>
        </w:tc>
        <w:tc>
          <w:tcPr>
            <w:tcW w:type="dxa" w:w="3059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Reale.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Il NASS non rileva ogni stato ogni anno. Da gestire escludendoli dalle serie storiche, non dal dataset.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A2</w:t>
            </w:r>
          </w:p>
        </w:tc>
        <w:tc>
          <w:tcPr>
            <w:tcW w:type="dxa" w:w="2719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stocks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maggiore di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totalprod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: Nebraska 2006 (3 843 000 contro 3 431 000)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</w:t>
            </w:r>
          </w:p>
        </w:tc>
        <w:tc>
          <w:tcPr>
            <w:tcW w:type="dxa" w:w="3059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Plausibile.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Le scorte di fine anno includono l'invenduto degli anni precedenti. Da segnalare, non da correggere.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A3</w:t>
            </w:r>
          </w:p>
        </w:tc>
        <w:tc>
          <w:tcPr>
            <w:tcW w:type="dxa" w:w="27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75 righe fuori dall'intervallo IQR su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totalprod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75</w:t>
            </w:r>
          </w:p>
        </w:tc>
        <w:tc>
          <w:tcPr>
            <w:tcW w:type="dxa" w:w="3059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Non sono errori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(osservazione 5). Nessuna rimozione.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A4</w:t>
            </w:r>
          </w:p>
        </w:tc>
        <w:tc>
          <w:tcPr>
            <w:tcW w:type="dxa" w:w="27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Resa di 19 lb (New Jersey 2003) contro 136 lb (Hawaii 2002)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</w:t>
            </w:r>
          </w:p>
        </w:tc>
        <w:tc>
          <w:tcPr>
            <w:tcW w:type="dxa" w:w="3059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Reali.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Differenza climatica documentata (osservazione 8).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A5</w:t>
            </w:r>
          </w:p>
        </w:tc>
        <w:tc>
          <w:tcPr>
            <w:tcW w:type="dxa" w:w="2719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prodvalue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non corrisponde esattamente a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totalprod × priceperlb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626</w:t>
            </w:r>
          </w:p>
        </w:tc>
        <w:tc>
          <w:tcPr>
            <w:tcW w:type="dxa" w:w="3059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Arrotondamento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al migliaio di dollari. Scarto massimo 0,22 %. Nessun intervento.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A6</w:t>
            </w:r>
          </w:p>
        </w:tc>
        <w:tc>
          <w:tcPr>
            <w:tcW w:type="dxa" w:w="2719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priceperlb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non corretto per l'inflazione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626</w:t>
            </w:r>
          </w:p>
        </w:tc>
        <w:tc>
          <w:tcPr>
            <w:tcW w:type="dxa" w:w="3059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Caratteristica della fonte.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Da dichiarare, non da modificare.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Nessuna anomalia richiede la rimozione di righe. È un risultato inatteso e va detto: il lavoro di pulizia in M3-T4 sarà di </w:t>
      </w:r>
      <w:r>
        <w:rPr>
          <w:rFonts w:ascii="Calibri" w:hAnsi="Calibri"/>
          <w:b/>
          <w:i w:val="0"/>
          <w:color w:val="1A2138"/>
          <w:sz w:val="21"/>
        </w:rPr>
        <w:t>conversione e normalizzazione</w:t>
      </w:r>
      <w:r>
        <w:rPr>
          <w:rFonts w:ascii="Calibri" w:hAnsi="Calibri"/>
          <w:b w:val="0"/>
          <w:i w:val="0"/>
          <w:color w:val="1A2138"/>
          <w:sz w:val="21"/>
        </w:rPr>
        <w:t>, non di scarto.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Regole di pulizia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Queste regole sono la specifica di </w:t>
      </w:r>
      <w:r>
        <w:rPr>
          <w:rFonts w:ascii="Consolas" w:hAnsi="Consolas"/>
          <w:b w:val="0"/>
          <w:i w:val="0"/>
          <w:color w:val="7A5200"/>
          <w:sz w:val="20"/>
        </w:rPr>
        <w:t>transform()</w:t>
      </w:r>
      <w:r>
        <w:rPr>
          <w:rFonts w:ascii="Calibri" w:hAnsi="Calibri"/>
          <w:b w:val="0"/>
          <w:i w:val="0"/>
          <w:color w:val="1A2138"/>
          <w:sz w:val="21"/>
        </w:rPr>
        <w:t xml:space="preserve"> in </w:t>
      </w:r>
      <w:r>
        <w:rPr>
          <w:rFonts w:ascii="Calibri" w:hAnsi="Calibri"/>
          <w:b/>
          <w:i w:val="0"/>
          <w:color w:val="1A2138"/>
          <w:sz w:val="21"/>
        </w:rPr>
        <w:t>M3-T4</w:t>
      </w:r>
      <w:r>
        <w:rPr>
          <w:rFonts w:ascii="Calibri" w:hAnsi="Calibri"/>
          <w:b w:val="0"/>
          <w:i w:val="0"/>
          <w:color w:val="1A2138"/>
          <w:sz w:val="21"/>
        </w:rPr>
        <w:t>. Ogni riga scartata dall'ETL dovrà essere contata insieme al motivo, e il motivo dovrà essere una di queste regole.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R1 · Nessuna riga viene scartata perché "outlier"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I valori estremi sono stati verificati uno per uno (osservazione 5, anomalie A3 e A4): sono grandi produttori e differenze climatiche, non errori di misura. Applicare una regola IQR automatica cancellerebbe oltre metà della produzione nazionale.</w:t>
      </w:r>
    </w:p>
    <w:p>
      <w:pPr>
        <w:jc w:val="both"/>
      </w:pPr>
      <w:r>
        <w:rPr>
          <w:rFonts w:ascii="Calibri" w:hAnsi="Calibri"/>
          <w:b w:val="0"/>
          <w:i/>
          <w:color w:val="1A2138"/>
          <w:sz w:val="21"/>
        </w:rPr>
        <w:t>Motivazione: un valore estremo che si ripete per quindici anni consecutivi è una caratteristica, non un errore.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R2 · I valori mancanti si scartano, ma qui non ce ne sono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La fonte non ne contiene. La regola serve comunque, perché l'ETL deve reggere un file diverso da quello di oggi: se in una riga manca un valore obbligatorio, la riga viene scartata e contata con motivo </w:t>
      </w:r>
      <w:r>
        <w:rPr>
          <w:rFonts w:ascii="Consolas" w:hAnsi="Consolas"/>
          <w:b w:val="0"/>
          <w:i w:val="0"/>
          <w:color w:val="7A5200"/>
          <w:sz w:val="20"/>
        </w:rPr>
        <w:t>campo_obbligatorio_mancante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jc w:val="both"/>
      </w:pPr>
      <w:r>
        <w:rPr>
          <w:rFonts w:ascii="Calibri" w:hAnsi="Calibri"/>
          <w:b w:val="0"/>
          <w:i/>
          <w:color w:val="1A2138"/>
          <w:sz w:val="21"/>
        </w:rPr>
        <w:t>Motivazione: nessuna imputazione. Inventare un valore su un dataset di 626 righe sposterebbe le statistiche in modo non tracciabile.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R3 · Le quantità si convertono in chilogrammi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Fattore esatto </w:t>
      </w:r>
      <w:r>
        <w:rPr>
          <w:rFonts w:ascii="Calibri" w:hAnsi="Calibri"/>
          <w:b/>
          <w:i w:val="0"/>
          <w:color w:val="1A2138"/>
          <w:sz w:val="21"/>
        </w:rPr>
        <w:t>1 lb = 0,45359237 kg</w:t>
      </w:r>
      <w:r>
        <w:rPr>
          <w:rFonts w:ascii="Calibri" w:hAnsi="Calibri"/>
          <w:b w:val="0"/>
          <w:i w:val="0"/>
          <w:color w:val="1A2138"/>
          <w:sz w:val="21"/>
        </w:rPr>
        <w:t xml:space="preserve">, applicato a </w:t>
      </w:r>
      <w:r>
        <w:rPr>
          <w:rFonts w:ascii="Consolas" w:hAnsi="Consolas"/>
          <w:b w:val="0"/>
          <w:i w:val="0"/>
          <w:color w:val="7A5200"/>
          <w:sz w:val="20"/>
        </w:rPr>
        <w:t>yieldpercol</w:t>
      </w:r>
      <w:r>
        <w:rPr>
          <w:rFonts w:ascii="Calibri" w:hAnsi="Calibri"/>
          <w:b w:val="0"/>
          <w:i w:val="0"/>
          <w:color w:val="1A2138"/>
          <w:sz w:val="21"/>
        </w:rPr>
        <w:t xml:space="preserve">, </w:t>
      </w:r>
      <w:r>
        <w:rPr>
          <w:rFonts w:ascii="Consolas" w:hAnsi="Consolas"/>
          <w:b w:val="0"/>
          <w:i w:val="0"/>
          <w:color w:val="7A5200"/>
          <w:sz w:val="20"/>
        </w:rPr>
        <w:t>totalprod</w:t>
      </w:r>
      <w:r>
        <w:rPr>
          <w:rFonts w:ascii="Calibri" w:hAnsi="Calibri"/>
          <w:b w:val="0"/>
          <w:i w:val="0"/>
          <w:color w:val="1A2138"/>
          <w:sz w:val="21"/>
        </w:rPr>
        <w:t xml:space="preserve"> e </w:t>
      </w:r>
      <w:r>
        <w:rPr>
          <w:rFonts w:ascii="Consolas" w:hAnsi="Consolas"/>
          <w:b w:val="0"/>
          <w:i w:val="0"/>
          <w:color w:val="7A5200"/>
          <w:sz w:val="20"/>
        </w:rPr>
        <w:t>stocks</w:t>
      </w:r>
      <w:r>
        <w:rPr>
          <w:rFonts w:ascii="Calibri" w:hAnsi="Calibri"/>
          <w:b w:val="0"/>
          <w:i w:val="0"/>
          <w:color w:val="1A2138"/>
          <w:sz w:val="21"/>
        </w:rPr>
        <w:t>. Il fattore vive in una sola costante del codice, mai scritto a mano due volte.</w:t>
      </w:r>
    </w:p>
    <w:p>
      <w:pPr>
        <w:jc w:val="both"/>
      </w:pPr>
      <w:r>
        <w:rPr>
          <w:rFonts w:ascii="Calibri" w:hAnsi="Calibri"/>
          <w:b w:val="0"/>
          <w:i/>
          <w:color w:val="1A2138"/>
          <w:sz w:val="21"/>
        </w:rPr>
        <w:t>Motivazione: l'utente è italiano. Un'interfaccia che parla di libbre è inutilizzabile, e la conversione fatta a valle in ogni schermata è il modo migliore per sbagliarne una.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R4 · Il prezzo si converte in USD/kg, la valuta resta in dollari</w:t>
      </w:r>
    </w:p>
    <w:p>
      <w:pPr>
        <w:jc w:val="both"/>
      </w:pPr>
      <w:r>
        <w:rPr>
          <w:rFonts w:ascii="Consolas" w:hAnsi="Consolas"/>
          <w:b w:val="0"/>
          <w:i w:val="0"/>
          <w:color w:val="7A5200"/>
          <w:sz w:val="20"/>
        </w:rPr>
        <w:t>priceperlb</w:t>
      </w:r>
      <w:r>
        <w:rPr>
          <w:rFonts w:ascii="Calibri" w:hAnsi="Calibri"/>
          <w:b w:val="0"/>
          <w:i w:val="0"/>
          <w:color w:val="1A2138"/>
          <w:sz w:val="21"/>
        </w:rPr>
        <w:t xml:space="preserve"> diventa </w:t>
      </w:r>
      <w:r>
        <w:rPr>
          <w:rFonts w:ascii="Consolas" w:hAnsi="Consolas"/>
          <w:b w:val="0"/>
          <w:i w:val="0"/>
          <w:color w:val="7A5200"/>
          <w:sz w:val="20"/>
        </w:rPr>
        <w:t>prezzo_per_kg_usd</w:t>
      </w:r>
      <w:r>
        <w:rPr>
          <w:rFonts w:ascii="Calibri" w:hAnsi="Calibri"/>
          <w:b w:val="0"/>
          <w:i w:val="0"/>
          <w:color w:val="1A2138"/>
          <w:sz w:val="21"/>
        </w:rPr>
        <w:t xml:space="preserve"> dividendo per 0,45359237. </w:t>
      </w:r>
      <w:r>
        <w:rPr>
          <w:rFonts w:ascii="Calibri" w:hAnsi="Calibri"/>
          <w:b/>
          <w:i w:val="0"/>
          <w:color w:val="1A2138"/>
          <w:sz w:val="21"/>
        </w:rPr>
        <w:t>Non</w:t>
      </w:r>
      <w:r>
        <w:rPr>
          <w:rFonts w:ascii="Calibri" w:hAnsi="Calibri"/>
          <w:b w:val="0"/>
          <w:i w:val="0"/>
          <w:color w:val="1A2138"/>
          <w:sz w:val="21"/>
        </w:rPr>
        <w:t xml:space="preserve"> si converte in euro.</w:t>
      </w:r>
    </w:p>
    <w:p>
      <w:pPr>
        <w:jc w:val="both"/>
      </w:pPr>
      <w:r>
        <w:rPr>
          <w:rFonts w:ascii="Calibri" w:hAnsi="Calibri"/>
          <w:b w:val="0"/>
          <w:i/>
          <w:color w:val="1A2138"/>
          <w:sz w:val="21"/>
        </w:rPr>
        <w:t>Motivazione: passare da libbre a chili è una conversione di unità, esatta e senza assunzioni. Passare da dollari a euro richiederebbe il tasso di cambio di ciascuno dei quindici anni: un'assunzione arbitraria che sporcherebbe un dato storico. Il prezzo, del resto, non entra nel modello.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R5 · Le colonne derivate si conservano ma si marcano</w:t>
      </w:r>
    </w:p>
    <w:p>
      <w:pPr>
        <w:jc w:val="both"/>
      </w:pPr>
      <w:r>
        <w:rPr>
          <w:rFonts w:ascii="Consolas" w:hAnsi="Consolas"/>
          <w:b w:val="0"/>
          <w:i w:val="0"/>
          <w:color w:val="7A5200"/>
          <w:sz w:val="20"/>
        </w:rPr>
        <w:t>totalprod</w:t>
      </w:r>
      <w:r>
        <w:rPr>
          <w:rFonts w:ascii="Calibri" w:hAnsi="Calibri"/>
          <w:b w:val="0"/>
          <w:i w:val="0"/>
          <w:color w:val="1A2138"/>
          <w:sz w:val="21"/>
        </w:rPr>
        <w:t xml:space="preserve"> e </w:t>
      </w:r>
      <w:r>
        <w:rPr>
          <w:rFonts w:ascii="Consolas" w:hAnsi="Consolas"/>
          <w:b w:val="0"/>
          <w:i w:val="0"/>
          <w:color w:val="7A5200"/>
          <w:sz w:val="20"/>
        </w:rPr>
        <w:t>prodvalue</w:t>
      </w:r>
      <w:r>
        <w:rPr>
          <w:rFonts w:ascii="Calibri" w:hAnsi="Calibri"/>
          <w:b w:val="0"/>
          <w:i w:val="0"/>
          <w:color w:val="1A2138"/>
          <w:sz w:val="21"/>
        </w:rPr>
        <w:t xml:space="preserve"> sono calcolate dalle altre (osservazione 2). Restano nel database per fedeltà alla fonte, ma sono </w:t>
      </w:r>
      <w:r>
        <w:rPr>
          <w:rFonts w:ascii="Calibri" w:hAnsi="Calibri"/>
          <w:b/>
          <w:i w:val="0"/>
          <w:color w:val="1A2138"/>
          <w:sz w:val="21"/>
        </w:rPr>
        <w:t>escluse dai predittori</w:t>
      </w:r>
      <w:r>
        <w:rPr>
          <w:rFonts w:ascii="Calibri" w:hAnsi="Calibri"/>
          <w:b w:val="0"/>
          <w:i w:val="0"/>
          <w:color w:val="1A2138"/>
          <w:sz w:val="21"/>
        </w:rPr>
        <w:t xml:space="preserve"> del modello.</w:t>
      </w:r>
    </w:p>
    <w:p>
      <w:pPr>
        <w:jc w:val="both"/>
      </w:pPr>
      <w:r>
        <w:rPr>
          <w:rFonts w:ascii="Calibri" w:hAnsi="Calibri"/>
          <w:b w:val="0"/>
          <w:i/>
          <w:color w:val="1A2138"/>
          <w:sz w:val="21"/>
        </w:rPr>
        <w:t>Motivazione: rimuoverle renderebbe impossibile verificare i dati contro il file originale. Usarle come variabili di ingresso sarebbe data leakage. La marcatura risolve entrambi i problemi.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R6 · Nessun arrotondamento in fase di trasformazione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I valori convertiti si conservano con tutti i decimali che escono dalla moltiplicazione. L'arrotondamento è una scelta di </w:t>
      </w:r>
      <w:r>
        <w:rPr>
          <w:rFonts w:ascii="Calibri" w:hAnsi="Calibri"/>
          <w:b/>
          <w:i w:val="0"/>
          <w:color w:val="1A2138"/>
          <w:sz w:val="21"/>
        </w:rPr>
        <w:t>presentazione</w:t>
      </w:r>
      <w:r>
        <w:rPr>
          <w:rFonts w:ascii="Calibri" w:hAnsi="Calibri"/>
          <w:b w:val="0"/>
          <w:i w:val="0"/>
          <w:color w:val="1A2138"/>
          <w:sz w:val="21"/>
        </w:rPr>
        <w:t xml:space="preserve"> e appartiene all'interfaccia.</w:t>
      </w:r>
    </w:p>
    <w:p>
      <w:pPr>
        <w:jc w:val="both"/>
      </w:pPr>
      <w:r>
        <w:rPr>
          <w:rFonts w:ascii="Calibri" w:hAnsi="Calibri"/>
          <w:b w:val="0"/>
          <w:i/>
          <w:color w:val="1A2138"/>
          <w:sz w:val="21"/>
        </w:rPr>
        <w:t>Motivazione: arrotondare due volte a stadi diversi produce differenze fra schermate che si fatica poi a spiegare.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 xml:space="preserve">R7 · </w:t>
      </w:r>
      <w:r>
        <w:rPr>
          <w:rFonts w:ascii="Consolas" w:hAnsi="Consolas"/>
          <w:b w:val="0"/>
          <w:i w:val="0"/>
          <w:color w:val="7A5200"/>
          <w:sz w:val="22"/>
        </w:rPr>
        <w:t>state</w:t>
      </w:r>
      <w:r>
        <w:rPr>
          <w:rFonts w:ascii="Calibri" w:hAnsi="Calibri"/>
          <w:b w:val="0"/>
          <w:i w:val="0"/>
          <w:color w:val="A87200"/>
          <w:sz w:val="23"/>
        </w:rPr>
        <w:t xml:space="preserve"> normalizzato e validato contro una lista chiusa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Due lettere maiuscole, spazi rimossi. Un codice fuori dai 44 ammessi scarta la riga con motivo </w:t>
      </w:r>
      <w:r>
        <w:rPr>
          <w:rFonts w:ascii="Consolas" w:hAnsi="Consolas"/>
          <w:b w:val="0"/>
          <w:i w:val="0"/>
          <w:color w:val="7A5200"/>
          <w:sz w:val="20"/>
        </w:rPr>
        <w:t>stato_non_valido</w:t>
      </w:r>
      <w:r>
        <w:rPr>
          <w:rFonts w:ascii="Calibri" w:hAnsi="Calibri"/>
          <w:b w:val="0"/>
          <w:i w:val="0"/>
          <w:color w:val="1A2138"/>
          <w:sz w:val="21"/>
        </w:rPr>
        <w:t>. Il nome esteso dello stato vive in una tabella di riferimento, non in questa colonna.</w:t>
      </w:r>
    </w:p>
    <w:p>
      <w:pPr>
        <w:jc w:val="both"/>
      </w:pPr>
      <w:r>
        <w:rPr>
          <w:rFonts w:ascii="Calibri" w:hAnsi="Calibri"/>
          <w:b w:val="0"/>
          <w:i/>
          <w:color w:val="1A2138"/>
          <w:sz w:val="21"/>
        </w:rPr>
        <w:t>Motivazione: la lista è chiusa e non cambierà. Validare contro di essa intercetta subito un file corrotto o della fonte sbagliata.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 xml:space="preserve">R8 · </w:t>
      </w:r>
      <w:r>
        <w:rPr>
          <w:rFonts w:ascii="Consolas" w:hAnsi="Consolas"/>
          <w:b w:val="0"/>
          <w:i w:val="0"/>
          <w:color w:val="7A5200"/>
          <w:sz w:val="22"/>
        </w:rPr>
        <w:t>year</w:t>
      </w:r>
      <w:r>
        <w:rPr>
          <w:rFonts w:ascii="Calibri" w:hAnsi="Calibri"/>
          <w:b w:val="0"/>
          <w:i w:val="0"/>
          <w:color w:val="A87200"/>
          <w:sz w:val="23"/>
        </w:rPr>
        <w:t xml:space="preserve"> intero, entro un intervallo plausibile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Fuori dall'intervallo 1990 – anno corrente, la riga viene scartata con motivo </w:t>
      </w:r>
      <w:r>
        <w:rPr>
          <w:rFonts w:ascii="Consolas" w:hAnsi="Consolas"/>
          <w:b w:val="0"/>
          <w:i w:val="0"/>
          <w:color w:val="7A5200"/>
          <w:sz w:val="20"/>
        </w:rPr>
        <w:t>anno_non_plausibile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jc w:val="both"/>
      </w:pPr>
      <w:r>
        <w:rPr>
          <w:rFonts w:ascii="Calibri" w:hAnsi="Calibri"/>
          <w:b w:val="0"/>
          <w:i/>
          <w:color w:val="1A2138"/>
          <w:sz w:val="21"/>
        </w:rPr>
        <w:t>Motivazione: un anno a 1900 o 3025 è un errore di parsing, non un dato storico.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R9 · La coppia (</w:t>
      </w:r>
      <w:r>
        <w:rPr>
          <w:rFonts w:ascii="Consolas" w:hAnsi="Consolas"/>
          <w:b w:val="0"/>
          <w:i w:val="0"/>
          <w:color w:val="7A5200"/>
          <w:sz w:val="22"/>
        </w:rPr>
        <w:t>stato</w:t>
      </w:r>
      <w:r>
        <w:rPr>
          <w:rFonts w:ascii="Calibri" w:hAnsi="Calibri"/>
          <w:b w:val="0"/>
          <w:i w:val="0"/>
          <w:color w:val="A87200"/>
          <w:sz w:val="23"/>
        </w:rPr>
        <w:t xml:space="preserve">, </w:t>
      </w:r>
      <w:r>
        <w:rPr>
          <w:rFonts w:ascii="Consolas" w:hAnsi="Consolas"/>
          <w:b w:val="0"/>
          <w:i w:val="0"/>
          <w:color w:val="7A5200"/>
          <w:sz w:val="22"/>
        </w:rPr>
        <w:t>anno</w:t>
      </w:r>
      <w:r>
        <w:rPr>
          <w:rFonts w:ascii="Calibri" w:hAnsi="Calibri"/>
          <w:b w:val="0"/>
          <w:i w:val="0"/>
          <w:color w:val="A87200"/>
          <w:sz w:val="23"/>
        </w:rPr>
        <w:t>) è la chiave naturale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Deve essere unica. Un duplicato scarta la riga con motivo </w:t>
      </w:r>
      <w:r>
        <w:rPr>
          <w:rFonts w:ascii="Consolas" w:hAnsi="Consolas"/>
          <w:b w:val="0"/>
          <w:i w:val="0"/>
          <w:color w:val="7A5200"/>
          <w:sz w:val="20"/>
        </w:rPr>
        <w:t>chiave_duplicata</w:t>
      </w:r>
      <w:r>
        <w:rPr>
          <w:rFonts w:ascii="Calibri" w:hAnsi="Calibri"/>
          <w:b w:val="0"/>
          <w:i w:val="0"/>
          <w:color w:val="1A2138"/>
          <w:sz w:val="21"/>
        </w:rPr>
        <w:t xml:space="preserve">, e viene registrato a livello </w:t>
      </w:r>
      <w:r>
        <w:rPr>
          <w:rFonts w:ascii="Consolas" w:hAnsi="Consolas"/>
          <w:b w:val="0"/>
          <w:i w:val="0"/>
          <w:color w:val="7A5200"/>
          <w:sz w:val="20"/>
        </w:rPr>
        <w:t>WARNING</w:t>
      </w:r>
      <w:r>
        <w:rPr>
          <w:rFonts w:ascii="Calibri" w:hAnsi="Calibri"/>
          <w:b w:val="0"/>
          <w:i w:val="0"/>
          <w:color w:val="1A2138"/>
          <w:sz w:val="21"/>
        </w:rPr>
        <w:t>: significa che la fonte è cambiata.</w:t>
      </w:r>
    </w:p>
    <w:p>
      <w:pPr>
        <w:jc w:val="both"/>
      </w:pPr>
      <w:r>
        <w:rPr>
          <w:rFonts w:ascii="Calibri" w:hAnsi="Calibri"/>
          <w:b w:val="0"/>
          <w:i/>
          <w:color w:val="1A2138"/>
          <w:sz w:val="21"/>
        </w:rPr>
        <w:t>Motivazione: diventerà un vincolo `UNIQUE` nello schema (M2-T4). Meglio scoprirlo nell'ETL che dal database.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R10 · Gli stati con copertura parziale restano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South Carolina, Maryland, Oklahoma e Nevada hanno meno di 15 anni (anomalia A1). Le righe si conservano. Chi calcola serie storiche usa il </w:t>
      </w:r>
      <w:r>
        <w:rPr>
          <w:rFonts w:ascii="Calibri" w:hAnsi="Calibri"/>
          <w:b/>
          <w:i w:val="0"/>
          <w:color w:val="1A2138"/>
          <w:sz w:val="21"/>
        </w:rPr>
        <w:t>pannello bilanciato</w:t>
      </w:r>
      <w:r>
        <w:rPr>
          <w:rFonts w:ascii="Calibri" w:hAnsi="Calibri"/>
          <w:b w:val="0"/>
          <w:i w:val="0"/>
          <w:color w:val="1A2138"/>
          <w:sz w:val="21"/>
        </w:rPr>
        <w:t xml:space="preserve"> dei 40 stati completi.</w:t>
      </w:r>
    </w:p>
    <w:p>
      <w:pPr>
        <w:jc w:val="both"/>
      </w:pPr>
      <w:r>
        <w:rPr>
          <w:rFonts w:ascii="Calibri" w:hAnsi="Calibri"/>
          <w:b w:val="0"/>
          <w:i/>
          <w:color w:val="1A2138"/>
          <w:sz w:val="21"/>
        </w:rPr>
        <w:t>Motivazione: il dato è valido, è il confronto fra anni a non esserlo. Il problema si risolve a valle, non buttando via righe buone.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 xml:space="preserve">R11 · </w:t>
      </w:r>
      <w:r>
        <w:rPr>
          <w:rFonts w:ascii="Consolas" w:hAnsi="Consolas"/>
          <w:b w:val="0"/>
          <w:i w:val="0"/>
          <w:color w:val="7A5200"/>
          <w:sz w:val="22"/>
        </w:rPr>
        <w:t>scorte_kg</w:t>
      </w:r>
      <w:r>
        <w:rPr>
          <w:rFonts w:ascii="Calibri" w:hAnsi="Calibri"/>
          <w:b w:val="0"/>
          <w:i w:val="0"/>
          <w:color w:val="A87200"/>
          <w:sz w:val="23"/>
        </w:rPr>
        <w:t xml:space="preserve"> maggiore di </w:t>
      </w:r>
      <w:r>
        <w:rPr>
          <w:rFonts w:ascii="Consolas" w:hAnsi="Consolas"/>
          <w:b w:val="0"/>
          <w:i w:val="0"/>
          <w:color w:val="7A5200"/>
          <w:sz w:val="22"/>
        </w:rPr>
        <w:t>produzione_totale_kg</w:t>
      </w:r>
      <w:r>
        <w:rPr>
          <w:rFonts w:ascii="Calibri" w:hAnsi="Calibri"/>
          <w:b w:val="0"/>
          <w:i w:val="0"/>
          <w:color w:val="A87200"/>
          <w:sz w:val="23"/>
        </w:rPr>
        <w:t xml:space="preserve"> si segnala, non si corregge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Un </w:t>
      </w:r>
      <w:r>
        <w:rPr>
          <w:rFonts w:ascii="Consolas" w:hAnsi="Consolas"/>
          <w:b w:val="0"/>
          <w:i w:val="0"/>
          <w:color w:val="7A5200"/>
          <w:sz w:val="20"/>
        </w:rPr>
        <w:t>WARNING</w:t>
      </w:r>
      <w:r>
        <w:rPr>
          <w:rFonts w:ascii="Calibri" w:hAnsi="Calibri"/>
          <w:b w:val="0"/>
          <w:i w:val="0"/>
          <w:color w:val="1A2138"/>
          <w:sz w:val="21"/>
        </w:rPr>
        <w:t xml:space="preserve"> a log con stato e anno. La riga passa.</w:t>
      </w:r>
    </w:p>
    <w:p>
      <w:pPr>
        <w:jc w:val="both"/>
      </w:pPr>
      <w:r>
        <w:rPr>
          <w:rFonts w:ascii="Calibri" w:hAnsi="Calibri"/>
          <w:b w:val="0"/>
          <w:i/>
          <w:color w:val="1A2138"/>
          <w:sz w:val="21"/>
        </w:rPr>
        <w:t>Motivazione: è plausibile (anomalia A2) — le scorte includono l'invenduto degli anni precedenti. Correggerla significherebbe inventare un dato.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R12 · Le quantità sono interi, non decimali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Nel CSV </w:t>
      </w:r>
      <w:r>
        <w:rPr>
          <w:rFonts w:ascii="Consolas" w:hAnsi="Consolas"/>
          <w:b w:val="0"/>
          <w:i w:val="0"/>
          <w:color w:val="7A5200"/>
          <w:sz w:val="20"/>
        </w:rPr>
        <w:t>numcol</w:t>
      </w:r>
      <w:r>
        <w:rPr>
          <w:rFonts w:ascii="Calibri" w:hAnsi="Calibri"/>
          <w:b w:val="0"/>
          <w:i w:val="0"/>
          <w:color w:val="1A2138"/>
          <w:sz w:val="21"/>
        </w:rPr>
        <w:t xml:space="preserve">, </w:t>
      </w:r>
      <w:r>
        <w:rPr>
          <w:rFonts w:ascii="Consolas" w:hAnsi="Consolas"/>
          <w:b w:val="0"/>
          <w:i w:val="0"/>
          <w:color w:val="7A5200"/>
          <w:sz w:val="20"/>
        </w:rPr>
        <w:t>totalprod</w:t>
      </w:r>
      <w:r>
        <w:rPr>
          <w:rFonts w:ascii="Calibri" w:hAnsi="Calibri"/>
          <w:b w:val="0"/>
          <w:i w:val="0"/>
          <w:color w:val="1A2138"/>
          <w:sz w:val="21"/>
        </w:rPr>
        <w:t xml:space="preserve">, </w:t>
      </w:r>
      <w:r>
        <w:rPr>
          <w:rFonts w:ascii="Consolas" w:hAnsi="Consolas"/>
          <w:b w:val="0"/>
          <w:i w:val="0"/>
          <w:color w:val="7A5200"/>
          <w:sz w:val="20"/>
        </w:rPr>
        <w:t>stocks</w:t>
      </w:r>
      <w:r>
        <w:rPr>
          <w:rFonts w:ascii="Calibri" w:hAnsi="Calibri"/>
          <w:b w:val="0"/>
          <w:i w:val="0"/>
          <w:color w:val="1A2138"/>
          <w:sz w:val="21"/>
        </w:rPr>
        <w:t xml:space="preserve"> e </w:t>
      </w:r>
      <w:r>
        <w:rPr>
          <w:rFonts w:ascii="Consolas" w:hAnsi="Consolas"/>
          <w:b w:val="0"/>
          <w:i w:val="0"/>
          <w:color w:val="7A5200"/>
          <w:sz w:val="20"/>
        </w:rPr>
        <w:t>prodvalue</w:t>
      </w:r>
      <w:r>
        <w:rPr>
          <w:rFonts w:ascii="Calibri" w:hAnsi="Calibri"/>
          <w:b w:val="0"/>
          <w:i w:val="0"/>
          <w:color w:val="1A2138"/>
          <w:sz w:val="21"/>
        </w:rPr>
        <w:t xml:space="preserve"> sono letti come </w:t>
      </w:r>
      <w:r>
        <w:rPr>
          <w:rFonts w:ascii="Consolas" w:hAnsi="Consolas"/>
          <w:b w:val="0"/>
          <w:i w:val="0"/>
          <w:color w:val="7A5200"/>
          <w:sz w:val="20"/>
        </w:rPr>
        <w:t>float64</w:t>
      </w:r>
      <w:r>
        <w:rPr>
          <w:rFonts w:ascii="Calibri" w:hAnsi="Calibri"/>
          <w:b w:val="0"/>
          <w:i w:val="0"/>
          <w:color w:val="1A2138"/>
          <w:sz w:val="21"/>
        </w:rPr>
        <w:t xml:space="preserve"> ma sono sempre valori interi. Si leggono come interi, tranne dove la conversione in chilogrammi introduce dei decimali.</w:t>
      </w:r>
    </w:p>
    <w:p>
      <w:pPr>
        <w:jc w:val="both"/>
      </w:pPr>
      <w:r>
        <w:rPr>
          <w:rFonts w:ascii="Calibri" w:hAnsi="Calibri"/>
          <w:b w:val="0"/>
          <w:i/>
          <w:color w:val="1A2138"/>
          <w:sz w:val="21"/>
        </w:rPr>
        <w:t>Motivazione: tipi corretti fin dalla lettura significa errori intercettati prima, e una colonna `INT` invece di `DOUBLE` nel database.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Conversioni di unità e verifica manuale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1 libbra (lb) = 0,45359237 kg      (definizione internazionale esatta)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 xml:space="preserve"> 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resa_per_colonia_kg   = yieldpercol × 0,45359237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produzione_totale_kg  = totalprod   × 0,45359237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scorte_kg             = stocks      × 0,45359237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prezzo_per_kg_usd     = priceperlb  ÷ 0,45359237</w:t>
      </w:r>
    </w:p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Il prezzo si </w:t>
      </w:r>
      <w:r>
        <w:rPr>
          <w:rFonts w:ascii="Calibri" w:hAnsi="Calibri"/>
          <w:b/>
          <w:i w:val="0"/>
          <w:color w:val="1A2138"/>
          <w:sz w:val="21"/>
        </w:rPr>
        <w:t>divide</w:t>
      </w:r>
      <w:r>
        <w:rPr>
          <w:rFonts w:ascii="Calibri" w:hAnsi="Calibri"/>
          <w:b w:val="0"/>
          <w:i w:val="0"/>
          <w:color w:val="1A2138"/>
          <w:sz w:val="21"/>
        </w:rPr>
        <w:t>, non si moltiplica: se un chilo pesa più di una libbra, un chilo costa più di una libbra. È l'errore più facile da fare, ed è il motivo per cui la verifica sotto include un controllo di plausibilità.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Verifica su tre righe, calcolata a mano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Riga 1 — Alabama, 1998</w:t>
      </w:r>
      <w:r>
        <w:rPr>
          <w:rFonts w:ascii="Calibri" w:hAnsi="Calibri"/>
          <w:b w:val="0"/>
          <w:i w:val="0"/>
          <w:color w:val="1A2138"/>
          <w:sz w:val="21"/>
        </w:rPr>
        <w:t xml:space="preserve"> (prima riga del file)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315"/>
        <w:gridCol w:w="1797"/>
        <w:gridCol w:w="2315"/>
        <w:gridCol w:w="2185"/>
      </w:tblGrid>
      <w:tr>
        <w:tc>
          <w:tcPr>
            <w:tcW w:type="dxa" w:w="2315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Grandezza</w:t>
            </w:r>
          </w:p>
        </w:tc>
        <w:tc>
          <w:tcPr>
            <w:tcW w:type="dxa" w:w="1797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Valore fonte</w:t>
            </w:r>
          </w:p>
        </w:tc>
        <w:tc>
          <w:tcPr>
            <w:tcW w:type="dxa" w:w="2315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Calcolo</w:t>
            </w:r>
          </w:p>
        </w:tc>
        <w:tc>
          <w:tcPr>
            <w:tcW w:type="dxa" w:w="2185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Risultato</w:t>
            </w:r>
          </w:p>
        </w:tc>
      </w:tr>
      <w:tr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Resa per colonia</w:t>
            </w:r>
          </w:p>
        </w:tc>
        <w:tc>
          <w:tcPr>
            <w:tcW w:type="dxa" w:w="179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71 lb</w:t>
            </w:r>
          </w:p>
        </w:tc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71 × 0,45359237</w:t>
            </w:r>
          </w:p>
        </w:tc>
        <w:tc>
          <w:tcPr>
            <w:tcW w:type="dxa" w:w="2185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32,2051 kg</w:t>
            </w:r>
          </w:p>
        </w:tc>
      </w:tr>
      <w:tr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Produzione totale</w:t>
            </w:r>
          </w:p>
        </w:tc>
        <w:tc>
          <w:tcPr>
            <w:tcW w:type="dxa" w:w="179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1 136 000 lb</w:t>
            </w:r>
          </w:p>
        </w:tc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1 136 000 × 0,45359237</w:t>
            </w:r>
          </w:p>
        </w:tc>
        <w:tc>
          <w:tcPr>
            <w:tcW w:type="dxa" w:w="2185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515 280,93 kg</w:t>
            </w:r>
          </w:p>
        </w:tc>
      </w:tr>
      <w:tr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Scorte</w:t>
            </w:r>
          </w:p>
        </w:tc>
        <w:tc>
          <w:tcPr>
            <w:tcW w:type="dxa" w:w="179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159 000 lb</w:t>
            </w:r>
          </w:p>
        </w:tc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159 000 × 0,45359237</w:t>
            </w:r>
          </w:p>
        </w:tc>
        <w:tc>
          <w:tcPr>
            <w:tcW w:type="dxa" w:w="2185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72 121,19 kg</w:t>
            </w:r>
          </w:p>
        </w:tc>
      </w:tr>
      <w:tr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Prezzo</w:t>
            </w:r>
          </w:p>
        </w:tc>
        <w:tc>
          <w:tcPr>
            <w:tcW w:type="dxa" w:w="179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0,72 USD/lb</w:t>
            </w:r>
          </w:p>
        </w:tc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0,72 ÷ 0,45359237</w:t>
            </w:r>
          </w:p>
        </w:tc>
        <w:tc>
          <w:tcPr>
            <w:tcW w:type="dxa" w:w="2185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1,5873 USD/kg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Controllo di coerenza: 16 000 colonie × 71 lb = 1 136 000 lb ✓ (corrisponde a </w:t>
      </w:r>
      <w:r>
        <w:rPr>
          <w:rFonts w:ascii="Consolas" w:hAnsi="Consolas"/>
          <w:b w:val="0"/>
          <w:i w:val="0"/>
          <w:color w:val="7A5200"/>
          <w:sz w:val="20"/>
        </w:rPr>
        <w:t>totalprod</w:t>
      </w:r>
      <w:r>
        <w:rPr>
          <w:rFonts w:ascii="Calibri" w:hAnsi="Calibri"/>
          <w:b w:val="0"/>
          <w:i w:val="0"/>
          <w:color w:val="1A2138"/>
          <w:sz w:val="21"/>
        </w:rPr>
        <w:t>)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Riga 314 — Iowa, 2005</w:t>
      </w:r>
      <w:r>
        <w:rPr>
          <w:rFonts w:ascii="Calibri" w:hAnsi="Calibri"/>
          <w:b w:val="0"/>
          <w:i w:val="0"/>
          <w:color w:val="1A2138"/>
          <w:sz w:val="21"/>
        </w:rPr>
        <w:t xml:space="preserve"> (circa a metà del file)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315"/>
        <w:gridCol w:w="1797"/>
        <w:gridCol w:w="2315"/>
        <w:gridCol w:w="2185"/>
      </w:tblGrid>
      <w:tr>
        <w:tc>
          <w:tcPr>
            <w:tcW w:type="dxa" w:w="2315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Grandezza</w:t>
            </w:r>
          </w:p>
        </w:tc>
        <w:tc>
          <w:tcPr>
            <w:tcW w:type="dxa" w:w="1797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Valore fonte</w:t>
            </w:r>
          </w:p>
        </w:tc>
        <w:tc>
          <w:tcPr>
            <w:tcW w:type="dxa" w:w="2315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Calcolo</w:t>
            </w:r>
          </w:p>
        </w:tc>
        <w:tc>
          <w:tcPr>
            <w:tcW w:type="dxa" w:w="2185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Risultato</w:t>
            </w:r>
          </w:p>
        </w:tc>
      </w:tr>
      <w:tr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Resa per colonia</w:t>
            </w:r>
          </w:p>
        </w:tc>
        <w:tc>
          <w:tcPr>
            <w:tcW w:type="dxa" w:w="179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88 lb</w:t>
            </w:r>
          </w:p>
        </w:tc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88 × 0,45359237</w:t>
            </w:r>
          </w:p>
        </w:tc>
        <w:tc>
          <w:tcPr>
            <w:tcW w:type="dxa" w:w="2185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39,9161 kg</w:t>
            </w:r>
          </w:p>
        </w:tc>
      </w:tr>
      <w:tr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Produzione totale</w:t>
            </w:r>
          </w:p>
        </w:tc>
        <w:tc>
          <w:tcPr>
            <w:tcW w:type="dxa" w:w="179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2 464 000 lb</w:t>
            </w:r>
          </w:p>
        </w:tc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2 464 000 × 0,45359237</w:t>
            </w:r>
          </w:p>
        </w:tc>
        <w:tc>
          <w:tcPr>
            <w:tcW w:type="dxa" w:w="2185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1 117 651,60 kg</w:t>
            </w:r>
          </w:p>
        </w:tc>
      </w:tr>
      <w:tr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Scorte</w:t>
            </w:r>
          </w:p>
        </w:tc>
        <w:tc>
          <w:tcPr>
            <w:tcW w:type="dxa" w:w="179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1 232 000 lb</w:t>
            </w:r>
          </w:p>
        </w:tc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1 232 000 × 0,45359237</w:t>
            </w:r>
          </w:p>
        </w:tc>
        <w:tc>
          <w:tcPr>
            <w:tcW w:type="dxa" w:w="2185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558 825,80 kg</w:t>
            </w:r>
          </w:p>
        </w:tc>
      </w:tr>
      <w:tr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Prezzo</w:t>
            </w:r>
          </w:p>
        </w:tc>
        <w:tc>
          <w:tcPr>
            <w:tcW w:type="dxa" w:w="179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1,21 USD/lb</w:t>
            </w:r>
          </w:p>
        </w:tc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1,21 ÷ 0,45359237</w:t>
            </w:r>
          </w:p>
        </w:tc>
        <w:tc>
          <w:tcPr>
            <w:tcW w:type="dxa" w:w="2185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2,6676 USD/kg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Controllo di coerenza: 28 000 × 88 = 2 464 000 lb ✓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Riga 626 — Wyoming, 2012</w:t>
      </w:r>
      <w:r>
        <w:rPr>
          <w:rFonts w:ascii="Calibri" w:hAnsi="Calibri"/>
          <w:b w:val="0"/>
          <w:i w:val="0"/>
          <w:color w:val="1A2138"/>
          <w:sz w:val="21"/>
        </w:rPr>
        <w:t xml:space="preserve"> (ultima riga del file)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315"/>
        <w:gridCol w:w="1797"/>
        <w:gridCol w:w="2315"/>
        <w:gridCol w:w="2185"/>
      </w:tblGrid>
      <w:tr>
        <w:tc>
          <w:tcPr>
            <w:tcW w:type="dxa" w:w="2315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Grandezza</w:t>
            </w:r>
          </w:p>
        </w:tc>
        <w:tc>
          <w:tcPr>
            <w:tcW w:type="dxa" w:w="1797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Valore fonte</w:t>
            </w:r>
          </w:p>
        </w:tc>
        <w:tc>
          <w:tcPr>
            <w:tcW w:type="dxa" w:w="2315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Calcolo</w:t>
            </w:r>
          </w:p>
        </w:tc>
        <w:tc>
          <w:tcPr>
            <w:tcW w:type="dxa" w:w="2185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Risultato</w:t>
            </w:r>
          </w:p>
        </w:tc>
      </w:tr>
      <w:tr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Resa per colonia</w:t>
            </w:r>
          </w:p>
        </w:tc>
        <w:tc>
          <w:tcPr>
            <w:tcW w:type="dxa" w:w="179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51 lb</w:t>
            </w:r>
          </w:p>
        </w:tc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51 × 0,45359237</w:t>
            </w:r>
          </w:p>
        </w:tc>
        <w:tc>
          <w:tcPr>
            <w:tcW w:type="dxa" w:w="2185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23,1332 kg</w:t>
            </w:r>
          </w:p>
        </w:tc>
      </w:tr>
      <w:tr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Produzione totale</w:t>
            </w:r>
          </w:p>
        </w:tc>
        <w:tc>
          <w:tcPr>
            <w:tcW w:type="dxa" w:w="179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2 550 000 lb</w:t>
            </w:r>
          </w:p>
        </w:tc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2 550 000 × 0,45359237</w:t>
            </w:r>
          </w:p>
        </w:tc>
        <w:tc>
          <w:tcPr>
            <w:tcW w:type="dxa" w:w="2185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1 156 660,54 kg</w:t>
            </w:r>
          </w:p>
        </w:tc>
      </w:tr>
      <w:tr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Scorte</w:t>
            </w:r>
          </w:p>
        </w:tc>
        <w:tc>
          <w:tcPr>
            <w:tcW w:type="dxa" w:w="179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459 000 lb</w:t>
            </w:r>
          </w:p>
        </w:tc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459 000 × 0,45359237</w:t>
            </w:r>
          </w:p>
        </w:tc>
        <w:tc>
          <w:tcPr>
            <w:tcW w:type="dxa" w:w="2185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208 198,90 kg</w:t>
            </w:r>
          </w:p>
        </w:tc>
      </w:tr>
      <w:tr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Prezzo</w:t>
            </w:r>
          </w:p>
        </w:tc>
        <w:tc>
          <w:tcPr>
            <w:tcW w:type="dxa" w:w="179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1,87 USD/lb</w:t>
            </w:r>
          </w:p>
        </w:tc>
        <w:tc>
          <w:tcPr>
            <w:tcW w:type="dxa" w:w="231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1,87 ÷ 0,45359237</w:t>
            </w:r>
          </w:p>
        </w:tc>
        <w:tc>
          <w:tcPr>
            <w:tcW w:type="dxa" w:w="2185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4,1226 USD/kg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Controllo di coerenza: 50 000 × 51 = 2 550 000 lb ✓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Verifica di plausibilità.</w:t>
      </w:r>
      <w:r>
        <w:rPr>
          <w:rFonts w:ascii="Calibri" w:hAnsi="Calibri"/>
          <w:b w:val="0"/>
          <w:i w:val="0"/>
          <w:color w:val="1A2138"/>
          <w:sz w:val="21"/>
        </w:rPr>
        <w:t xml:space="preserve"> Le tre rese convertite valgono 32, 40 e 23 kg per colonia: valori credibili per un alveare in una stagione. Se la conversione fosse stata invertita (dividendo invece di moltiplicare) si otterrebbero 157, 194 e 112 kg — impossibili. Il segno della conversione è quindi corretto.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Questi tre casi diventeranno altrettanti test in </w:t>
      </w:r>
      <w:r>
        <w:rPr>
          <w:rFonts w:ascii="Calibri" w:hAnsi="Calibri"/>
          <w:b/>
          <w:i w:val="0"/>
          <w:color w:val="1A2138"/>
          <w:sz w:val="21"/>
        </w:rPr>
        <w:t>M3-T4</w:t>
      </w:r>
      <w:r>
        <w:rPr>
          <w:rFonts w:ascii="Calibri" w:hAnsi="Calibri"/>
          <w:b w:val="0"/>
          <w:i w:val="0"/>
          <w:color w:val="1A2138"/>
          <w:sz w:val="21"/>
        </w:rPr>
        <w:t>: i numeri qui sopra sono i valori attesi.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Cosa comporta per il resto del progetto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053"/>
        <w:gridCol w:w="4559"/>
      </w:tblGrid>
      <w:tr>
        <w:tc>
          <w:tcPr>
            <w:tcW w:type="dxa" w:w="4053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Osservazione</w:t>
            </w:r>
          </w:p>
        </w:tc>
        <w:tc>
          <w:tcPr>
            <w:tcW w:type="dxa" w:w="4559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Ricade su</w:t>
            </w:r>
          </w:p>
        </w:tc>
      </w:tr>
      <w:tr>
        <w:tc>
          <w:tcPr>
            <w:tcW w:type="dxa" w:w="405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totalprod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e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prodvalue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sono derivate (2)</w:t>
            </w:r>
          </w:p>
        </w:tc>
        <w:tc>
          <w:tcPr>
            <w:tcW w:type="dxa" w:w="4559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M2-T3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scelta del target · </w:t>
            </w: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M4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costruzione della pipeline</w:t>
            </w:r>
          </w:p>
        </w:tc>
      </w:tr>
      <w:tr>
        <w:tc>
          <w:tcPr>
            <w:tcW w:type="dxa" w:w="405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Pannello sbilanciato (1)</w:t>
            </w:r>
          </w:p>
        </w:tc>
        <w:tc>
          <w:tcPr>
            <w:tcW w:type="dxa" w:w="4559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M3-T4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ETL: la logica di aggregazione temporale</w:t>
            </w:r>
          </w:p>
        </w:tc>
      </w:tr>
      <w:tr>
        <w:tc>
          <w:tcPr>
            <w:tcW w:type="dxa" w:w="405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Nessun valore da rimuovere (5, A1–A6)</w:t>
            </w:r>
          </w:p>
        </w:tc>
        <w:tc>
          <w:tcPr>
            <w:tcW w:type="dxa" w:w="4559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M2-T2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regole di pulizia</w:t>
            </w:r>
          </w:p>
        </w:tc>
      </w:tr>
      <w:tr>
        <w:tc>
          <w:tcPr>
            <w:tcW w:type="dxa" w:w="405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state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è categoria, non numero (6)</w:t>
            </w:r>
          </w:p>
        </w:tc>
        <w:tc>
          <w:tcPr>
            <w:tcW w:type="dxa" w:w="4559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M4-T2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codifica delle variabili</w:t>
            </w:r>
          </w:p>
        </w:tc>
      </w:tr>
      <w:tr>
        <w:tc>
          <w:tcPr>
            <w:tcW w:type="dxa" w:w="405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Scarto fra dato commerciale USA e apiario amatoriale (9)</w:t>
            </w:r>
          </w:p>
        </w:tc>
        <w:tc>
          <w:tcPr>
            <w:tcW w:type="dxa" w:w="4559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M2-T3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limiti · </w:t>
            </w: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M6-T8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pagina Trasparenza · </w:t>
            </w: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M7-T4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documento etico</w:t>
            </w:r>
          </w:p>
        </w:tc>
      </w:tr>
      <w:tr>
        <w:tc>
          <w:tcPr>
            <w:tcW w:type="dxa" w:w="405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Il dato è aggregato per stato-anno (fonte)</w:t>
            </w:r>
          </w:p>
        </w:tc>
        <w:tc>
          <w:tcPr>
            <w:tcW w:type="dxa" w:w="4559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M2-T4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schema relazionale: le tabelle USDA sono di </w:t>
            </w:r>
            <w:r>
              <w:rPr>
                <w:rFonts w:ascii="Calibri" w:hAnsi="Calibri"/>
                <w:b w:val="0"/>
                <w:i/>
                <w:color w:val="1A2138"/>
                <w:sz w:val="19"/>
              </w:rPr>
              <w:t>riferimento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, separate da quelle operative</w:t>
            </w:r>
          </w:p>
        </w:tc>
      </w:tr>
    </w:tbl>
    <w:p>
      <w:pPr>
        <w:spacing w:after="120"/>
      </w:pP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Cosa non è stato deciso qui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Deliberatamente fuori dallo scopo di M2-T1 e M2-T2: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 xml:space="preserve">la </w:t>
      </w:r>
      <w:r>
        <w:rPr>
          <w:rFonts w:ascii="Calibri" w:hAnsi="Calibri"/>
          <w:b/>
          <w:i w:val="0"/>
          <w:color w:val="1A2138"/>
          <w:sz w:val="21"/>
        </w:rPr>
        <w:t>scelta formale del target</w:t>
      </w:r>
      <w:r>
        <w:rPr>
          <w:rFonts w:ascii="Calibri" w:hAnsi="Calibri"/>
          <w:b w:val="0"/>
          <w:i w:val="0"/>
          <w:color w:val="1A2138"/>
          <w:sz w:val="21"/>
        </w:rPr>
        <w:t xml:space="preserve"> della regressione e i limiti di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trasferibilità al caso italiano → </w:t>
      </w:r>
      <w:r>
        <w:rPr>
          <w:rFonts w:ascii="Calibri" w:hAnsi="Calibri"/>
          <w:b/>
          <w:i w:val="0"/>
          <w:color w:val="1A2138"/>
          <w:sz w:val="21"/>
        </w:rPr>
        <w:t>M2-T3</w:t>
      </w:r>
      <w:r>
        <w:rPr>
          <w:rFonts w:ascii="Calibri" w:hAnsi="Calibri"/>
          <w:b w:val="0"/>
          <w:i w:val="0"/>
          <w:color w:val="1A2138"/>
          <w:sz w:val="21"/>
        </w:rPr>
        <w:t>;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 xml:space="preserve">quali variabili entrano nel modello e come vengono codificate → </w:t>
      </w:r>
      <w:r>
        <w:rPr>
          <w:rFonts w:ascii="Calibri" w:hAnsi="Calibri"/>
          <w:b/>
          <w:i w:val="0"/>
          <w:color w:val="1A2138"/>
          <w:sz w:val="21"/>
        </w:rPr>
        <w:t>M4-T2</w:t>
      </w:r>
      <w:r>
        <w:rPr>
          <w:rFonts w:ascii="Calibri" w:hAnsi="Calibri"/>
          <w:b w:val="0"/>
          <w:i w:val="0"/>
          <w:color w:val="1A2138"/>
          <w:sz w:val="21"/>
        </w:rPr>
        <w:t>;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 xml:space="preserve">come le tre tabelle si legano fra loro → </w:t>
      </w:r>
      <w:r>
        <w:rPr>
          <w:rFonts w:ascii="Calibri" w:hAnsi="Calibri"/>
          <w:b/>
          <w:i w:val="0"/>
          <w:color w:val="1A2138"/>
          <w:sz w:val="21"/>
        </w:rPr>
        <w:t>M2-T4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Registro delle decisioni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1946"/>
        <w:gridCol w:w="3179"/>
        <w:gridCol w:w="3487"/>
      </w:tblGrid>
      <w:tr>
        <w:tc>
          <w:tcPr>
            <w:tcW w:type="dxa" w:w="1946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Regola</w:t>
            </w:r>
          </w:p>
        </w:tc>
        <w:tc>
          <w:tcPr>
            <w:tcW w:type="dxa" w:w="3179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Decisione</w:t>
            </w:r>
          </w:p>
        </w:tc>
        <w:tc>
          <w:tcPr>
            <w:tcW w:type="dxa" w:w="3487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Motivo in una riga</w:t>
            </w:r>
          </w:p>
        </w:tc>
      </w:tr>
      <w:tr>
        <w:tc>
          <w:tcPr>
            <w:tcW w:type="dxa" w:w="194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R1</w:t>
            </w: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Nessuno scarto per outlier</w:t>
            </w:r>
          </w:p>
        </w:tc>
        <w:tc>
          <w:tcPr>
            <w:tcW w:type="dxa" w:w="34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Sono grandi produttori, non errori</w:t>
            </w:r>
          </w:p>
        </w:tc>
      </w:tr>
      <w:tr>
        <w:tc>
          <w:tcPr>
            <w:tcW w:type="dxa" w:w="194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R2</w:t>
            </w: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Scarto se manca un campo obbligatorio, nessuna imputazione</w:t>
            </w:r>
          </w:p>
        </w:tc>
        <w:tc>
          <w:tcPr>
            <w:tcW w:type="dxa" w:w="34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Inventare valori su 626 righe sposta le statistiche</w:t>
            </w:r>
          </w:p>
        </w:tc>
      </w:tr>
      <w:tr>
        <w:tc>
          <w:tcPr>
            <w:tcW w:type="dxa" w:w="194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R3</w:t>
            </w: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Quantità convertite in kg (× 0,45359237)</w:t>
            </w:r>
          </w:p>
        </w:tc>
        <w:tc>
          <w:tcPr>
            <w:tcW w:type="dxa" w:w="34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L'utente è italiano</w:t>
            </w:r>
          </w:p>
        </w:tc>
      </w:tr>
      <w:tr>
        <w:tc>
          <w:tcPr>
            <w:tcW w:type="dxa" w:w="194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R4</w:t>
            </w: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Prezzo in USD/kg, valuta non convertita</w:t>
            </w:r>
          </w:p>
        </w:tc>
        <w:tc>
          <w:tcPr>
            <w:tcW w:type="dxa" w:w="34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Il cambio storico sarebbe un'assunzione arbitraria</w:t>
            </w:r>
          </w:p>
        </w:tc>
      </w:tr>
      <w:tr>
        <w:tc>
          <w:tcPr>
            <w:tcW w:type="dxa" w:w="194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R5</w:t>
            </w: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Colonne derivate conservate ma escluse dai predittori</w:t>
            </w:r>
          </w:p>
        </w:tc>
        <w:tc>
          <w:tcPr>
            <w:tcW w:type="dxa" w:w="34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Fedeltà alla fonte senza data leakage</w:t>
            </w:r>
          </w:p>
        </w:tc>
      </w:tr>
      <w:tr>
        <w:tc>
          <w:tcPr>
            <w:tcW w:type="dxa" w:w="194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R6</w:t>
            </w: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Nessun arrotondamento nell'ETL</w:t>
            </w:r>
          </w:p>
        </w:tc>
        <w:tc>
          <w:tcPr>
            <w:tcW w:type="dxa" w:w="34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L'arrotondamento è presentazione</w:t>
            </w:r>
          </w:p>
        </w:tc>
      </w:tr>
      <w:tr>
        <w:tc>
          <w:tcPr>
            <w:tcW w:type="dxa" w:w="194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R7</w:t>
            </w: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stato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validato su lista chiusa di 44 codici</w:t>
            </w:r>
          </w:p>
        </w:tc>
        <w:tc>
          <w:tcPr>
            <w:tcW w:type="dxa" w:w="34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Intercetta subito un file sbagliato</w:t>
            </w:r>
          </w:p>
        </w:tc>
      </w:tr>
      <w:tr>
        <w:tc>
          <w:tcPr>
            <w:tcW w:type="dxa" w:w="194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R8</w:t>
            </w: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anno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fra 1990 e l'anno corrente</w:t>
            </w:r>
          </w:p>
        </w:tc>
        <w:tc>
          <w:tcPr>
            <w:tcW w:type="dxa" w:w="34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Fuori intervallo è errore di parsing</w:t>
            </w:r>
          </w:p>
        </w:tc>
      </w:tr>
      <w:tr>
        <w:tc>
          <w:tcPr>
            <w:tcW w:type="dxa" w:w="194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R9</w:t>
            </w: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(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stato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anno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) chiave unica</w:t>
            </w:r>
          </w:p>
        </w:tc>
        <w:tc>
          <w:tcPr>
            <w:tcW w:type="dxa" w:w="34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Diventa un vincolo nello schema</w:t>
            </w:r>
          </w:p>
        </w:tc>
      </w:tr>
      <w:tr>
        <w:tc>
          <w:tcPr>
            <w:tcW w:type="dxa" w:w="194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R10</w:t>
            </w: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Stati con copertura parziale conservati</w:t>
            </w:r>
          </w:p>
        </w:tc>
        <w:tc>
          <w:tcPr>
            <w:tcW w:type="dxa" w:w="34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Il dato è valido, è il confronto a non esserlo</w:t>
            </w:r>
          </w:p>
        </w:tc>
      </w:tr>
      <w:tr>
        <w:tc>
          <w:tcPr>
            <w:tcW w:type="dxa" w:w="194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R11</w:t>
            </w: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Scorte &gt; produzione: warning, non correzione</w:t>
            </w:r>
          </w:p>
        </w:tc>
        <w:tc>
          <w:tcPr>
            <w:tcW w:type="dxa" w:w="34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Plausibile, correggerla sarebbe inventare</w:t>
            </w:r>
          </w:p>
        </w:tc>
      </w:tr>
      <w:tr>
        <w:tc>
          <w:tcPr>
            <w:tcW w:type="dxa" w:w="194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R12</w:t>
            </w:r>
          </w:p>
        </w:tc>
        <w:tc>
          <w:tcPr>
            <w:tcW w:type="dxa" w:w="31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Quantità lette come interi</w:t>
            </w:r>
          </w:p>
        </w:tc>
        <w:tc>
          <w:tcPr>
            <w:tcW w:type="dxa" w:w="34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Tipi corretti fin dalla lettura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417" w:right="1814" w:bottom="1417" w:left="181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178"/>
        <w:sz w:val="16"/>
      </w:rPr>
      <w:t>BeeWatch AI  ·  dati.md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A21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A21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213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A872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B6178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