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center"/>
        <w:spacing w:before="200"/>
      </w:pPr>
      <w:r>
        <w:rPr>
          <w:rFonts w:ascii="Arial" w:hAnsi="Arial" w:cs="Arial"/>
          <w:rtl/>
          <w:sz w:val="20"/>
          <w:szCs w:val="20"/>
          <w:color w:val="266794"/>
        </w:rPr>
        <w:t>המוסד לביטוח לאומי | מינהל הגמלאות</w:t>
      </w:r>
    </w:p>
    <w:p>
      <w:pPr>
        <w:bidi/>
        <w:jc w:val="center"/>
        <w:spacing w:before="200"/>
      </w:pPr>
      <w:r>
        <w:rPr>
          <w:rFonts w:ascii="Arial" w:hAnsi="Arial" w:cs="Arial"/>
          <w:rtl/>
          <w:b/>
          <w:bCs/>
          <w:sz w:val="44"/>
          <w:szCs w:val="44"/>
          <w:color w:val="012C4A"/>
        </w:rPr>
        <w:t>חוברת הסבר</w:t>
      </w:r>
    </w:p>
    <w:p>
      <w:pPr>
        <w:bidi/>
        <w:jc w:val="center"/>
        <w:spacing w:before="200"/>
      </w:pPr>
      <w:r>
        <w:rPr>
          <w:rFonts w:ascii="Arial" w:hAnsi="Arial" w:cs="Arial"/>
          <w:rtl/>
          <w:b/>
          <w:bCs/>
          <w:sz w:val="36"/>
          <w:szCs w:val="36"/>
          <w:color w:val="0368B0"/>
        </w:rPr>
        <w:t>מערכת ניהול תקציב</w:t>
      </w:r>
    </w:p>
    <w:p>
      <w:pPr>
        <w:bidi/>
        <w:jc w:val="center"/>
        <w:spacing w:before="200"/>
      </w:pPr>
      <w:r>
        <w:rPr>
          <w:rFonts w:ascii="Arial" w:hAnsi="Arial" w:cs="Arial"/>
          <w:rtl/>
          <w:sz w:val="24"/>
          <w:szCs w:val="24"/>
          <w:color w:val="266794"/>
        </w:rPr>
        <w:t>אגף ייעוץ לאזרח הוותיק ומשפחתו</w:t>
      </w:r>
    </w:p>
    <w:p>
      <w:pPr>
        <w:bidi/>
        <w:jc w:val="center"/>
        <w:spacing w:before="200"/>
      </w:pPr>
      <w:r>
        <w:rPr>
          <w:rFonts w:ascii="Arial" w:hAnsi="Arial" w:cs="Arial"/>
          <w:rtl/>
          <w:sz w:val="22"/>
          <w:szCs w:val="22"/>
          <w:color w:val="266794"/>
        </w:rPr>
        <w:t>מדריך מהיר לשימוש יומיומי בסניפים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center"/>
        <w:spacing w:before="200"/>
      </w:pPr>
      <w:r>
        <w:rPr>
          <w:rFonts w:ascii="Arial" w:hAnsi="Arial" w:cs="Arial"/>
          <w:rtl/>
          <w:sz w:val="20"/>
          <w:szCs w:val="20"/>
          <w:color w:val="737382"/>
        </w:rPr>
        <w:t>יולי 2026 | גרסה 1.0</w:t>
      </w:r>
    </w:p>
    <w:p>
      <w:pPr>
        <w:bidi/>
      </w:pPr>
      <w:r>
        <w:br w:type="page"/>
      </w:r>
    </w:p>
    <w:p>
      <w:pPr>
        <w:bidi/>
        <w:jc w:val="right"/>
        <w:pStyle w:val="Heading1"/>
      </w:pPr>
      <w:r>
        <w:rPr>
          <w:rFonts w:ascii="Arial" w:hAnsi="Arial" w:cs="Arial"/>
          <w:rtl/>
        </w:rPr>
        <w:t xml:space="preserve">1. מה זה ולמה זה נועד?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מערכת ניהול התקציב היא כלי עצמאי המרכז את כל המידע הנדרש לניהול תקציבי בסניף — תעריפים, נהלים, ספקים ומחשבונים — במקום אחד נגיש.</w:t>
      </w:r>
    </w:p>
    <w:p>
      <w:pPr>
        <w:bidi/>
        <w:jc w:val="right"/>
      </w:pPr>
      <w:r>
        <w:rPr>
          <w:rFonts w:ascii="Arial" w:hAnsi="Arial" w:cs="Arial"/>
          <w:rtl/>
          <w:b/>
          <w:bCs/>
        </w:rPr>
        <w:t xml:space="preserve">המטרה: לאפשר לך לפעול באופן עצמאי, ללא צורך בפנייה למטה.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  <w:pStyle w:val="Heading1"/>
      </w:pPr>
      <w:r>
        <w:rPr>
          <w:rFonts w:ascii="Arial" w:hAnsi="Arial" w:cs="Arial"/>
          <w:rtl/>
        </w:rPr>
        <w:t xml:space="preserve">2. פתיחת המערכת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1. מצא את הקובץ "מערכת-ניהול-תקציב.html" בתיקיה המשותפת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2. לחץ דאבל-קליק — הקובץ ייפתח בדפדפן (Chrome או Edge)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3. המערכת מוכנה לשימוש מיידי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  <w:pStyle w:val="Heading1"/>
      </w:pPr>
      <w:r>
        <w:rPr>
          <w:rFonts w:ascii="Arial" w:hAnsi="Arial" w:cs="Arial"/>
          <w:rtl/>
        </w:rPr>
        <w:t xml:space="preserve">3. מבנה המערכת — 6 לשוניות</w:t>
      </w:r>
    </w:p>
    <w:tbl>
      <w:tblPr>
        <w:bidiVisual/>
        <w:tblW w:w="5000" w:type="pct"/>
        <w:tblBorders>
          <w:top w:val="single" w:sz="4" w:space="0" w:color="B5C7E2"/>
          <w:left w:val="single" w:sz="4" w:space="0" w:color="B5C7E2"/>
          <w:bottom w:val="single" w:sz="4" w:space="0" w:color="B5C7E2"/>
          <w:right w:val="single" w:sz="4" w:space="0" w:color="B5C7E2"/>
          <w:insideH w:val="single" w:sz="4" w:space="0" w:color="B5C7E2"/>
          <w:insideV w:val="single" w:sz="4" w:space="0" w:color="B5C7E2"/>
        </w:tblBorders>
      </w:tblPr>
      <w:tr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לשונית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מה תמצא שם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מתי תשתמש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ראשי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דאשבורד, תזכורות, קיצורים, טפסים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נקודת הכניסה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מרצים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מחשבון נש"מ + טבלת תעריפים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הזמנת מרצה / בדיקת עלות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הסעות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מחשבון הסעה + מחירון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הזמנת הסעה / אימות חשבונית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סעיפים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כל סעיפי התקציב + תעריפי ת"צ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בדיקת סעיף / דרישת תשלום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נהלים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תהליכי עבודה שלב-אחר-שלב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הזמנת רכש / סיור / ספק מסרב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ספקים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פרטי 5 הספקים + טלפונים + סלים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יצירת קשר / בירור</w:t>
            </w:r>
          </w:p>
        </w:tc>
      </w:tr>
    </w:tbl>
    <w:p>
      <w:pPr>
        <w:bidi/>
      </w:pPr>
      <w:r>
        <w:br w:type="page"/>
      </w:r>
    </w:p>
    <w:p>
      <w:pPr>
        <w:bidi/>
        <w:jc w:val="right"/>
        <w:pStyle w:val="Heading1"/>
      </w:pPr>
      <w:r>
        <w:rPr>
          <w:rFonts w:ascii="Arial" w:hAnsi="Arial" w:cs="Arial"/>
          <w:rtl/>
        </w:rPr>
        <w:t xml:space="preserve">4. שימוש במחשבון נש"מ (מרצים)</w:t>
      </w:r>
    </w:p>
    <w:p>
      <w:pPr>
        <w:bidi/>
        <w:jc w:val="right"/>
        <w:pStyle w:val="Heading2"/>
      </w:pPr>
      <w:r>
        <w:rPr>
          <w:rFonts w:ascii="Arial" w:hAnsi="Arial" w:cs="Arial"/>
          <w:rtl/>
        </w:rPr>
        <w:t xml:space="preserve">שלבי השימוש: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1. עבור ללשונית "מרצים"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2. בחר קבוצת מרצה — לפי תואר/דרגה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3. הזן שעות הרצאה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4. הזן זמן הפסקה בדקות (פחות מ-15 = 0)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5. הזן ק"מ הלוך+חזור (פחות מ-30 לכיוון = 0)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>6. לחץ "חשב עלות"</w:t>
      </w:r>
    </w:p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</w:pPr>
      <w:r>
        <w:rPr>
          <w:rFonts w:ascii="Arial" w:hAnsi="Arial" w:cs="Arial"/>
          <w:rtl/>
          <w:b/>
          <w:bCs/>
        </w:rPr>
        <w:t xml:space="preserve">שים לב: המחשבון מחשב תעריף מקסימלי. הנסיעות לפי טבלת מרחקים בלבד.</w:t>
      </w:r>
    </w:p>
    <w:p>
      <w:pPr>
        <w:bidi/>
      </w:pPr>
      <w:r>
        <w:br w:type="page"/>
      </w:r>
    </w:p>
    <w:p>
      <w:pPr>
        <w:bidi/>
        <w:jc w:val="right"/>
        <w:pStyle w:val="Heading1"/>
      </w:pPr>
      <w:r>
        <w:rPr>
          <w:rFonts w:ascii="Arial" w:hAnsi="Arial" w:cs="Arial"/>
          <w:rtl/>
        </w:rPr>
        <w:t xml:space="preserve">כרטיס עזר מהיר</w:t>
      </w:r>
    </w:p>
    <w:p>
      <w:pPr>
        <w:bidi/>
        <w:jc w:val="right"/>
        <w:pStyle w:val="Heading2"/>
      </w:pPr>
      <w:r>
        <w:rPr>
          <w:rFonts w:ascii="Arial" w:hAnsi="Arial" w:cs="Arial"/>
          <w:rtl/>
        </w:rPr>
        <w:t xml:space="preserve">תעריפי מרצים (מקסימום, ללא מע"מ)</w:t>
      </w:r>
    </w:p>
    <w:tbl>
      <w:tblPr>
        <w:bidiVisual/>
        <w:tblW w:w="5000" w:type="pct"/>
        <w:tblBorders>
          <w:top w:val="single" w:sz="4" w:space="0" w:color="B5C7E2"/>
          <w:left w:val="single" w:sz="4" w:space="0" w:color="B5C7E2"/>
          <w:bottom w:val="single" w:sz="4" w:space="0" w:color="B5C7E2"/>
          <w:right w:val="single" w:sz="4" w:space="0" w:color="B5C7E2"/>
          <w:insideH w:val="single" w:sz="4" w:space="0" w:color="B5C7E2"/>
          <w:insideV w:val="single" w:sz="4" w:space="0" w:color="B5C7E2"/>
        </w:tblBorders>
      </w:tblPr>
      <w:tr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קבוצה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תעריף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1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324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מרצה בכיר חיצוני / פרופסור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2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222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מרצה אקדמי / תואר שני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3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126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עובד מדינה תואר שני / דרגה 19-21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4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86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תואר ראשון / דרגה 18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5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69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מדריך מוסמך / דרגה 17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קבוצה 6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62 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מדריך בלתי מוסמך / תלמיד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  <w:pStyle w:val="Heading2"/>
      </w:pPr>
      <w:r>
        <w:rPr>
          <w:rFonts w:ascii="Arial" w:hAnsi="Arial" w:cs="Arial"/>
          <w:rtl/>
        </w:rPr>
        <w:t xml:space="preserve">נוסחאות חישוב</w:t>
      </w:r>
    </w:p>
    <w:tbl>
      <w:tblPr>
        <w:bidiVisual/>
        <w:tblW w:w="5000" w:type="pct"/>
        <w:tblBorders>
          <w:top w:val="single" w:sz="4" w:space="0" w:color="B5C7E2"/>
          <w:left w:val="single" w:sz="4" w:space="0" w:color="B5C7E2"/>
          <w:bottom w:val="single" w:sz="4" w:space="0" w:color="B5C7E2"/>
          <w:right w:val="single" w:sz="4" w:space="0" w:color="B5C7E2"/>
          <w:insideH w:val="single" w:sz="4" w:space="0" w:color="B5C7E2"/>
          <w:insideV w:val="single" w:sz="4" w:space="0" w:color="B5C7E2"/>
        </w:tblBorders>
      </w:tblPr>
      <w:tr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נוסחה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הכנה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1/3 שעה לכל שעת הדרכה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הפסקה (מעל 15 דק׳)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תעריף × 25% × זמן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נסיעות (מעל 30 ק"מ לכיוון)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ק"מ הלוך+חזור × 1.4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ביטול זמן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ק"מ / 50 × תעריף × 40%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מע"מ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סה"כ × 1.17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  <w:pStyle w:val="Heading2"/>
      </w:pPr>
      <w:r>
        <w:rPr>
          <w:rFonts w:ascii="Arial" w:hAnsi="Arial" w:cs="Arial"/>
          <w:rtl/>
        </w:rPr>
        <w:t xml:space="preserve">ספקים לפי אזור</w:t>
      </w:r>
    </w:p>
    <w:tbl>
      <w:tblPr>
        <w:bidiVisual/>
        <w:tblW w:w="5000" w:type="pct"/>
        <w:tblBorders>
          <w:top w:val="single" w:sz="4" w:space="0" w:color="B5C7E2"/>
          <w:left w:val="single" w:sz="4" w:space="0" w:color="B5C7E2"/>
          <w:bottom w:val="single" w:sz="4" w:space="0" w:color="B5C7E2"/>
          <w:right w:val="single" w:sz="4" w:space="0" w:color="B5C7E2"/>
          <w:insideH w:val="single" w:sz="4" w:space="0" w:color="B5C7E2"/>
          <w:insideV w:val="single" w:sz="4" w:space="0" w:color="B5C7E2"/>
        </w:tblBorders>
      </w:tblPr>
      <w:tr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אזור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אוטובוסים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אצ"זים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מוניות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צפון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סופרבוס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אלקטרה אפיקים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מוניות חורב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ירושלים+יו"ש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שאשא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שאשא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שאשא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מרכז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שאשא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מוני סיטון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מוני סיטון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דרום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סופרבוס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מוני סיטון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מוניות חורב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right"/>
        <w:pStyle w:val="Heading2"/>
      </w:pPr>
      <w:r>
        <w:rPr>
          <w:rFonts w:ascii="Arial" w:hAnsi="Arial" w:cs="Arial"/>
          <w:rtl/>
        </w:rPr>
        <w:t xml:space="preserve">תקרות תשלום</w:t>
      </w:r>
    </w:p>
    <w:tbl>
      <w:tblPr>
        <w:bidiVisual/>
        <w:tblW w:w="5000" w:type="pct"/>
        <w:tblBorders>
          <w:top w:val="single" w:sz="4" w:space="0" w:color="B5C7E2"/>
          <w:left w:val="single" w:sz="4" w:space="0" w:color="B5C7E2"/>
          <w:bottom w:val="single" w:sz="4" w:space="0" w:color="B5C7E2"/>
          <w:right w:val="single" w:sz="4" w:space="0" w:color="B5C7E2"/>
          <w:insideH w:val="single" w:sz="4" w:space="0" w:color="B5C7E2"/>
          <w:insideV w:val="single" w:sz="4" w:space="0" w:color="B5C7E2"/>
        </w:tblBorders>
      </w:tblPr>
      <w:tr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נושא</w:t>
            </w:r>
          </w:p>
        </w:tc>
        <w:tc>
          <w:tcPr>
            <w:tcW w:w="0" w:type="auto"/>
            <w:shd w:val="clear" w:color="auto" w:fill="012C4A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b/>
                <w:bCs/>
                <w:color w:val="FFFFFF"/>
                <w:sz w:val="20"/>
                <w:szCs w:val="20"/>
              </w:rPr>
              <w:t xml:space="preserve">תקרה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החזר נסיעות ת"צ/חודש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250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החזר רכב פרטי/חודש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750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תיחור חובה מרצה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מעל 5,000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דמי רצינות ממתנדב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20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שי חג (תווים)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300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שי חולה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עד 50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יום עיון/משתתף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250 ₪</w:t>
            </w:r>
          </w:p>
        </w:tc>
      </w:tr>
      <w:tr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מינימום נסיעה מזדמנת</w:t>
            </w:r>
          </w:p>
        </w:tc>
        <w:tc>
          <w:tcPr>
            <w:tcW w:w="0" w:type="auto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  <w:sz w:val="20"/>
                <w:szCs w:val="20"/>
              </w:rPr>
              <w:t xml:space="preserve">4 שעות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rtl/>
        </w:rPr>
        <w:t xml:space="preserve"/>
      </w:r>
    </w:p>
    <w:p>
      <w:pPr>
        <w:bidi/>
        <w:jc w:val="center"/>
        <w:spacing w:before="200"/>
      </w:pPr>
      <w:r>
        <w:rPr>
          <w:rFonts w:ascii="Arial" w:hAnsi="Arial" w:cs="Arial"/>
          <w:rtl/>
          <w:sz w:val="18"/>
          <w:szCs w:val="18"/>
          <w:color w:val="737382"/>
        </w:rPr>
        <w:t>המוסד לביטוח לאומי | אגף ייעוץ לאזרח הוותיק | v1.0 | יולי 2026</w:t>
      </w:r>
    </w:p>
    <w:sectPr>
      <w:pgSz w:w="11906" w:h="16838"/>
      <w:pgMar w:top="1134" w:right="1134" w:bottom="1134" w:left="1134"/>
      <w:bidi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bidi/>
      <w:jc w:val="right"/>
      <w:spacing w:before="240" w:after="120"/>
    </w:pPr>
    <w:rPr>
      <w:rFonts w:ascii="Arial" w:hAnsi="Arial" w:cs="Arial"/>
      <w:b/>
      <w:bCs/>
      <w:sz w:val="32"/>
      <w:szCs w:val="32"/>
      <w:rtl/>
      <w:color w:val="012C4A"/>
    </w:rPr>
  </w:style>
  <w:style w:type="paragraph" w:styleId="Heading2">
    <w:name w:val="heading 2"/>
    <w:pPr>
      <w:bidi/>
      <w:jc w:val="right"/>
      <w:spacing w:before="200" w:after="80"/>
    </w:pPr>
    <w:rPr>
      <w:rFonts w:ascii="Arial" w:hAnsi="Arial" w:cs="Arial"/>
      <w:b/>
      <w:bCs/>
      <w:sz w:val="26"/>
      <w:szCs w:val="26"/>
      <w:rtl/>
      <w:color w:val="0368B0"/>
    </w:rPr>
  </w:style>
  <w:style w:type="paragraph" w:default="1" w:styleId="Normal">
    <w:name w:val="Normal"/>
    <w:pPr>
      <w:bidi/>
      <w:jc w:val="right"/>
      <w:spacing w:after="80" w:line="276" w:lineRule="auto"/>
    </w:pPr>
    <w:rPr>
      <w:rFonts w:ascii="Arial" w:hAnsi="Arial" w:cs="Arial"/>
      <w:sz w:val="22"/>
      <w:szCs w:val="22"/>
      <w:rtl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