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260" w:before="200" w:after="200"/>
        <w:jc w:val="left"/>
      </w:pPr>
      <w:r>
        <w:rPr>
          <w:b/>
          <w:bCs/>
          <w:i w:val="false"/>
          <w:iCs w:val="false"/>
          <w:sz w:val="24"/>
          <w:szCs w:val="24"/>
          <w:rtl/>
          <w:rFonts w:ascii="David" w:cs="David" w:eastAsia="David" w:hAnsi="David"/>
          <w:spacing w:val="00"/>
        </w:rPr>
        <w:t xml:space="preserve">משתתפים: </w:t>
      </w:r>
    </w:p>
    <w:p>
      <w:pPr>
        <w:bidi/>
        <w:spacing w:line="260" w:before="200" w:after="200"/>
        <w:jc w:val="left"/>
      </w:pPr>
      <w:r>
        <w:rPr>
          <w:b w:val="false"/>
          <w:bCs w:val="false"/>
          <w:i w:val="false"/>
          <w:iCs w:val="false"/>
          <w:sz w:val="24"/>
          <w:szCs w:val="24"/>
          <w:rtl/>
          <w:rFonts w:ascii="David" w:cs="David" w:eastAsia="David" w:hAnsi="David"/>
          <w:spacing w:val="00"/>
        </w:rPr>
        <w:t xml:space="preserve">אביעד יצחקי (נציג הביטוח הלאומי), נועה מילר | Noa Miler, ליאור קמיצ'י | Lior Kamitchi, spk, דבורה (נציגת הביטוח הלאומי)</w:t>
      </w:r>
    </w:p>
    <w:p>
      <w:pPr>
        <w:bidi/>
        <w:spacing w:line="260" w:before="200" w:after="200"/>
        <w:jc w:val="left"/>
      </w:pPr>
    </w:p>
    <w:p>
      <w:pPr>
        <w:spacing w:before="200" w:after="200"/>
      </w:pPr>
    </w:p>
    <w:p>
      <w:pPr>
        <w:bidi/>
        <w:spacing w:line="260" w:before="200" w:after="200"/>
        <w:jc w:val="left"/>
      </w:pPr>
      <w:r>
        <w:rPr>
          <w:b/>
          <w:bCs/>
          <w:i w:val="false"/>
          <w:iCs w:val="false"/>
          <w:sz w:val="24"/>
          <w:szCs w:val="24"/>
          <w:rtl/>
          <w:rFonts w:ascii="David" w:cs="David" w:eastAsia="David" w:hAnsi="David"/>
          <w:spacing w:val="00"/>
        </w:rPr>
        <w:t xml:space="preserve">בעיות טכניות ותחילת הפגישה</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תחילת הפגישה לוותה בקשיי חיבור טכניים של משתתפים לפלטפורמות (Teams/Meet).</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הפגישה הוקלטה וצוין כי יופק סיכום אוטומטי.</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סקירת תהליך עסקי וארכיטקטורה</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מטרת הפגישה הייתה לעבור על התהליך העסקי המתוכנן לשירות מיצוי זכויות ולבחון את הארכיטקטורה.</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הארכיטקטורה המוצעת מפוצלת לאזור ממשלתי (הזדהות לאומית) ולאתר האישי של הביטוח הלאומי, עם שאיפה לרצף הזדהות (SSO) חלק ביניהם בעתיד.</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תהליך זיהוי ומיצוי זכויות</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טריגר לשירות: השירות יופעל כאשר הורה מקבל גמלת ילד נכה.</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בדיקת זכאות ואיסוף מידע: התהליך כולל בדיקת התאמה ל"אדם במרכז", בדיקת זכאות לגמלה או בקשה קיימת, ובדיקת הרכב משפחתי מול מרשם האוכלוסין (תוך התייחסות למורכבות מקרי אומנה, שיוצאו מ-MVP ראשוני). יבוצע מיפוי מפורט של המידע הנדרש ממשרדי ממשלה שונים (כגון חינוך, רווחה, רשות המיסים, שיכון ובינוי) ומביטוח לאומי (כגון סטטוס הכרה, רמת קצבה, עילות מוגבלות).</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מנוע זכויות וסיווג: המידע שנאסף יוזן למנוע זכויות, שיסווג את הזכויות הפוטנציאליות לסבירות גבוהה, בינונית או חסר מידע, תוך התמקדות בזכויות הרלוונטיות למשפחות עם ילדים נכים.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מימוש זכויות: הוצגו שלושה סוגי מימוש: אוטומטי (הגשה אוטומטית על ידי הביטוח הלאומי לגופים כמו חברת חשמל), חצי אוטומטי (מילוי חלקי של טפסים דיגיטליים על ידי המערכת לאישור המשתמש), וידני (הצגת מידע בלבד לזכויות לא דיגיטליות).</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שיתוף פעולה וחלוקת אחריות</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גישה למנוע זכויות: מנוע הזכויות נגיש כרגע רק באופן פנימי למערך הדיגיטל.</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תפקיד הביטוח הלאומי: הביטוח הלאומי יפעל לסגירת מעגלים מול משרדים שונים, תוך מינוף קשריו הקיימים (כמו עם "אדם במרכז") וגיוס משרדים נוספים.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הצעת ערך של מערך הדיגיטל: מערך הדיגיטל מציע לשמש כאינטגרטור, המשלב מידע מהביטוח הלאומי וממשרדי ממשלה נוספים כדי להציג זכויות מותאמות אישית.</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אתגרים ודילמות ביישום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לוגיקת ניהול סיכונים והעברת מידע: התעורר ויכוח לגבי מודל העברת המידע – האם הביטוח הלאומי יעביר מידע למערך הדיגיטל, או שהמערך ימשוך מידע ממשרדים שונים. הודגשה המורכבות המשפטית והסיכונים הכרוכים בקבלת מידע ממשרדים אחרים ללא יוזמה ישירה של האזרח.</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הסכמת האזרח: נבחנה שאלת הסכמת האזרח להעברת נתונים. הביטוח הלאומי ציין כי קיימת הסכמה להעברת נתונים לגופים אחרים לצורך הטבות, אך נדרשת בדיקה משפטית האם הסכמה זו מכסה גם קבלת מידע ממשרדים אחרים לצורך עיבוד והצגת זכויות.</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טריגר לתהליך: עלתה דילמה האם הטריגר לתהליך יהיה אוטומטי (לאחר הכרה בזכאות בביטוח הלאומי) או ידני (כניסת האזרח לאזור האישי הממשלתי/ביטוח לאומי). אביעד תמך בטריגר אוטומטי, בעוד נועה וליאור הדגישו את הפשטות המשפטית והארכיטקטונית של טריגר יזום על ידי האזרח.</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עלות-תועלת וסיכונים: הודגש הצורך לאזן בין הערך המקסימלי לאזרח (מיצוי זכויות מקיף) לבין הסיכונים הגבוהים הכרוכים בחשיפה ועיבוד של מידע רגיש, במיוחד עבור ילדים נכים.</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אסטרטגיית יישום וקידום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גישת MVP: הוסכם על גישת MVP (Minimum Viable Product) שתתחיל בקטן וחכם, ותתרחב בהדרגה לכל הזכאויות והמשרדים.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הצגת חלופות למנמ"ר: יוגשו למנמ"ר (מוטי) שתי חלופות: פיתוח פנימי בביטוח הלאומי מול שיתוף פעולה עם מערך הדיגיטל, תוך הצגת יתרונות וחסרונות לכל גישה.</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חשיבות חיבור מנוע הזכויות לביטוח לאומי: הודגשה חשיבות קריטית לחיבור מנוע הזכויות הלאומי לנתוני הביטוח הלאומי, כצעד בסיסי וחיוני להבאת ערך לאזרח.</w:t>
      </w:r>
    </w:p>
    <w:p>
      <w:pPr>
        <w:spacing w:line="260" w:before="200" w:after="200"/>
        <w:jc w:val="left"/>
      </w:pPr>
    </w:p>
    <w:p>
      <w:pPr>
        <w:bidi/>
        <w:spacing w:line="260" w:before="200" w:after="200"/>
        <w:jc w:val="left"/>
      </w:pPr>
      <w:r>
        <w:rPr>
          <w:b/>
          <w:bCs/>
          <w:i w:val="false"/>
          <w:iCs w:val="false"/>
          <w:sz w:val="24"/>
          <w:szCs w:val="24"/>
          <w:rtl/>
          <w:rFonts w:ascii="David" w:cs="David" w:eastAsia="David" w:hAnsi="David"/>
          <w:spacing w:val="00"/>
        </w:rPr>
        <w:t xml:space="preserve">פעולות עתידיות</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בדיקת רשימת מידעים נדרשים: ליאור תכין רשימה מפורטת של המידעים הנדרשים, מקורותיהם (ביטוח לאומי, משרדים אחרים, שאלות לאזרח) ויכולת השליפה שלהם.</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השוואת גישות יישום: תבוצע השוואה מפורטת של היתרונות והחסרונות של גישת פיתוח פנימי מול שיתוף פעולה עם מערך הדיגיטל.</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בדיקה משפטית: נועה תבצע בדיקה משפטית לגבי האפשרות לקבל מידע ממשרדים אחרים ללא יוזמה ישירה של האזרח, גם אם הוא נכנס לאזור האישי.</w:t>
      </w:r>
    </w:p>
    <w:p>
      <w:pPr>
        <w:bidi/>
        <w:spacing w:line="260" w:before="200" w:after="200"/>
        <w:ind w:start="198"/>
        <w:jc w:val="left"/>
      </w:pPr>
      <w:r>
        <w:rPr>
          <w:b w:val="false"/>
          <w:bCs w:val="false"/>
          <w:i w:val="false"/>
          <w:iCs w:val="false"/>
          <w:sz w:val="24"/>
          <w:szCs w:val="24"/>
          <w:rtl/>
          <w:rFonts w:ascii="David" w:cs="David" w:eastAsia="David" w:hAnsi="David"/>
          <w:spacing w:val="00"/>
        </w:rPr>
        <w:t xml:space="preserve">• </w:t>
      </w:r>
      <w:r>
        <w:rPr>
          <w:b w:val="false"/>
          <w:bCs w:val="false"/>
          <w:i w:val="false"/>
          <w:iCs w:val="false"/>
          <w:sz w:val="24"/>
          <w:szCs w:val="24"/>
          <w:rtl/>
          <w:rFonts w:ascii="David" w:cs="David" w:eastAsia="David" w:hAnsi="David"/>
          <w:spacing w:val="00"/>
        </w:rPr>
        <w:t xml:space="preserve">פגישה עם המנמ"ר: תתואם פגישה עם המנמ"ר להצגת החלופות וקבלת הכרעה על אופן ההתקדמות.</w:t>
      </w:r>
    </w:p>
    <w:sectPr>
      <w:headerReference w:type="first" r:id="rId6"/>
      <w:footerReference w:type="default" r:id="rId7"/>
      <w:footerReference w:type="first" r:id="rId8"/>
      <w:pgSz w:w="11906" w:h="16838" w:orient="portrait"/>
      <w:pgMar w:top="709" w:right="1134" w:bottom="709" w:left="1134"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line="260" w:before="200" w:after="200"/>
      <w:jc w:val="center"/>
    </w:pPr>
    <w:r>
      <w:rPr>
        <w:b w:val="false"/>
        <w:bCs w:val="false"/>
        <w:i w:val="false"/>
        <w:iCs w:val="false"/>
        <w:sz w:val="32"/>
        <w:szCs w:val="32"/>
        <w:rtl/>
        <w:rFonts w:ascii="David" w:cs="David" w:eastAsia="David" w:hAnsi="David"/>
        <w:spacing w:val="00"/>
      </w:rPr>
      <w:t xml:space="preserve">שירות מיצוי זכויות לילד נכה</w:t>
    </w:r>
  </w:p>
  <w:p>
    <w:pPr>
      <w:bidi/>
      <w:spacing w:line="260" w:before="200" w:after="200"/>
      <w:jc w:val="left"/>
    </w:pPr>
    <w:r>
      <w:rPr>
        <w:b w:val="false"/>
        <w:bCs w:val="false"/>
        <w:i w:val="false"/>
        <w:iCs w:val="false"/>
        <w:sz w:val="24"/>
        <w:szCs w:val="24"/>
        <w:rtl/>
        <w:rFonts w:ascii="David" w:cs="David" w:eastAsia="David" w:hAnsi="David"/>
        <w:spacing w:val="00"/>
      </w:rPr>
      <w:t xml:space="preserve">21/01/2026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2026-02-03T14:36:10.225Z</dcterms:created>
  <dcterms:modified xsi:type="dcterms:W3CDTF">2026-02-03T14:36:10.225Z</dcterms:modified>
</cp:coreProperties>
</file>

<file path=docProps/custom.xml><?xml version="1.0" encoding="utf-8"?>
<Properties xmlns="http://schemas.openxmlformats.org/officeDocument/2006/custom-properties" xmlns:vt="http://schemas.openxmlformats.org/officeDocument/2006/docPropsVTypes"/>
</file>