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" w:before="0" w:line="264"/>
        <w:jc w:val="center"/>
      </w:pPr>
      <w:r>
        <w:rPr>
          <w:rFonts w:ascii="Arial" w:cs="Arial" w:eastAsia="Arial" w:hAnsi="Arial"/>
          <w:b/>
          <w:bCs/>
          <w:color w:val="012C4A"/>
          <w:sz w:val="34"/>
          <w:szCs w:val="34"/>
          <w:rtl/>
        </w:rPr>
        <w:t xml:space="preserve">אטלס וקטלוג הסל האישי: תקן קליטת מפעילים</w:t>
      </w:r>
    </w:p>
    <w:p>
      <w:pPr>
        <w:bidi/>
        <w:spacing w:after="80" w:before="0" w:line="264"/>
        <w:jc w:val="center"/>
      </w:pPr>
      <w:r>
        <w:rPr>
          <w:rFonts w:ascii="Arial" w:cs="Arial" w:eastAsia="Arial" w:hAnsi="Arial"/>
          <w:color w:val="0368B0"/>
          <w:sz w:val="23"/>
          <w:szCs w:val="23"/>
          <w:rtl/>
        </w:rPr>
        <w:t xml:space="preserve">תקציר לגל, החשכ"ל  |  גרסה 0.4  |  29.10.2026</w:t>
      </w:r>
    </w:p>
    <w:p>
      <w:pPr>
        <w:bidi/>
        <w:spacing w:after="40" w:before="0" w:line="264"/>
        <w:jc w:val="both"/>
      </w:pPr>
      <w:r>
        <w:rPr>
          <w:rFonts w:ascii="Arial" w:cs="Arial" w:eastAsia="Arial" w:hAnsi="Arial"/>
          <w:b/>
          <w:bCs/>
          <w:color w:val="0C3058"/>
          <w:sz w:val="24"/>
          <w:szCs w:val="24"/>
          <w:rtl/>
        </w:rPr>
        <w:t xml:space="preserve">בשורה התחתונה:</w:t>
      </w:r>
      <w:r>
        <w:rPr>
          <w:rFonts w:ascii="Arial" w:cs="Arial" w:eastAsia="Arial" w:hAnsi="Arial"/>
          <w:color w:val="0C3058"/>
          <w:sz w:val="24"/>
          <w:szCs w:val="24"/>
          <w:rtl/>
        </w:rPr>
        <w:t xml:space="preserve"> הכלי מגדיר את הקטלוג המאושר של הסל, את כללי השירות ואת המדדים, ומייצא אותם לספק העל כתקן קליטת מפעילים (‪operator_onboarding_standard 1.1‬‏, עם ‪JSON Schema‬‏). גרסה 0.4 מותאמת למודל התשלום של החשכ"ל. </w:t>
      </w:r>
      <w:r>
        <w:rPr>
          <w:rFonts w:ascii="Arial" w:cs="Arial" w:eastAsia="Arial" w:hAnsi="Arial"/>
          <w:b/>
          <w:bCs/>
          <w:color w:val="0C3058"/>
          <w:sz w:val="24"/>
          <w:szCs w:val="24"/>
          <w:rtl/>
        </w:rPr>
        <w:t xml:space="preserve">הכלי לא מפעיל</w:t>
      </w:r>
      <w:r>
        <w:rPr>
          <w:rFonts w:ascii="Arial" w:cs="Arial" w:eastAsia="Arial" w:hAnsi="Arial"/>
          <w:color w:val="0C3058"/>
          <w:sz w:val="24"/>
          <w:szCs w:val="24"/>
          <w:rtl/>
        </w:rPr>
        <w:t xml:space="preserve"> נקודות, יתרות, תשלומים, רישום אזרחים או אימות נוכחות: אלה בפלטפורמת ספק העל. כל כלל שעוד לא הוכרע מסומן בכלי "הצעה, ממתין להכרעה", ושינוי שלו בהגדרות מתעדכן בייצוא מיד.</w:t>
      </w:r>
    </w:p>
    <w:p>
      <w:pPr>
        <w:keepNext/>
        <w:pBdr>
          <w:bottom w:val="single" w:color="B5C7E2" w:sz="6" w:space="1"/>
        </w:pBdr>
        <w:bidi/>
        <w:spacing w:after="60" w:before="120" w:line="264"/>
        <w:jc w:val="both"/>
      </w:pPr>
      <w:r>
        <w:rPr>
          <w:rFonts w:ascii="Arial" w:cs="Arial" w:eastAsia="Arial" w:hAnsi="Arial"/>
          <w:b/>
          <w:bCs/>
          <w:color w:val="0368B0"/>
          <w:sz w:val="28"/>
          <w:szCs w:val="28"/>
          <w:rtl/>
        </w:rPr>
        <w:t xml:space="preserve">מה הכלי עושה</w:t>
      </w: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306"/>
      </w:tblGrid>
      <w:tr>
        <w:trPr>
          <w:cantSplit/>
          <w:tblHeader/>
        </w:trPr>
        <w:tc>
          <w:tcPr>
            <w:tcW w:type="dxa" w:w="19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0368B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שכבה</w:t>
            </w:r>
          </w:p>
        </w:tc>
        <w:tc>
          <w:tcPr>
            <w:tcW w:type="dxa" w:w="83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0368B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היא עושה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1"/>
                <w:szCs w:val="21"/>
                <w:rtl/>
              </w:rPr>
              <w:t xml:space="preserve">שטח (רכזת פיילוט)</w:t>
            </w:r>
          </w:p>
        </w:tc>
        <w:tc>
          <w:tcPr>
            <w:tcW w:type="dxa" w:w="83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1"/>
                <w:szCs w:val="21"/>
                <w:rtl/>
              </w:rPr>
              <w:t xml:space="preserve">בונה קטלוג שירותים לכל שכונה. כל שירות עובר מבחן כניסה (מממן אחר, מחיר, שעות שירות ליחידה, אופן מתן) ומבחן כיסוי (שלושה שירותים רציפים בכל קטגוריית ליבה).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1"/>
                <w:szCs w:val="21"/>
                <w:rtl/>
              </w:rPr>
              <w:t xml:space="preserve">מטה (ביטוח לאומי)</w:t>
            </w:r>
          </w:p>
        </w:tc>
        <w:tc>
          <w:tcPr>
            <w:tcW w:type="dxa" w:w="83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1"/>
                <w:szCs w:val="21"/>
                <w:rtl/>
              </w:rPr>
              <w:t xml:space="preserve">מאחד פיילוטים, מחשב מחירי ייחוס, עורך את הכללים ומפרסם גרסת בסיס. מדדים: מיצוי (כסף) לצד חדירה (אנשים פעילים), פריסה, מחיר ממוצע לשעה וזמן לשירות ראשון.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1"/>
                <w:szCs w:val="21"/>
                <w:rtl/>
              </w:rPr>
              <w:t xml:space="preserve">תקן קליטת מפעילים</w:t>
            </w:r>
          </w:p>
        </w:tc>
        <w:tc>
          <w:tcPr>
            <w:tcW w:type="dxa" w:w="83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1"/>
                <w:szCs w:val="21"/>
                <w:rtl/>
              </w:rPr>
              <w:t xml:space="preserve">לכל שירות מאושר: מחיר בנקודות ולכל שעה, אופן מתן, שעות הודעה לביטול, חיוב באי-הגעה, החזר באשפוז, כמה מכוסה מהארנק וכמה על הקשיש, ופתיחה באישור מלווה. בלי נתוני תושבים, פרטי קשר של ספק יחיד או מחיר בשקלים, ונבדק אוטומטית מול ה-‪JSON Schema‬‏.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1"/>
                <w:szCs w:val="21"/>
                <w:rtl/>
              </w:rPr>
              <w:t xml:space="preserve">אזרח ומלווה</w:t>
            </w:r>
          </w:p>
        </w:tc>
        <w:tc>
          <w:tcPr>
            <w:tcW w:type="dxa" w:w="83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1"/>
                <w:szCs w:val="21"/>
                <w:rtl/>
              </w:rPr>
              <w:t xml:space="preserve">הכלי הקיים קורא את הקטלוג המאושר: חיפוש, הצעות לפי תחום, והסבר של התנאים בכל שירות. שירות שנפתח רק באישור מלווה (למשל סל טיפוח) נשלח כבקשה למלווה ולא נבחר ישירות.</w:t>
            </w:r>
          </w:p>
        </w:tc>
      </w:tr>
    </w:tbl>
    <w:p>
      <w:pPr>
        <w:keepNext/>
        <w:pBdr>
          <w:bottom w:val="single" w:color="B5C7E2" w:sz="6" w:space="1"/>
        </w:pBdr>
        <w:bidi/>
        <w:spacing w:after="60" w:before="120" w:line="264"/>
        <w:jc w:val="both"/>
      </w:pPr>
      <w:r>
        <w:rPr>
          <w:rFonts w:ascii="Arial" w:cs="Arial" w:eastAsia="Arial" w:hAnsi="Arial"/>
          <w:b/>
          <w:bCs/>
          <w:color w:val="0368B0"/>
          <w:sz w:val="28"/>
          <w:szCs w:val="28"/>
          <w:rtl/>
        </w:rPr>
        <w:t xml:space="preserve">מה פתוח להכרעה</w:t>
      </w: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3950"/>
        <w:gridCol w:w="4606"/>
      </w:tblGrid>
      <w:tr>
        <w:trPr>
          <w:cantSplit/>
          <w:tblHeader/>
        </w:trPr>
        <w:tc>
          <w:tcPr>
            <w:tcW w:type="dxa" w:w="165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0368B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נושא</w:t>
            </w:r>
          </w:p>
        </w:tc>
        <w:tc>
          <w:tcPr>
            <w:tcW w:type="dxa" w:w="395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0368B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ברירת המחדל בכלי (הצעה)</w:t>
            </w:r>
          </w:p>
        </w:tc>
        <w:tc>
          <w:tcPr>
            <w:tcW w:type="dxa" w:w="46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0368B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צריך להכריע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1"/>
                <w:szCs w:val="21"/>
                <w:rtl/>
              </w:rPr>
              <w:t xml:space="preserve">1. איכות חיים</w:t>
            </w:r>
          </w:p>
        </w:tc>
        <w:tc>
          <w:tcPr>
            <w:tcW w:type="dxa" w:w="395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1"/>
                <w:szCs w:val="21"/>
                <w:rtl/>
              </w:rPr>
              <w:t xml:space="preserve">סכום קבוע מהנקודות: הערך בכלל מכוסה, והשאר על הקשיש.</w:t>
            </w:r>
          </w:p>
        </w:tc>
        <w:tc>
          <w:tcPr>
            <w:tcW w:type="dxa" w:w="46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1"/>
                <w:szCs w:val="21"/>
                <w:rtl/>
              </w:rPr>
              <w:t xml:space="preserve">סכום קבוע (הצעת החשכ"ל) או אחוז השתתפות עם תקרה חודשית (החלטת מפגש 2).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1"/>
                <w:szCs w:val="21"/>
                <w:rtl/>
              </w:rPr>
              <w:t xml:space="preserve">2. מחיר ייחוס</w:t>
            </w:r>
          </w:p>
        </w:tc>
        <w:tc>
          <w:tcPr>
            <w:tcW w:type="dxa" w:w="395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1"/>
                <w:szCs w:val="21"/>
                <w:rtl/>
              </w:rPr>
              <w:t xml:space="preserve">מעקב והתראה על חריגה, בלי חסימה. חציון לפי סוג שירות ויחידה.</w:t>
            </w:r>
          </w:p>
        </w:tc>
        <w:tc>
          <w:tcPr>
            <w:tcW w:type="dxa" w:w="46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1"/>
                <w:szCs w:val="21"/>
                <w:rtl/>
              </w:rPr>
              <w:t xml:space="preserve">באילו קטגוריות ואזורים הוא מחייב (הרשימה ריקה, "אזור" מוגדר כרשות). תחרות נמוכה: פחות מ-3 ספקים.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1"/>
                <w:szCs w:val="21"/>
                <w:rtl/>
              </w:rPr>
              <w:t xml:space="preserve">3. אי-הגעה</w:t>
            </w:r>
          </w:p>
        </w:tc>
        <w:tc>
          <w:tcPr>
            <w:tcW w:type="dxa" w:w="395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1"/>
                <w:szCs w:val="21"/>
                <w:rtl/>
              </w:rPr>
              <w:t xml:space="preserve">חיוב רק בשירות פרטני, בבית או בקבוצה מוגבלת מקום.</w:t>
            </w:r>
          </w:p>
        </w:tc>
        <w:tc>
          <w:tcPr>
            <w:tcW w:type="dxa" w:w="46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1"/>
                <w:szCs w:val="21"/>
                <w:rtl/>
              </w:rPr>
              <w:t xml:space="preserve">אישור הכלל (הערות ביטוח לאומי).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1"/>
                <w:szCs w:val="21"/>
                <w:rtl/>
              </w:rPr>
              <w:t xml:space="preserve">4. ביטול ואשפוז</w:t>
            </w:r>
          </w:p>
        </w:tc>
        <w:tc>
          <w:tcPr>
            <w:tcW w:type="dxa" w:w="395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1"/>
                <w:szCs w:val="21"/>
                <w:rtl/>
              </w:rPr>
              <w:t xml:space="preserve">הודעה של 24 שעות בקבוצה ו-48 בבית. אשפוז: החזר מלא בקבוצה, בפרטני לפי החוזה.</w:t>
            </w:r>
          </w:p>
        </w:tc>
        <w:tc>
          <w:tcPr>
            <w:tcW w:type="dxa" w:w="46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1"/>
                <w:szCs w:val="21"/>
                <w:rtl/>
              </w:rPr>
              <w:t xml:space="preserve">שעות הודעה לשירות פרטני ולשירות מרחוק (לא הוגדרו), ואישור שאר הערכים.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1"/>
                <w:szCs w:val="21"/>
                <w:rtl/>
              </w:rPr>
              <w:t xml:space="preserve">5. מוצרים</w:t>
            </w:r>
          </w:p>
        </w:tc>
        <w:tc>
          <w:tcPr>
            <w:tcW w:type="dxa" w:w="395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1"/>
                <w:szCs w:val="21"/>
                <w:rtl/>
              </w:rPr>
              <w:t xml:space="preserve">תקרה של 25% מהארנק הרבעוני, כלומר 375 נקודות ברבעון. לא נספרים ברצפת המגוון.</w:t>
            </w:r>
          </w:p>
        </w:tc>
        <w:tc>
          <w:tcPr>
            <w:tcW w:type="dxa" w:w="46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1"/>
                <w:szCs w:val="21"/>
                <w:rtl/>
              </w:rPr>
              <w:t xml:space="preserve">אישור הפירוש של התקרה, ומה נספר בה.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1"/>
                <w:szCs w:val="21"/>
                <w:rtl/>
              </w:rPr>
              <w:t xml:space="preserve">6. מדדי חדירה</w:t>
            </w:r>
          </w:p>
        </w:tc>
        <w:tc>
          <w:tcPr>
            <w:tcW w:type="dxa" w:w="395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1"/>
                <w:szCs w:val="21"/>
                <w:rtl/>
              </w:rPr>
              <w:t xml:space="preserve">משתתף פעיל: לפחות 2 מפגשים בחודש. זמן לשירות ראשון: התראה מעל 14 יום.</w:t>
            </w:r>
          </w:p>
        </w:tc>
        <w:tc>
          <w:tcPr>
            <w:tcW w:type="dxa" w:w="46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shd w:fill="F0F8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1"/>
                <w:szCs w:val="21"/>
                <w:rtl/>
              </w:rPr>
              <w:t xml:space="preserve">הנתונים (פעילים, זכאים, ימים) צריכים להגיע מדוח ספק העל, כי מנתוני השירותים אי אפשר לדעת מי השתתף ביותר משירות אחד.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/>
                <w:bCs/>
                <w:color w:val="0C3058"/>
                <w:sz w:val="21"/>
                <w:szCs w:val="21"/>
                <w:rtl/>
              </w:rPr>
              <w:t xml:space="preserve">7. עוד בהצעה</w:t>
            </w:r>
          </w:p>
        </w:tc>
        <w:tc>
          <w:tcPr>
            <w:tcW w:type="dxa" w:w="3950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1"/>
                <w:szCs w:val="21"/>
                <w:rtl/>
              </w:rPr>
              <w:t xml:space="preserve">צבירת נקודות עד שלושה חודשים, קריטריון כניסה לארוחה חמה, תקורה של 59 ש"ח.</w:t>
            </w:r>
          </w:p>
        </w:tc>
        <w:tc>
          <w:tcPr>
            <w:tcW w:type="dxa" w:w="4606"/>
            <w:tcBorders>
              <w:top w:val="single" w:color="B5C7E2" w:sz="4"/>
              <w:left w:val="single" w:color="B5C7E2" w:sz="4"/>
              <w:bottom w:val="single" w:color="B5C7E2" w:sz="4"/>
              <w:right w:val="single" w:color="B5C7E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bidi/>
              <w:spacing w:after="0" w:before="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C3058"/>
                <w:sz w:val="21"/>
                <w:szCs w:val="21"/>
                <w:rtl/>
              </w:rPr>
              <w:t xml:space="preserve">הכרעה במפגש 3 (26.11.2026), וכן שווי יחידת שירות בסף הצריכה.</w:t>
            </w:r>
          </w:p>
        </w:tc>
      </w:tr>
    </w:tbl>
    <w:p>
      <w:pPr>
        <w:keepNext/>
        <w:pBdr>
          <w:bottom w:val="single" w:color="B5C7E2" w:sz="6" w:space="1"/>
        </w:pBdr>
        <w:bidi/>
        <w:spacing w:after="60" w:before="120" w:line="264"/>
        <w:jc w:val="both"/>
      </w:pPr>
      <w:r>
        <w:rPr>
          <w:rFonts w:ascii="Arial" w:cs="Arial" w:eastAsia="Arial" w:hAnsi="Arial"/>
          <w:b/>
          <w:bCs/>
          <w:color w:val="0368B0"/>
          <w:sz w:val="28"/>
          <w:szCs w:val="28"/>
          <w:rtl/>
        </w:rPr>
        <w:t xml:space="preserve">מה נדרש מהחשכ"ל</w:t>
      </w:r>
    </w:p>
    <w:p>
      <w:pPr>
        <w:bidi/>
        <w:spacing w:after="20" w:before="0" w:line="264"/>
        <w:jc w:val="both"/>
      </w:pPr>
      <w:r>
        <w:rPr>
          <w:rFonts w:ascii="Arial" w:cs="Arial" w:eastAsia="Arial" w:hAnsi="Arial"/>
          <w:color w:val="0C3058"/>
          <w:sz w:val="24"/>
          <w:szCs w:val="24"/>
          <w:rtl/>
        </w:rPr>
        <w:t xml:space="preserve">1.‏ </w:t>
      </w:r>
      <w:r>
        <w:rPr>
          <w:rFonts w:ascii="Arial" w:cs="Arial" w:eastAsia="Arial" w:hAnsi="Arial"/>
          <w:b/>
          <w:bCs/>
          <w:color w:val="0C3058"/>
          <w:sz w:val="24"/>
          <w:szCs w:val="24"/>
          <w:rtl/>
        </w:rPr>
        <w:t xml:space="preserve">שדות התקן:</w:t>
      </w:r>
      <w:r>
        <w:rPr>
          <w:rFonts w:ascii="Arial" w:cs="Arial" w:eastAsia="Arial" w:hAnsi="Arial"/>
          <w:color w:val="0C3058"/>
          <w:sz w:val="24"/>
          <w:szCs w:val="24"/>
          <w:rtl/>
        </w:rPr>
        <w:t xml:space="preserve"> אישור שהם מספיקים לספק העל, או רשימת שדות להוסיף (יישור מול מודל ההתקשרות, פגישת ההמשך ב-3.11).</w:t>
      </w:r>
    </w:p>
    <w:p>
      <w:pPr>
        <w:bidi/>
        <w:spacing w:after="20" w:before="0" w:line="264"/>
        <w:jc w:val="both"/>
      </w:pPr>
      <w:r>
        <w:rPr>
          <w:rFonts w:ascii="Arial" w:cs="Arial" w:eastAsia="Arial" w:hAnsi="Arial"/>
          <w:color w:val="0C3058"/>
          <w:sz w:val="24"/>
          <w:szCs w:val="24"/>
          <w:rtl/>
        </w:rPr>
        <w:t xml:space="preserve">2.‏ </w:t>
      </w:r>
      <w:r>
        <w:rPr>
          <w:rFonts w:ascii="Arial" w:cs="Arial" w:eastAsia="Arial" w:hAnsi="Arial"/>
          <w:b/>
          <w:bCs/>
          <w:color w:val="0C3058"/>
          <w:sz w:val="24"/>
          <w:szCs w:val="24"/>
          <w:rtl/>
        </w:rPr>
        <w:t xml:space="preserve">סוגיות 1 עד 6:</w:t>
      </w:r>
      <w:r>
        <w:rPr>
          <w:rFonts w:ascii="Arial" w:cs="Arial" w:eastAsia="Arial" w:hAnsi="Arial"/>
          <w:color w:val="0C3058"/>
          <w:sz w:val="24"/>
          <w:szCs w:val="24"/>
          <w:rtl/>
        </w:rPr>
        <w:t xml:space="preserve"> עמדה לפני מפגש 3, כדי שהכלי ייצא את הערכים הסופיים.</w:t>
      </w:r>
    </w:p>
    <w:p>
      <w:pPr>
        <w:bidi/>
        <w:spacing w:after="60" w:before="0" w:line="264"/>
        <w:jc w:val="both"/>
      </w:pPr>
      <w:r>
        <w:rPr>
          <w:rFonts w:ascii="Arial" w:cs="Arial" w:eastAsia="Arial" w:hAnsi="Arial"/>
          <w:color w:val="0C3058"/>
          <w:sz w:val="24"/>
          <w:szCs w:val="24"/>
          <w:rtl/>
        </w:rPr>
        <w:t xml:space="preserve">3.‏ </w:t>
      </w:r>
      <w:r>
        <w:rPr>
          <w:rFonts w:ascii="Arial" w:cs="Arial" w:eastAsia="Arial" w:hAnsi="Arial"/>
          <w:b/>
          <w:bCs/>
          <w:color w:val="0C3058"/>
          <w:sz w:val="24"/>
          <w:szCs w:val="24"/>
          <w:rtl/>
        </w:rPr>
        <w:t xml:space="preserve">נתוני חדירה:</w:t>
      </w:r>
      <w:r>
        <w:rPr>
          <w:rFonts w:ascii="Arial" w:cs="Arial" w:eastAsia="Arial" w:hAnsi="Arial"/>
          <w:color w:val="0C3058"/>
          <w:sz w:val="24"/>
          <w:szCs w:val="24"/>
          <w:rtl/>
        </w:rPr>
        <w:t xml:space="preserve"> מי מספק מספק העל את הספירות המצטברות (פעילים, זכאים, ימים לשירות ראשון).</w:t>
      </w:r>
    </w:p>
    <w:p>
      <w:pPr>
        <w:bidi/>
        <w:spacing w:after="0" w:before="40" w:line="240"/>
        <w:jc w:val="both"/>
      </w:pPr>
      <w:r>
        <w:rPr>
          <w:rFonts w:ascii="Arial" w:cs="Arial" w:eastAsia="Arial" w:hAnsi="Arial"/>
          <w:color w:val="266794"/>
          <w:sz w:val="21"/>
          <w:szCs w:val="21"/>
          <w:rtl/>
        </w:rPr>
        <w:t xml:space="preserve">גרסת תצוגה עם נתוני הדגמה סינתטיים, לא מערכת פרודקשן. אין בכלי נתוני תושבים.</w:t>
      </w:r>
    </w:p>
    <w:p>
      <w:pPr>
        <w:bidi/>
        <w:spacing w:after="0" w:before="0" w:line="240"/>
        <w:jc w:val="both"/>
      </w:pPr>
      <w:r>
        <w:rPr>
          <w:rFonts w:ascii="Arial" w:cs="Arial" w:eastAsia="Arial" w:hAnsi="Arial"/>
          <w:color w:val="266794"/>
          <w:sz w:val="21"/>
          <w:szCs w:val="21"/>
          <w:rtl/>
        </w:rPr>
        <w:t xml:space="preserve">תצוגה: ‪https://avi1840.github.io/sal-ishi-v2/hq/‬‏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אטלס וקטלוג הסל האישי: תקן קליטת מפעילים, תקציר לחשכ"ל</dc:title>
  <dc:creator>ביטוח לאומי</dc:creator>
  <cp:lastModifiedBy>Un-named</cp:lastModifiedBy>
  <cp:revision>1</cp:revision>
  <dcterms:created xsi:type="dcterms:W3CDTF">2026-10-29T09:54:16.406Z</dcterms:created>
  <dcterms:modified xsi:type="dcterms:W3CDTF">2026-10-29T09:54:16.408Z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