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60F1" w14:textId="5C96082B"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3FB9B654" wp14:editId="3181287C">
            <wp:simplePos x="0" y="0"/>
            <wp:positionH relativeFrom="margin">
              <wp:posOffset>4438650</wp:posOffset>
            </wp:positionH>
            <wp:positionV relativeFrom="paragraph">
              <wp:posOffset>-478155</wp:posOffset>
            </wp:positionV>
            <wp:extent cx="1231270" cy="479061"/>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5A5A5A"/>
          <w:sz w:val="18"/>
          <w:lang w:val="es-ES"/>
        </w:rPr>
        <w:t>Sociedad Científica Informática de España (SCIE)</w:t>
      </w:r>
    </w:p>
    <w:p w14:paraId="34B0B30F" w14:textId="3F8BB9EE" w:rsidR="00D86FE3" w:rsidRPr="00A524EB" w:rsidRDefault="00D86FE3" w:rsidP="00A524EB">
      <w:pPr>
        <w:spacing w:after="80"/>
        <w:ind w:right="95"/>
        <w:rPr>
          <w:b/>
          <w:bCs/>
          <w:color w:val="1F3864"/>
          <w:sz w:val="36"/>
          <w:szCs w:val="36"/>
          <w:lang w:val="es-ES"/>
        </w:rPr>
      </w:pPr>
      <w:r>
        <w:rPr>
          <w:b/>
          <w:bCs/>
          <w:color w:val="1F3864"/>
          <w:sz w:val="36"/>
          <w:szCs w:val="36"/>
          <w:lang w:val="es-ES"/>
        </w:rPr>
        <w:t>El reconocimiento de los congresos de informática y el liderazgo científico español: diagnóstico, recomendaciones y plan de actuación</w:t>
      </w:r>
    </w:p>
    <w:p w14:paraId="3CFFB194" w14:textId="77777777" w:rsidR="006D15B4" w:rsidRPr="0098289F" w:rsidRDefault="006D15B4" w:rsidP="002B444A">
      <w:pPr>
        <w:pBdr>
          <w:bottom w:val="single" w:sz="6" w:space="4" w:color="2E75B6"/>
        </w:pBdr>
        <w:rPr>
          <w:sz w:val="12"/>
          <w:szCs w:val="12"/>
          <w:lang w:val="es-ES"/>
        </w:rPr>
      </w:pPr>
    </w:p>
    <w:p w14:paraId="384C598D" w14:textId="60D7DA5B" w:rsidR="006D15B4" w:rsidRPr="0025516E" w:rsidRDefault="0026364B" w:rsidP="002B444A">
      <w:pPr>
        <w:pStyle w:val="Ttulo1"/>
        <w:spacing w:before="240"/>
        <w:rPr>
          <w:lang w:val="es-ES"/>
        </w:rPr>
      </w:pPr>
      <w:r>
        <w:rPr>
          <w:lang w:val="es-ES"/>
        </w:rPr>
        <w:t>Resumen ejecutivo</w:t>
      </w:r>
    </w:p>
    <w:p w14:paraId="184F324E" w14:textId="63C3B9E5" w:rsidR="002811B7" w:rsidRDefault="0026364B">
      <w:pPr>
        <w:spacing w:after="120"/>
        <w:jc w:val="both"/>
        <w:rPr>
          <w:lang w:val="es-ES"/>
        </w:rPr>
      </w:pPr>
      <w:r>
        <w:rPr>
          <w:lang w:val="es-ES"/>
        </w:rPr>
        <w:t>La informática tiene una característica que la distingue de la mayoría de las disciplinas científicas: en buena parte de sus áreas principales, los congresos selectivos —no las revistas— son el canal por el que se validan, se publican y se dan a conocer, en primer lugar, los resultados de investigación. Sin embargo, las Resoluciones CNEAI de 2023, 2024 y 2025 siguen tratando las aportaciones a congresos como extraordinarias, es decir, como publicaciones de segunda categoría, salvo situaciones puntuales que un evaluador pueda señalar.</w:t>
      </w:r>
    </w:p>
    <w:p w14:paraId="64144771" w14:textId="5FEBF451" w:rsidR="006D15B4" w:rsidRPr="006A3EBA" w:rsidRDefault="00597D5C">
      <w:pPr>
        <w:spacing w:after="120"/>
        <w:jc w:val="both"/>
        <w:rPr>
          <w:lang w:val="es-ES"/>
        </w:rPr>
      </w:pPr>
      <w:r>
        <w:rPr>
          <w:lang w:val="es-ES"/>
        </w:rPr>
        <w:t>Para analizar la situación, se han elaborado dos informes complementarios. En primer lugar, el informe de fundamentación [1] expone la particularidad de la informática en cuanto a las publicaciones en congresos selectivos, que constituyen el canal principal para la evaluación, publicación y presentación de resultados originales de investigación. En el informe se analiza la situación actual y se presentan los problemas e incoherencias del sistema actual de evaluación de las publicaciones de informática por parte de la ANECA y la CNEAI, así como propuestas concretas.</w:t>
      </w:r>
    </w:p>
    <w:p w14:paraId="7905B65B" w14:textId="0E58E903" w:rsidR="006A3EBA" w:rsidRDefault="009F7786" w:rsidP="006A3EBA">
      <w:pPr>
        <w:spacing w:after="120"/>
        <w:jc w:val="both"/>
        <w:rPr>
          <w:lang w:val="es-ES"/>
        </w:rPr>
      </w:pPr>
      <w:r>
        <w:rPr>
          <w:lang w:val="es-ES"/>
        </w:rPr>
        <w:t>Por su parte, el informe bibliométrico [2], que analiza 170 congresos CORE/ICORE A* y A entre 2001 y 2025, muestra que España publica más artículos que hace veinte años</w:t>
      </w:r>
      <w:r w:rsidR="00855285">
        <w:rPr>
          <w:lang w:val="es-ES"/>
        </w:rPr>
        <w:t>,</w:t>
      </w:r>
      <w:r>
        <w:rPr>
          <w:lang w:val="es-ES"/>
        </w:rPr>
        <w:t xml:space="preserve"> pero que su producción se ha estancado en la última década (1.909 artículos en 2011-2015 y 1.990 en 2021-2025) mientras la del bloque europeo crecía un 80 %, de modo que pierde peso relativo dentro de Europa desde 2016: su cuota cae del 7,62 % en 2006-2010 al 4,23 % en 2021-2025, y su posición dentro de la UE27 y el Reino Unido baja del 5.º al 8.º puesto, con una caída todavía mayor en los congresos de máxima selectividad (A*), donde España pasa del 5.º al 9.º puesto. El propio informe [2] advierte que mide la presencia por afiliación, no el impacto ni el liderazgo, y no permite establecer una relación causal con el tratamiento normativo de los congresos. La SCIE no presenta ambos hechos como una relación de causa y efecto, sino como dos diagnósticos —uno disciplinar y otro bibliométrico— que apuntan en la misma dirección y que, juntos, dan urgencia a una corrección que, por coherencia con la práctica científica de la disciplina, sería necesaria por sí sola. </w:t>
      </w:r>
    </w:p>
    <w:p w14:paraId="6B31A802" w14:textId="323D4180" w:rsidR="006A3EBA" w:rsidRDefault="006A3EBA" w:rsidP="006A3EBA">
      <w:pPr>
        <w:spacing w:after="120"/>
        <w:jc w:val="both"/>
        <w:rPr>
          <w:lang w:val="es-ES"/>
        </w:rPr>
      </w:pPr>
      <w:r>
        <w:rPr>
          <w:lang w:val="es-ES"/>
        </w:rPr>
        <w:t>Este documento propone un conjunto de principios, recomendaciones y un plan de actuación en tres fases, con un doble objetivo: recuperar la presencia española en los congresos de primer nivel y, sobre todo, aumentar el liderazgo científico desde instituciones españolas, entendido como autoría principal y sénior, coordinación de proyectos y de artefactos de investigación, y presencia en la gobernanza de los foros internacionales.</w:t>
      </w:r>
    </w:p>
    <w:p w14:paraId="26AAC450" w14:textId="367C9A42" w:rsidR="002811B7" w:rsidRPr="00D22666" w:rsidRDefault="002811B7" w:rsidP="002811B7">
      <w:pPr>
        <w:spacing w:before="60" w:after="100"/>
        <w:jc w:val="both"/>
        <w:rPr>
          <w:lang w:val="es-ES"/>
        </w:rPr>
      </w:pPr>
      <w:r>
        <w:rPr>
          <w:lang w:val="es-ES"/>
        </w:rPr>
        <w:t xml:space="preserve">La tesis principal de este documento es que, en el subcampo de informática, los congresos clasificados como ICORE A* e ICORE A deben poder ser reconocidos como aportaciones ordinarias preferentes, con el mismo tratamiento que los artículos en revistas de calidad contrastada, siempre que la persona solicitante justifique la relevancia e impacto de la contribución. </w:t>
      </w:r>
    </w:p>
    <w:p w14:paraId="6B0744BE" w14:textId="14DA1D69" w:rsidR="006D15B4" w:rsidRPr="006A3EBA" w:rsidRDefault="0026364B" w:rsidP="002B444A">
      <w:pPr>
        <w:pStyle w:val="Ttulo1"/>
        <w:spacing w:before="240" w:after="120"/>
        <w:rPr>
          <w:lang w:val="es-ES"/>
        </w:rPr>
      </w:pPr>
      <w:r>
        <w:rPr>
          <w:lang w:val="es-ES"/>
        </w:rPr>
        <w:t>1. Diagnóstico</w:t>
      </w:r>
    </w:p>
    <w:p w14:paraId="00A8E70C" w14:textId="77777777" w:rsidR="006D15B4" w:rsidRPr="006A3EBA" w:rsidRDefault="0026364B">
      <w:pPr>
        <w:pStyle w:val="Ttulo2"/>
        <w:rPr>
          <w:lang w:val="es-ES"/>
        </w:rPr>
      </w:pPr>
      <w:r>
        <w:rPr>
          <w:lang w:val="es-ES"/>
        </w:rPr>
        <w:t>1.1. Una disciplina distinta, tratada como las demás</w:t>
      </w:r>
    </w:p>
    <w:p w14:paraId="4075794E" w14:textId="46456DD2" w:rsidR="006D15B4" w:rsidRPr="006A3EBA" w:rsidRDefault="0026364B">
      <w:pPr>
        <w:spacing w:after="120"/>
        <w:jc w:val="both"/>
        <w:rPr>
          <w:lang w:val="es-ES"/>
        </w:rPr>
      </w:pPr>
      <w:r>
        <w:rPr>
          <w:lang w:val="es-ES"/>
        </w:rPr>
        <w:t xml:space="preserve">En áreas centrales de la informática —inteligencia artificial, sistemas, arquitectura y tecnología de computadores, redes, seguridad, bases de datos, ingeniería del software—, el congreso selectivo cumple el mismo papel que en otras disciplinas cumple la revista de primer nivel: revisión exigente por pares, selección competitiva, publicación archivada y reconocimiento por parte de toda la comunidad. El dato es difícil de discutir: tres de los diez artículos más citados del siglo XXI en todas las ciencias son artículos de congreso de informática (ResNet, Transformer y AlexNet), y resultados que han cambiado el campo, como BERT, GPT-3, las redes generativas antagónicas o los modelos de difusión, se publicaron en actas de congreso, no en revistas. La literatura especializada (véase [1]) confirma que más de la mitad de los resultados originales de la disciplina se publican en estas actas y que un amplio grupo de ellas alcanza niveles de impacto comparables a los de las mejores revistas de cada una de las áreas. Un análisis de las patentes apunta en la misma dirección: en una muestra de las 200 patentes </w:t>
      </w:r>
      <w:r>
        <w:rPr>
          <w:lang w:val="es-ES"/>
        </w:rPr>
        <w:lastRenderedPageBreak/>
        <w:t xml:space="preserve">de informática más citadas (prioridad 2020), los congresos concentran el 63,5 % de las citas a la literatura científica, frente al 36,5 % de las revistas [1]. </w:t>
      </w:r>
    </w:p>
    <w:p w14:paraId="75BB7236" w14:textId="6A1E4E99" w:rsidR="006D15B4" w:rsidRPr="006A3EBA" w:rsidRDefault="0026364B">
      <w:pPr>
        <w:spacing w:after="120"/>
        <w:jc w:val="both"/>
        <w:rPr>
          <w:lang w:val="es-ES"/>
        </w:rPr>
      </w:pPr>
      <w:r>
        <w:rPr>
          <w:lang w:val="es-ES"/>
        </w:rPr>
        <w:t>Pese a esta evidencia, el sistema español sigue tratando las aportaciones a congresos como extraordinarias y subordinadas a la decisión discrecional de los evaluadores, dando marcha atrás respecto del reconocimiento que establecieron los criterios CNEAI de 2021 y 2022, en los que las publicaciones en congresos bien situados en el índice GII-GRIN-SCIE podían valorarse como de relevancia alta y contar entre las aportaciones principales, igual que los artículos en revistas. Esta posición resulta, además, difícil de conciliar con los propios compromisos de ANECA: la agencia se adhirió a CoARA en 2023 y aprobó un Plan de Acción 2024-2027 que la compromete a reconocer la diversidad de prácticas y resultados de investigación mediante un juicio cualitativo experto. El propio marco vigente del subcampo 6.2 (BOE-A-2025-26118) ya acepta como aportación ordinaria un artículo que no se publica en una revista tradicional, como los de plataformas de resultados de investigación del tipo Open Research Europe; extender el mismo razonamiento a los congresos selectivos no supone ninguna innovación de principio. Y el preámbulo de la propia convocatoria de 2025 recuerda que el Real Decreto 678/2023 contempla la valoración de «aportaciones a congresos» y presenta la convocatoria como continuación de ese proceso de reforma.</w:t>
      </w:r>
    </w:p>
    <w:p w14:paraId="33196965" w14:textId="272C00DE" w:rsidR="006D15B4" w:rsidRPr="006A3EBA" w:rsidRDefault="0026364B" w:rsidP="00752089">
      <w:pPr>
        <w:spacing w:after="120"/>
        <w:jc w:val="both"/>
        <w:rPr>
          <w:lang w:val="es-ES"/>
        </w:rPr>
      </w:pPr>
      <w:r>
        <w:rPr>
          <w:lang w:val="es-ES"/>
        </w:rPr>
        <w:t>Este tratamiento sitúa, además, a España fuera de línea con la práctica internacional: en el Reino Unido (REF), Italia (VQR) y Portugal (FCT), las contribuciones a congresos selectivos de informática son outputs evaluables de primer nivel, no un canal subordinado a la revista, y la guía de la Computing Research Association (CRA) para la contratación y promoción en EE. UU. los describe como el canal principal de publicación, «on par with or preferred to journals» [1]. Esta inconsistencia no es solo una cuestión de prestigio comparado: tiene un efecto directo sobre la capacidad de atraer y retener talento. Un investigador formado en el MIT, el ETH Zúrich o Cambridge, con tres años de publicaciones en ISCA, SIGCOMM, ICSE o NeurIPS, llega a España con un currículo que su comunidad internacional considera excelente y que el sistema de acreditación español puede calificar como insuficiente o incierto [1]. Mantener esta divergencia no es indiferente: penaliza precisamente el perfil internacionalmente competitivo que España necesita atraer.</w:t>
      </w:r>
    </w:p>
    <w:p w14:paraId="70ED1132" w14:textId="77777777" w:rsidR="006D15B4" w:rsidRPr="006A3EBA" w:rsidRDefault="0026364B" w:rsidP="00D86FE3">
      <w:pPr>
        <w:pStyle w:val="Ttulo2"/>
        <w:spacing w:before="120"/>
        <w:rPr>
          <w:lang w:val="es-ES"/>
        </w:rPr>
      </w:pPr>
      <w:r>
        <w:rPr>
          <w:lang w:val="es-ES"/>
        </w:rPr>
        <w:t>1.2. Un criterio que arrastra a todo el sistema</w:t>
      </w:r>
    </w:p>
    <w:p w14:paraId="51B98C45" w14:textId="7301BC7F" w:rsidR="006D15B4" w:rsidRPr="006A3EBA" w:rsidRDefault="0026364B">
      <w:pPr>
        <w:spacing w:after="120"/>
        <w:jc w:val="both"/>
        <w:rPr>
          <w:lang w:val="es-ES"/>
        </w:rPr>
      </w:pPr>
      <w:r>
        <w:rPr>
          <w:lang w:val="es-ES"/>
        </w:rPr>
        <w:t>Los criterios de ANECA y CNEAI no afectan solo a quien solicita una acreditación o un sexenio. Funcionan como referencia para el resto del sistema: comisiones de contratación de profesorado, agencias autonómicas de calidad, escuelas de doctorado y los propios departamentos, centros e institutos de investigación, en sus sistemas internos de incentivos y de selección de investigadores, tienden a alinear sus criterios con los de las agencias estatales, de forma implícita o explícita. Por eso, una decisión que parece técnica —cómo clasificar una publicación en un congreso— termina condicionando la carrera completa de un investigador español, desde el doctorado hasta la cátedra. No es un ajuste menor de una convocatoria: es una decisión con efecto multiplicador en todo el sistema universitario.</w:t>
      </w:r>
    </w:p>
    <w:p w14:paraId="56471C7D" w14:textId="77777777" w:rsidR="006D15B4" w:rsidRPr="006A3EBA" w:rsidRDefault="0026364B" w:rsidP="00D86FE3">
      <w:pPr>
        <w:pStyle w:val="Ttulo2"/>
        <w:spacing w:before="120"/>
        <w:rPr>
          <w:lang w:val="es-ES"/>
        </w:rPr>
      </w:pPr>
      <w:r>
        <w:rPr>
          <w:lang w:val="es-ES"/>
        </w:rPr>
        <w:t>1.3. España pierde terreno relativo, sobre todo donde más exige el sistema</w:t>
      </w:r>
    </w:p>
    <w:p w14:paraId="011CD70F" w14:textId="6AE7600C" w:rsidR="006D15B4" w:rsidRPr="006A3EBA" w:rsidRDefault="0026364B">
      <w:pPr>
        <w:spacing w:after="120"/>
        <w:jc w:val="both"/>
        <w:rPr>
          <w:lang w:val="es-ES"/>
        </w:rPr>
      </w:pPr>
      <w:r>
        <w:rPr>
          <w:lang w:val="es-ES"/>
        </w:rPr>
        <w:t>El informe bibliométrico [2] se construye sobre un corpus fijo de 170 congresos CORE/ICORE 2026 clasificados como A* o A, con 535.144 artículos publicados entre 2001 y 2025. España publica más que nunca en términos absolutos, gracias sobre todo a la inteligencia artificial —pasa de 967 artículos en 2001-2005 a 1.990 en 2021-2025—, pero en la última década su producción se estanca (1.909 artículos en 2011-2015, 1.536 en 2016-2020 y 1.990 en 2021-2025), mientras que la del bloque europeo crece un 80 %. Como consecuencia, su peso dentro del bloque europeo de referencia (la Unión Europea más el Reino Unido) cae del máximo histórico del 7,62 % en 2006-2010 al 4,23 % en 2021-2025. La posición de España dentro de ese bloque baja del 5.º al 8.º puesto, y la caída es aún más marcada en los congresos de mayor exigencia (nivel A*), donde España pasa del 5.º al 9.º puesto. La comparación con otros países es reveladora: Reino Unido y Alemania son los países que más cuota ganan dentro del bloque, mientras que España pierde terreno incluso frente a un país de tamaño y estructura comparables como Italia, que pasa de publicar 1,3 veces lo que España en 2006-2010 a más del doble en 2021-2025. La pérdida no es solo europea: la cuota española sobre el total mundial identificado cae del 2,61 % en 2011-2015 al 1,16 % en 2021-2025. La serie anual muestra una recuperación desde el mínimo de 2021 (del 3,63 % al 4,77 % en 2024), todavía insuficiente para volver a los niveles de 2006-2015.</w:t>
      </w:r>
    </w:p>
    <w:p w14:paraId="4A73004A" w14:textId="19A5C0CF" w:rsidR="006D15B4" w:rsidRPr="006A3EBA" w:rsidRDefault="0026364B">
      <w:pPr>
        <w:spacing w:after="120"/>
        <w:jc w:val="both"/>
        <w:rPr>
          <w:lang w:val="es-ES"/>
        </w:rPr>
      </w:pPr>
      <w:r>
        <w:rPr>
          <w:lang w:val="es-ES"/>
        </w:rPr>
        <w:t xml:space="preserve">El propio informe descompone esta caída para identificar su origen: entre el 77 % y el 82 % se debe a que España publica menos, en proporción, dentro de combinaciones concretas de área y nivel donde ya competía —por ejemplo, Inteligencia artificial de nivel A, Sistemas de nivel A o Bases de datos de nivel A*—, y solo entre un 7 % y un 10 % se explica porque hayan crecido más deprisa las áreas donde </w:t>
      </w:r>
      <w:r>
        <w:rPr>
          <w:lang w:val="es-ES"/>
        </w:rPr>
        <w:lastRenderedPageBreak/>
        <w:t xml:space="preserve">España partía con menos presencia; el resto corresponde a un término de interacción. La pérdida se concentra sobre todo en inteligencia artificial, un área en la que España partía con una cuota superior a su media y en la que no ha crecido al ritmo de sus competidores durante la expansión de la última década. Pero no se limita a ella: entre un tercio y casi la mitad de la pérdida procede de otras áreas, como bases de datos o sistemas.  </w:t>
      </w:r>
    </w:p>
    <w:p w14:paraId="38DEE64F" w14:textId="586ED740" w:rsidR="0025516E" w:rsidRDefault="0026364B">
      <w:pPr>
        <w:spacing w:after="200"/>
        <w:jc w:val="both"/>
        <w:rPr>
          <w:lang w:val="es-ES"/>
        </w:rPr>
      </w:pPr>
      <w:r>
        <w:rPr>
          <w:lang w:val="es-ES"/>
        </w:rPr>
        <w:t xml:space="preserve">La situación por áreas no es uniforme: Redes es una fortaleza clara y creciente (14,61 % de cuota europea y 4.º puesto en 2021-2025, con el menor grado de coautoría internacional de todas las áreas); Ingeniería del Software y Sistemas, arquitectura y computación mantienen posiciones razonablemente sólidas, aunque con una erosión gradual. Inteligencia artificial y aprendizaje automático concentran el mayor volumen de artículos españoles, pero también la mayor caída relativa (del 8,92 % al 3,88 % de cuota europea), y Teoría muestra el declive más sostenido, anterior incluso a la expansión de la inteligencia artificial. Por ello, el seguimiento propuesto en R5 debe desagregarse por áreas. </w:t>
      </w:r>
    </w:p>
    <w:p w14:paraId="5A363851" w14:textId="1E2060F6" w:rsidR="006D15B4" w:rsidRPr="006A3EBA" w:rsidRDefault="0026364B">
      <w:pPr>
        <w:spacing w:after="200"/>
        <w:jc w:val="both"/>
        <w:rPr>
          <w:lang w:val="es-ES"/>
        </w:rPr>
      </w:pPr>
      <w:r>
        <w:rPr>
          <w:lang w:val="es-ES"/>
        </w:rPr>
        <w:t>El mismo informe muestra también que la presencia española es cada vez más internacional —los artículos firmados solo por autores españoles caen del 64 % al 30,4 % del total entre 2001 y 2025—, lo que indica una integración creciente en redes de colaboración, aunque también puede reflejar una mayor dependencia de socios externos para acceder a los foros más selectivos. Por ello, resulta necesario distinguir entre presencia y liderazgo tanto para interpretar el dato como para diseñar la respuesta.</w:t>
      </w:r>
    </w:p>
    <w:p w14:paraId="6D1B7089" w14:textId="77777777" w:rsidR="006D15B4" w:rsidRPr="006A3EBA" w:rsidRDefault="0026364B" w:rsidP="00D86FE3">
      <w:pPr>
        <w:pStyle w:val="Ttulo2"/>
        <w:spacing w:before="120"/>
        <w:rPr>
          <w:lang w:val="es-ES"/>
        </w:rPr>
      </w:pPr>
      <w:r>
        <w:rPr>
          <w:lang w:val="es-ES"/>
        </w:rPr>
        <w:t>1.4. Un vacío de diagnóstico: España tampoco mide su liderazgo</w:t>
      </w:r>
    </w:p>
    <w:p w14:paraId="50B9344D" w14:textId="666C4B73" w:rsidR="006D15B4" w:rsidRPr="006A3EBA" w:rsidRDefault="0026364B">
      <w:pPr>
        <w:spacing w:after="120"/>
        <w:jc w:val="both"/>
        <w:rPr>
          <w:lang w:val="es-ES"/>
        </w:rPr>
      </w:pPr>
      <w:r>
        <w:rPr>
          <w:lang w:val="es-ES"/>
        </w:rPr>
        <w:t>El diagnóstico bibliométrico disponible mide la presencia por afiliación, no por liderazgo. No existen datos sistemáticos sobre cuántas de las publicaciones españolas en congresos A*/A corresponden a autoría principal o sénior española, cuántas han sido coordinadas por una institución española frente a un papel de socio secundario, ni cuántos investigadores con afiliación española forman parte de comités de programa, steering committees, comités editoriales o de roles de organización en estos congresos. Sería preciso llenar este vacío informativo si pretendemos evaluar y fortalecer el liderazgo científico español, y no solo su presencia.</w:t>
      </w:r>
    </w:p>
    <w:p w14:paraId="6C18439D" w14:textId="77777777" w:rsidR="006D15B4" w:rsidRPr="006A3EBA" w:rsidRDefault="0026364B" w:rsidP="006B41DD">
      <w:pPr>
        <w:pStyle w:val="Ttulo1"/>
        <w:spacing w:before="240" w:after="120"/>
        <w:rPr>
          <w:lang w:val="es-ES"/>
        </w:rPr>
      </w:pPr>
      <w:r>
        <w:rPr>
          <w:lang w:val="es-ES"/>
        </w:rPr>
        <w:t>2. Principios de actuación</w:t>
      </w:r>
    </w:p>
    <w:p w14:paraId="79E6CF79" w14:textId="440E0F99" w:rsidR="006D15B4" w:rsidRPr="006A3EBA" w:rsidRDefault="0026364B">
      <w:pPr>
        <w:spacing w:after="120"/>
        <w:jc w:val="both"/>
        <w:rPr>
          <w:lang w:val="es-ES"/>
        </w:rPr>
      </w:pPr>
      <w:r>
        <w:rPr>
          <w:lang w:val="es-ES"/>
        </w:rPr>
        <w:t>Antes de entrar en recomendaciones concretas, conviene fijar los principios que deben guiar cualquier reforma en esta materia, de modo que las medidas posteriores se entiendan como la aplicación de un criterio coherente y no como una lista de peticiones sueltas.</w:t>
      </w:r>
    </w:p>
    <w:p w14:paraId="26B25576" w14:textId="793058A3" w:rsidR="006D15B4" w:rsidRPr="006A3EBA" w:rsidRDefault="0026364B">
      <w:pPr>
        <w:spacing w:after="100"/>
        <w:jc w:val="both"/>
        <w:rPr>
          <w:lang w:val="es-ES"/>
        </w:rPr>
      </w:pPr>
      <w:r>
        <w:rPr>
          <w:b/>
          <w:bCs/>
          <w:lang w:val="es-ES"/>
        </w:rPr>
        <w:t xml:space="preserve">P1. Adecuación disciplinar. </w:t>
      </w:r>
      <w:r>
        <w:rPr>
          <w:lang w:val="es-ES"/>
        </w:rPr>
        <w:t>La informática debe evaluarse según sus prácticas reales de comunicación científica. En muchas subáreas de la informática, los congresos selectivos constituyen publicaciones completas, revisadas por pares y reconocidas como canales finales de publicación. A ello se suma una razón propia del ritmo de la disciplina: en áreas de evolución muy rápida, el ciclo de revisión de una revista puede tardar más que el tiempo que tarda un resultado en ser superado por la propia comunidad, de modo que esperar a la publicación en revista no añade rigor, sino que implica el riesgo de publicar un resultado ya obsoleto. Aplicar exclusivamente el patrón de revista no mide la calidad: mide la conformidad con un formato ajeno a la disciplina. Esta inadecuación tiene, además, un coste de eficiencia: si solo la revista cuenta plenamente, los investigadores se ven empujados a republicar como artículo de revista, con material añadido, lo que el congreso ya ha validado, archivado y difundido, con doble revisión del mismo núcleo de contribución, mayores costes de publicación y citas repartidas entre dos versiones. Reconocer los congresos A*/A no prohíbe la versión extendida cuando aporta valor científico; elimina la obligación administrativa de hacerla.</w:t>
      </w:r>
    </w:p>
    <w:p w14:paraId="22855720" w14:textId="417274B6" w:rsidR="006D15B4" w:rsidRPr="006A3EBA" w:rsidRDefault="0026364B">
      <w:pPr>
        <w:spacing w:after="100"/>
        <w:jc w:val="both"/>
        <w:rPr>
          <w:lang w:val="es-ES"/>
        </w:rPr>
      </w:pPr>
      <w:r>
        <w:rPr>
          <w:b/>
          <w:bCs/>
          <w:lang w:val="es-ES"/>
        </w:rPr>
        <w:t xml:space="preserve">P2. Reconocimiento sin automatismo. </w:t>
      </w:r>
      <w:r>
        <w:rPr>
          <w:lang w:val="es-ES"/>
        </w:rPr>
        <w:t>Reconocer los congresos ICORE A*/A no implica aceptar cualquier congreso ni sustituir el juicio experto por un ranking. ICORE actúa como filtro inicial verificable; la evaluación cualitativa, la narrativa de impacto y el conocimiento de la subárea siguen siendo imprescindibles.</w:t>
      </w:r>
    </w:p>
    <w:p w14:paraId="706C367F" w14:textId="28F6ED6D" w:rsidR="006D15B4" w:rsidRPr="006A3EBA" w:rsidRDefault="0026364B">
      <w:pPr>
        <w:spacing w:after="100"/>
        <w:jc w:val="both"/>
        <w:rPr>
          <w:lang w:val="es-ES"/>
        </w:rPr>
      </w:pPr>
      <w:r>
        <w:rPr>
          <w:b/>
          <w:bCs/>
          <w:lang w:val="es-ES"/>
        </w:rPr>
        <w:t xml:space="preserve">P3. Presencia y liderazgo. </w:t>
      </w:r>
      <w:r>
        <w:rPr>
          <w:lang w:val="es-ES"/>
        </w:rPr>
        <w:t>El objetivo no es solo aumentar el número de artículos con alguna afiliación española, sino también fortalecer el liderazgo científico: autoría principal o de autor sénior, coordinación de artefactos y proyectos, y presencia en los comités de programa de los foros de referencia.</w:t>
      </w:r>
    </w:p>
    <w:p w14:paraId="279F01ED" w14:textId="12D44A8E" w:rsidR="006D15B4" w:rsidRPr="006A3EBA" w:rsidRDefault="0026364B">
      <w:pPr>
        <w:spacing w:after="200"/>
        <w:jc w:val="both"/>
        <w:rPr>
          <w:lang w:val="es-ES"/>
        </w:rPr>
      </w:pPr>
      <w:r>
        <w:rPr>
          <w:b/>
          <w:bCs/>
          <w:lang w:val="es-ES"/>
        </w:rPr>
        <w:t xml:space="preserve">P4. Coherencia sistémica. </w:t>
      </w:r>
      <w:r>
        <w:rPr>
          <w:lang w:val="es-ES"/>
        </w:rPr>
        <w:t xml:space="preserve">La reforma evaluativa, por sí sola, cambia los incentivos, pero no las capacidades. Sin financiación para el acceso a estos congresos ni para la atención al talento y a la formación doctoral, la corrección normativa beneficiará sobre todo a los grupos que ya cuentan con recursos suficientes, sin cerrar la brecha real. Este documento se centra en las recomendaciones de evaluación y reconocimiento que son competencia directa de ANECA y CNEAI, incluido el reconocimiento de la gobernanza científica; su plena efectividad depende de que vayan acompañadas </w:t>
      </w:r>
      <w:r>
        <w:rPr>
          <w:lang w:val="es-ES"/>
        </w:rPr>
        <w:lastRenderedPageBreak/>
        <w:t>de medidas de financiación y formación que exceden este ámbito y corresponden a AEI, MICIU y las comunidades autónomas.</w:t>
      </w:r>
    </w:p>
    <w:p w14:paraId="1A19AAD5" w14:textId="06E28F88" w:rsidR="006D15B4" w:rsidRPr="006A3EBA" w:rsidRDefault="0026364B" w:rsidP="006B41DD">
      <w:pPr>
        <w:pStyle w:val="Ttulo1"/>
        <w:spacing w:before="240" w:after="120"/>
        <w:rPr>
          <w:lang w:val="es-ES"/>
        </w:rPr>
      </w:pPr>
      <w:r>
        <w:rPr>
          <w:lang w:val="es-ES"/>
        </w:rPr>
        <w:t>3. Recomendaciones</w:t>
      </w:r>
    </w:p>
    <w:p w14:paraId="65BB6DAA" w14:textId="77777777" w:rsidR="006D15B4" w:rsidRPr="006A3EBA" w:rsidRDefault="0026364B" w:rsidP="006B41DD">
      <w:pPr>
        <w:pStyle w:val="Ttulo2"/>
        <w:spacing w:before="180" w:after="60"/>
        <w:rPr>
          <w:lang w:val="es-ES"/>
        </w:rPr>
      </w:pPr>
      <w:r>
        <w:rPr>
          <w:lang w:val="es-ES"/>
        </w:rPr>
        <w:t>R1. Reconocer los congresos ICORE A*/A como aportaciones ordinarias</w:t>
      </w:r>
    </w:p>
    <w:p w14:paraId="626B0D1D" w14:textId="002171F8" w:rsidR="006D15B4" w:rsidRDefault="0026364B">
      <w:pPr>
        <w:spacing w:after="100"/>
        <w:jc w:val="both"/>
        <w:rPr>
          <w:lang w:val="es-ES"/>
        </w:rPr>
      </w:pPr>
      <w:r>
        <w:rPr>
          <w:lang w:val="es-ES"/>
        </w:rPr>
        <w:t xml:space="preserve">CNEAI y ANECA deben establecer, en coordinación con la SCIE y otras sociedades científicas del área, un tratamiento diferenciado según el nivel de clasificación ICORE/CORE en los criterios específicos del subcampo de informática. En todos los casos, el tratamiento es el mismo que reciben los artículos en revistas de calidad contrastada: no se trata de sustituir un ranking de revistas por uno de congresos, sino de dejar de excluir de la consideración ordinaria el canal principal de publicación de la disciplina. </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694"/>
        <w:gridCol w:w="3827"/>
      </w:tblGrid>
      <w:tr w:rsidR="006D15B4" w14:paraId="731E24C0" w14:textId="77777777" w:rsidTr="00D86FE3">
        <w:trPr>
          <w:jc w:val="center"/>
        </w:trPr>
        <w:tc>
          <w:tcPr>
            <w:tcW w:w="2263" w:type="dxa"/>
            <w:shd w:val="clear" w:color="auto" w:fill="1F3864"/>
            <w:tcMar>
              <w:top w:w="80" w:type="dxa"/>
              <w:left w:w="120" w:type="dxa"/>
              <w:bottom w:w="80" w:type="dxa"/>
              <w:right w:w="120" w:type="dxa"/>
            </w:tcMar>
          </w:tcPr>
          <w:p w14:paraId="3FE30320" w14:textId="77777777" w:rsidR="006D15B4" w:rsidRDefault="0026364B">
            <w:r>
              <w:rPr>
                <w:b/>
                <w:bCs/>
                <w:color w:val="FFFFFF"/>
                <w:sz w:val="16"/>
                <w:szCs w:val="18"/>
              </w:rPr>
              <w:t>Tipo de congreso</w:t>
            </w:r>
          </w:p>
        </w:tc>
        <w:tc>
          <w:tcPr>
            <w:tcW w:w="2694" w:type="dxa"/>
            <w:shd w:val="clear" w:color="auto" w:fill="1F3864"/>
            <w:tcMar>
              <w:top w:w="80" w:type="dxa"/>
              <w:left w:w="120" w:type="dxa"/>
              <w:bottom w:w="80" w:type="dxa"/>
              <w:right w:w="120" w:type="dxa"/>
            </w:tcMar>
          </w:tcPr>
          <w:p w14:paraId="02FBCA8E" w14:textId="14843B60" w:rsidR="006D15B4" w:rsidRDefault="0026364B">
            <w:r>
              <w:rPr>
                <w:b/>
                <w:bCs/>
                <w:color w:val="FFFFFF"/>
                <w:sz w:val="16"/>
                <w:szCs w:val="18"/>
              </w:rPr>
              <w:t>Equivalencia funcional</w:t>
            </w:r>
          </w:p>
        </w:tc>
        <w:tc>
          <w:tcPr>
            <w:tcW w:w="3827" w:type="dxa"/>
            <w:shd w:val="clear" w:color="auto" w:fill="1F3864"/>
            <w:tcMar>
              <w:top w:w="80" w:type="dxa"/>
              <w:left w:w="120" w:type="dxa"/>
              <w:bottom w:w="80" w:type="dxa"/>
              <w:right w:w="120" w:type="dxa"/>
            </w:tcMar>
          </w:tcPr>
          <w:p w14:paraId="10965A98" w14:textId="77777777" w:rsidR="006D15B4" w:rsidRDefault="0026364B">
            <w:r>
              <w:rPr>
                <w:b/>
                <w:bCs/>
                <w:color w:val="FFFFFF"/>
                <w:sz w:val="16"/>
                <w:szCs w:val="18"/>
              </w:rPr>
              <w:t>Condición</w:t>
            </w:r>
          </w:p>
        </w:tc>
      </w:tr>
      <w:tr w:rsidR="006D15B4" w:rsidRPr="00855285" w14:paraId="0363D50C"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DF0C"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DAE98" w14:textId="6FA7FBC7" w:rsidR="006D15B4" w:rsidRDefault="0026364B">
            <w:r>
              <w:rPr>
                <w:sz w:val="16"/>
                <w:szCs w:val="18"/>
              </w:rPr>
              <w:t>Revista Q1</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FD1E3" w14:textId="77777777" w:rsidR="006D15B4" w:rsidRPr="006A3EBA" w:rsidRDefault="0026364B">
            <w:pPr>
              <w:rPr>
                <w:lang w:val="es-ES"/>
              </w:rPr>
            </w:pPr>
            <w:r>
              <w:rPr>
                <w:sz w:val="16"/>
                <w:szCs w:val="18"/>
                <w:lang w:val="es-ES"/>
              </w:rPr>
              <w:t>Narrativa de contribución e impacto</w:t>
            </w:r>
          </w:p>
        </w:tc>
      </w:tr>
      <w:tr w:rsidR="006D15B4" w:rsidRPr="00855285" w14:paraId="4A070959"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0F032"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B88E7" w14:textId="5823217B" w:rsidR="006D15B4" w:rsidRPr="00CF3FFD" w:rsidRDefault="0026364B">
            <w:pPr>
              <w:rPr>
                <w:lang w:val="es-ES"/>
              </w:rPr>
            </w:pPr>
            <w:r>
              <w:rPr>
                <w:sz w:val="16"/>
                <w:szCs w:val="18"/>
                <w:lang w:val="es-ES"/>
              </w:rPr>
              <w:t>Revista Q1/Q2</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DE7C" w14:textId="77777777" w:rsidR="006D15B4" w:rsidRPr="006A3EBA" w:rsidRDefault="0026364B">
            <w:pPr>
              <w:rPr>
                <w:lang w:val="es-ES"/>
              </w:rPr>
            </w:pPr>
            <w:r>
              <w:rPr>
                <w:sz w:val="16"/>
                <w:szCs w:val="18"/>
                <w:lang w:val="es-ES"/>
              </w:rPr>
              <w:t>Narrativa de contribución e impacto</w:t>
            </w:r>
          </w:p>
        </w:tc>
      </w:tr>
      <w:tr w:rsidR="006D15B4" w:rsidRPr="00855285" w14:paraId="42A22232"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E6E0E" w14:textId="77777777" w:rsidR="006D15B4" w:rsidRDefault="0026364B">
            <w:r>
              <w:rPr>
                <w:sz w:val="16"/>
                <w:szCs w:val="18"/>
              </w:rPr>
              <w:t>ICORE B</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0D6F1" w14:textId="0A88DC59" w:rsidR="006D15B4" w:rsidRPr="00CF3FFD" w:rsidRDefault="0026364B">
            <w:pPr>
              <w:rPr>
                <w:lang w:val="es-ES"/>
              </w:rPr>
            </w:pPr>
            <w:r>
              <w:rPr>
                <w:sz w:val="16"/>
                <w:szCs w:val="18"/>
                <w:lang w:val="es-ES"/>
              </w:rPr>
              <w:t>Revista Q2/Q3</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2BCCF" w14:textId="77777777" w:rsidR="006D15B4" w:rsidRPr="006A3EBA" w:rsidRDefault="0026364B">
            <w:pPr>
              <w:rPr>
                <w:lang w:val="es-ES"/>
              </w:rPr>
            </w:pPr>
            <w:r>
              <w:rPr>
                <w:sz w:val="16"/>
                <w:szCs w:val="18"/>
                <w:lang w:val="es-ES"/>
              </w:rPr>
              <w:t>Evaluación contextual con impacto contrastable</w:t>
            </w:r>
          </w:p>
        </w:tc>
      </w:tr>
      <w:tr w:rsidR="006D15B4" w14:paraId="0E273253"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6BF90" w14:textId="77777777" w:rsidR="006D15B4" w:rsidRDefault="0026364B">
            <w:r>
              <w:rPr>
                <w:sz w:val="16"/>
                <w:szCs w:val="18"/>
              </w:rPr>
              <w:t>No clasificado o inferior</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FEAA0" w14:textId="4A5B8EC9" w:rsidR="006D15B4" w:rsidRPr="00CF3FFD" w:rsidRDefault="0026364B">
            <w:pPr>
              <w:rPr>
                <w:lang w:val="es-ES"/>
              </w:rPr>
            </w:pPr>
            <w:r>
              <w:rPr>
                <w:sz w:val="16"/>
                <w:szCs w:val="18"/>
                <w:lang w:val="es-ES"/>
              </w:rPr>
              <w:t>Sin presunción automática</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8EADF" w14:textId="77777777" w:rsidR="006D15B4" w:rsidRDefault="0026364B">
            <w:r>
              <w:rPr>
                <w:sz w:val="16"/>
                <w:szCs w:val="18"/>
              </w:rPr>
              <w:t>Justificación completa</w:t>
            </w:r>
          </w:p>
        </w:tc>
      </w:tr>
    </w:tbl>
    <w:p w14:paraId="63A08BD7" w14:textId="77777777" w:rsidR="00D86FE3" w:rsidRPr="00727A4C" w:rsidRDefault="00D86FE3" w:rsidP="00D86FE3">
      <w:pPr>
        <w:jc w:val="both"/>
        <w:rPr>
          <w:sz w:val="12"/>
          <w:szCs w:val="12"/>
          <w:lang w:val="es-ES"/>
        </w:rPr>
      </w:pPr>
    </w:p>
    <w:p w14:paraId="0942CA00" w14:textId="44799B0C" w:rsidR="006D15B4" w:rsidRDefault="0026364B">
      <w:pPr>
        <w:spacing w:after="120"/>
        <w:jc w:val="both"/>
        <w:rPr>
          <w:lang w:val="es-ES"/>
        </w:rPr>
      </w:pPr>
      <w:r>
        <w:rPr>
          <w:lang w:val="es-ES"/>
        </w:rPr>
        <w:t>Esta propuesta no abre la puerta a reconocer cualquier congreso sin criterio. Quedan excluidos de este reconocimiento, salvo justificación excepcional documentada, los workshops satélite, posters, demostraciones, resúmenes extendidos, companion proceedings e invited talks sin artículo completo revisado por pares. Para publicaciones entre 2015 y 2023, podrá utilizarse GGS (https://www.scie.es/actividades/clasificacion-de-congresos-ggs/) como clasificación histórica de referencia, indicando la versión y la fecha de consulta; para publicaciones desde 2024, se utilizará ICORE/CORE.</w:t>
      </w:r>
    </w:p>
    <w:p w14:paraId="403235C3" w14:textId="49638B59" w:rsidR="0026347B" w:rsidRDefault="0026347B">
      <w:pPr>
        <w:spacing w:after="120"/>
        <w:jc w:val="both"/>
        <w:rPr>
          <w:lang w:val="es-ES"/>
        </w:rPr>
      </w:pPr>
      <w:r>
        <w:rPr>
          <w:lang w:val="es-ES"/>
        </w:rPr>
        <w:t>En concreto, se propone la siguiente redacción para los criterios de evaluación [1]:</w:t>
      </w:r>
    </w:p>
    <w:p w14:paraId="6F97B4CA" w14:textId="648F24DF" w:rsidR="0026347B" w:rsidRPr="00D22666" w:rsidRDefault="00727A4C" w:rsidP="0026347B">
      <w:pPr>
        <w:shd w:val="clear" w:color="auto" w:fill="F2F2F2"/>
        <w:spacing w:before="100" w:after="100"/>
        <w:ind w:left="400" w:right="400"/>
        <w:jc w:val="both"/>
        <w:rPr>
          <w:lang w:val="es-ES"/>
        </w:rPr>
      </w:pPr>
      <w:r>
        <w:rPr>
          <w:lang w:val="es-ES"/>
        </w:rPr>
        <w:t>En el subcampo de informática, atendiendo a las prácticas internacionales de comunicación científica de la disciplina, se considerarán aportaciones ordinarias las publicaciones completas en congresos internacionales selectivos revisados por pares, especialmente aquellos clasificados como A* o A en ICORE o en la clasificación de referencia recomendada por la SCIE para el período correspondiente. Las publicaciones en congresos ICORE A* se considerarán, con carácter general, aportaciones ordinarias preferentes, equiparables funcionalmente a publicaciones en revistas Q1, siempre que el solicitante aporte una narrativa razonada de la contribución, del papel del congreso en el área y de los indicios de impacto científico, tecnológico o social. Las publicaciones en congresos ICORE A podrán considerarse aportaciones ordinarias de alto nivel, equiparables funcionalmente a revistas Q1/Q2, atendiendo a la selectividad, la reputación, el impacto y la posición del congreso en la subárea. Las publicaciones en congresos ICORE B podrán considerarse aportaciones ordinarias, con valoración contextual, especialmente cuando la contribución haya tenido un impacto contrastable o corresponda a una subárea en la que el congreso sea un foro reconocido. Las publicaciones en el resto de congresos se considerarán aportaciones extraordinarias, hasta un máximo de dos, y requerirán, para su valoración, una justificación específica de la revisión por pares y evidencias de selectividad, indexación, reputación e impacto. Este tratamiento se aplicará sin perjuicio de la evaluación cualitativa de cada aportación y del uso responsable de indicadores cuantitativos, en coherencia con los principios de CoARA, DORA y el Plan de Acción CoARA 2024–2027 de ANECA.</w:t>
      </w:r>
    </w:p>
    <w:p w14:paraId="624C164C" w14:textId="13152CA1" w:rsidR="006D15B4" w:rsidRPr="006A3EBA" w:rsidRDefault="0026364B" w:rsidP="006B41DD">
      <w:pPr>
        <w:pStyle w:val="Ttulo2"/>
        <w:spacing w:before="180" w:after="60"/>
        <w:rPr>
          <w:lang w:val="es-ES"/>
        </w:rPr>
      </w:pPr>
      <w:r>
        <w:rPr>
          <w:lang w:val="es-ES"/>
        </w:rPr>
        <w:t>R2. Coherencia del sistema y efecto de arrastre</w:t>
      </w:r>
    </w:p>
    <w:p w14:paraId="1C005992" w14:textId="2D4B18C2" w:rsidR="006D15B4" w:rsidRPr="006A3EBA" w:rsidRDefault="0026364B">
      <w:pPr>
        <w:spacing w:after="120"/>
        <w:jc w:val="both"/>
        <w:rPr>
          <w:lang w:val="es-ES"/>
        </w:rPr>
      </w:pPr>
      <w:r>
        <w:rPr>
          <w:lang w:val="es-ES"/>
        </w:rPr>
        <w:t>Los criterios de ANECA y CNEAI condicionan al resto del sistema —comisiones de selección y contratación, agencias autonómicas, escuelas de doctorado—, por lo que la reforma debe comunicarse como lo que realmente es: una medida de alcance general para toda la carrera investigadora en informática, no un ajuste menor de una convocatoria concreta. En esta línea, ANECA debería emitir una nota de orientación dirigida a las agencias autonómicas de evaluación, universidades, centros e institutos de investigación, de modo que la heterogeneidad territorial no genere desigualdad entre investigadores según su comunidad de adscripción.</w:t>
      </w:r>
    </w:p>
    <w:p w14:paraId="16350A7A" w14:textId="5726C605" w:rsidR="006D15B4" w:rsidRPr="006A3EBA" w:rsidRDefault="0026364B">
      <w:pPr>
        <w:spacing w:after="200"/>
        <w:jc w:val="both"/>
        <w:rPr>
          <w:lang w:val="es-ES"/>
        </w:rPr>
      </w:pPr>
      <w:r>
        <w:rPr>
          <w:lang w:val="es-ES"/>
        </w:rPr>
        <w:t xml:space="preserve">La coherencia debe darse también dentro del propio Ministerio: resulta difícil justificar que la Agencia Estatal de Investigación evalúe proyectos siguiendo los principios de DORA, sin discriminar por el </w:t>
      </w:r>
      <w:r>
        <w:rPr>
          <w:lang w:val="es-ES"/>
        </w:rPr>
        <w:lastRenderedPageBreak/>
        <w:t>formato editorial, mientras que CNEAI y ANECA evalúan trayectorias individuales con un criterio distinto. Es la misma administración aplicando dos varas de medir a la misma disciplina; corregir esa contradicción no exige ninguna concesión especial a la informática, exige simplemente coherencia interna.</w:t>
      </w:r>
    </w:p>
    <w:p w14:paraId="54790876" w14:textId="77777777" w:rsidR="006D15B4" w:rsidRPr="006A3EBA" w:rsidRDefault="0026364B" w:rsidP="006B41DD">
      <w:pPr>
        <w:pStyle w:val="Ttulo2"/>
        <w:spacing w:before="180" w:after="60"/>
        <w:rPr>
          <w:lang w:val="es-ES"/>
        </w:rPr>
      </w:pPr>
      <w:r>
        <w:rPr>
          <w:lang w:val="es-ES"/>
        </w:rPr>
        <w:t>R3. Premiar el liderazgo, no solo la presencia</w:t>
      </w:r>
    </w:p>
    <w:p w14:paraId="42466937" w14:textId="4EC8FEEC" w:rsidR="006D15B4" w:rsidRPr="00A93F65" w:rsidRDefault="0026364B">
      <w:pPr>
        <w:spacing w:after="120"/>
        <w:jc w:val="both"/>
        <w:rPr>
          <w:lang w:val="es-ES"/>
        </w:rPr>
      </w:pPr>
      <w:r>
        <w:rPr>
          <w:lang w:val="es-ES"/>
        </w:rPr>
        <w:t xml:space="preserve">La narrativa de impacto que se exija al solicitante debe valorar explícitamente el liderazgo científico desde instituciones españolas —autoría principal o sénior, coordinación de artefactos y repositorios asociados, dirección de proyectos competitivos vinculados a la publicación, participación en comités de programa— y no limitarse a la mera presencia o a la coautoría en el congreso. El informe bibliométrico [2] muestra que la colaboración internacional española ha crecido mucho (69,6 % de los artículos en 2021-2025), sin que ello haya evitado la pérdida de peso relativo; el objetivo no puede ser solo estar presente, sino también dirigir. </w:t>
      </w:r>
    </w:p>
    <w:p w14:paraId="223F2E5C" w14:textId="77777777" w:rsidR="006D15B4" w:rsidRPr="006A3EBA" w:rsidRDefault="0026364B" w:rsidP="006B41DD">
      <w:pPr>
        <w:pStyle w:val="Ttulo2"/>
        <w:spacing w:before="180" w:after="60"/>
        <w:rPr>
          <w:lang w:val="es-ES"/>
        </w:rPr>
      </w:pPr>
      <w:r>
        <w:rPr>
          <w:lang w:val="es-ES"/>
        </w:rPr>
        <w:t>R4. Reconocer en la acreditación la presencia española en la gobernanza de los congresos</w:t>
      </w:r>
    </w:p>
    <w:p w14:paraId="6CE24EEB" w14:textId="0DB40B4E" w:rsidR="006D15B4" w:rsidRPr="006A3EBA" w:rsidRDefault="0026364B">
      <w:pPr>
        <w:spacing w:after="120"/>
        <w:jc w:val="both"/>
        <w:rPr>
          <w:lang w:val="es-ES"/>
        </w:rPr>
      </w:pPr>
      <w:r>
        <w:rPr>
          <w:lang w:val="es-ES"/>
        </w:rPr>
        <w:t>En los criterios de acreditación, ANECA debe reconocer explícitamente como mérito evaluable la participación de investigadores españoles en comités de programa, steering committees, comités editoriales y en roles de organización de los congresos ICORE A*/A, en pie de igualdad con otras responsabilidades de gestión y liderazgo científico ya reconocidas en otros campos de evaluación. El encaje natural de esta medida es la acreditación, que valora la trayectoria; los sexenios evalúan aportaciones concretas y, en ellos, este tipo de participación solo puede aparecer como indicio del reconocimiento de la persona en su comunidad. Este reconocimiento no requiere financiación adicional ni la intervención de otros actores: basta con incorporarlo a los criterios de valoración de la actividad investigadora en la acreditación, de modo que dirigir, coordinar u organizar se reconozca con el mismo peso que publicar.</w:t>
      </w:r>
    </w:p>
    <w:p w14:paraId="40FA82DC" w14:textId="77777777" w:rsidR="006D15B4" w:rsidRPr="006A3EBA" w:rsidRDefault="0026364B" w:rsidP="006B41DD">
      <w:pPr>
        <w:pStyle w:val="Ttulo2"/>
        <w:spacing w:before="180" w:after="60"/>
        <w:rPr>
          <w:lang w:val="es-ES"/>
        </w:rPr>
      </w:pPr>
      <w:r>
        <w:rPr>
          <w:lang w:val="es-ES"/>
        </w:rPr>
        <w:t>R5. Medir el efecto de la reforma con datos, incluido el liderazgo</w:t>
      </w:r>
    </w:p>
    <w:p w14:paraId="6D603691" w14:textId="60A0E7A9" w:rsidR="00522D04" w:rsidRDefault="0026364B" w:rsidP="00727A4C">
      <w:pPr>
        <w:spacing w:after="120"/>
        <w:jc w:val="both"/>
        <w:rPr>
          <w:b/>
          <w:bCs/>
          <w:color w:val="1F3864"/>
          <w:sz w:val="22"/>
          <w:szCs w:val="24"/>
          <w:lang w:val="es-ES"/>
        </w:rPr>
      </w:pPr>
      <w:r>
        <w:rPr>
          <w:lang w:val="es-ES"/>
        </w:rPr>
        <w:t>Debe establecerse, con apoyo de la SCIE, un seguimiento bibliométrico periódico de la presencia y el liderazgo españoles en los congresos CORE/ICORE A*/A, replicando la metodología ya desarrollada en [2] y ampliándola para incorporar los indicadores de liderazgo descritos en el diagnóstico (§1.4): autoría principal y sénior, coordinación de proyectos y artefactos, y participación en comités de programa y en órganos de gobierno. Este seguimiento permitirá comprobar en los próximos años si la reforma corrige la tendencia de presencia y, sobre todo, si consigue cerrar el vacío de liderazgo que hoy ni siquiera se mide. No requiere crear un nuevo organismo: basta con encargar su publicación periódica a la propia SCIE o a la AEI, reutilizando el pipeline abierto y reproducible ya disponible.</w:t>
      </w:r>
    </w:p>
    <w:p w14:paraId="0BDFBAF2" w14:textId="2C46D2DE" w:rsidR="006D15B4" w:rsidRPr="006A3EBA" w:rsidRDefault="0026364B" w:rsidP="00F1590F">
      <w:pPr>
        <w:pStyle w:val="Ttulo1"/>
        <w:spacing w:before="240" w:after="120"/>
        <w:rPr>
          <w:lang w:val="es-ES"/>
        </w:rPr>
      </w:pPr>
      <w:r>
        <w:rPr>
          <w:lang w:val="es-ES"/>
        </w:rPr>
        <w:t>4. Plan de actuación</w:t>
      </w:r>
    </w:p>
    <w:p w14:paraId="21139A7A" w14:textId="544EDDAA" w:rsidR="006D15B4" w:rsidRPr="006A3EBA" w:rsidRDefault="0026364B" w:rsidP="00F1590F">
      <w:pPr>
        <w:pStyle w:val="Ttulo2"/>
        <w:spacing w:before="120" w:after="60"/>
        <w:rPr>
          <w:lang w:val="es-ES"/>
        </w:rPr>
      </w:pPr>
      <w:r>
        <w:rPr>
          <w:lang w:val="es-ES"/>
        </w:rPr>
        <w:t>Fase 1 — Corto plazo (próxima convocatoria)</w:t>
      </w:r>
    </w:p>
    <w:p w14:paraId="0819F584" w14:textId="7A869E93" w:rsidR="006D15B4" w:rsidRPr="006A3EBA" w:rsidRDefault="0026364B">
      <w:pPr>
        <w:pStyle w:val="Prrafodelista"/>
        <w:numPr>
          <w:ilvl w:val="0"/>
          <w:numId w:val="2"/>
        </w:numPr>
        <w:jc w:val="both"/>
        <w:rPr>
          <w:lang w:val="es-ES"/>
        </w:rPr>
      </w:pPr>
      <w:r>
        <w:rPr>
          <w:lang w:val="es-ES"/>
        </w:rPr>
        <w:t>Incorporar a los criterios de acreditación y a la convocatoria de sexenios de 2026 —o, a más tardar, a la de 2027— la redacción propuesta anteriormente, reconociendo los congresos de calidad en informática como aportaciones ordinarias (recomendación R1).</w:t>
      </w:r>
    </w:p>
    <w:p w14:paraId="6AB45D45" w14:textId="77777777" w:rsidR="00E75E4A" w:rsidRPr="006A3EBA" w:rsidRDefault="00E75E4A" w:rsidP="00E75E4A">
      <w:pPr>
        <w:pStyle w:val="Prrafodelista"/>
        <w:numPr>
          <w:ilvl w:val="0"/>
          <w:numId w:val="2"/>
        </w:numPr>
        <w:jc w:val="both"/>
        <w:rPr>
          <w:lang w:val="es-ES"/>
        </w:rPr>
      </w:pPr>
      <w:r>
        <w:rPr>
          <w:lang w:val="es-ES"/>
        </w:rPr>
        <w:t>Extender el criterio a las comisiones de acreditación de ANECA, en todas las figuras docentes y contractuales.</w:t>
      </w:r>
    </w:p>
    <w:p w14:paraId="66EC8F75" w14:textId="26ABBC7A" w:rsidR="006D15B4" w:rsidRPr="006A3EBA" w:rsidRDefault="0026364B">
      <w:pPr>
        <w:pStyle w:val="Prrafodelista"/>
        <w:numPr>
          <w:ilvl w:val="0"/>
          <w:numId w:val="2"/>
        </w:numPr>
        <w:jc w:val="both"/>
        <w:rPr>
          <w:lang w:val="es-ES"/>
        </w:rPr>
      </w:pPr>
      <w:r>
        <w:rPr>
          <w:lang w:val="es-ES"/>
        </w:rPr>
        <w:t>Incluir en el formulario de solicitud un campo específico para la narrativa de impacto y liderazgo en las aportaciones a congresos (recomendación R3).</w:t>
      </w:r>
    </w:p>
    <w:p w14:paraId="1C4878C9" w14:textId="27E1F778" w:rsidR="006D15B4" w:rsidRPr="006A3EBA" w:rsidRDefault="0026364B">
      <w:pPr>
        <w:pStyle w:val="Prrafodelista"/>
        <w:numPr>
          <w:ilvl w:val="0"/>
          <w:numId w:val="2"/>
        </w:numPr>
        <w:spacing w:after="160"/>
        <w:jc w:val="both"/>
        <w:rPr>
          <w:lang w:val="es-ES"/>
        </w:rPr>
      </w:pPr>
      <w:r>
        <w:rPr>
          <w:lang w:val="es-ES"/>
        </w:rPr>
        <w:t>Reconocer, en los criterios de acreditación, la participación en comités de programa, steering committees y roles editoriales de los congresos ICORE A*/A como mérito de liderazgo (recomendación R4).</w:t>
      </w:r>
    </w:p>
    <w:p w14:paraId="234E8579" w14:textId="77777777" w:rsidR="006D15B4" w:rsidRDefault="0026364B" w:rsidP="00F1590F">
      <w:pPr>
        <w:pStyle w:val="Ttulo2"/>
        <w:spacing w:before="120" w:after="60"/>
      </w:pPr>
      <w:r>
        <w:t>Fase 2 — Medio plazo (1-2 años)</w:t>
      </w:r>
    </w:p>
    <w:p w14:paraId="75CBD639" w14:textId="48C7853C" w:rsidR="006D15B4" w:rsidRPr="006A3EBA" w:rsidRDefault="0026364B" w:rsidP="002B444A">
      <w:pPr>
        <w:pStyle w:val="Prrafodelista"/>
        <w:numPr>
          <w:ilvl w:val="0"/>
          <w:numId w:val="2"/>
        </w:numPr>
        <w:jc w:val="both"/>
        <w:rPr>
          <w:lang w:val="es-ES"/>
        </w:rPr>
      </w:pPr>
      <w:r>
        <w:rPr>
          <w:lang w:val="es-ES"/>
        </w:rPr>
        <w:t>Publicar el primer informe periódico de seguimiento bibliométrico previsto en la recomendación R5, ampliado con los indicadores de liderazgo del diagnóstico (§1.4), y tomando como línea de partida los datos de 2021-2025 de [2].</w:t>
      </w:r>
    </w:p>
    <w:p w14:paraId="27E65114" w14:textId="15B0F83B" w:rsidR="006D15B4" w:rsidRPr="006A3EBA" w:rsidRDefault="0026364B" w:rsidP="002B444A">
      <w:pPr>
        <w:pStyle w:val="Prrafodelista"/>
        <w:numPr>
          <w:ilvl w:val="0"/>
          <w:numId w:val="2"/>
        </w:numPr>
        <w:spacing w:after="160"/>
        <w:jc w:val="both"/>
        <w:rPr>
          <w:lang w:val="es-ES"/>
        </w:rPr>
      </w:pPr>
      <w:r>
        <w:rPr>
          <w:lang w:val="es-ES"/>
        </w:rPr>
        <w:t>Trasladar a la Secretaría de Estado de Universidades y a la Agencia Estatal de Investigación la propuesta de coherencia interagencial y emitir la nota de orientación a las agencias autonómicas y universidades (recomendación R2).</w:t>
      </w:r>
    </w:p>
    <w:p w14:paraId="49C13638" w14:textId="77777777" w:rsidR="006D15B4" w:rsidRDefault="0026364B" w:rsidP="00F1590F">
      <w:pPr>
        <w:pStyle w:val="Ttulo2"/>
        <w:spacing w:before="120" w:after="60"/>
      </w:pPr>
      <w:r>
        <w:t>Fase 3 — Largo plazo (3-5 años)</w:t>
      </w:r>
    </w:p>
    <w:p w14:paraId="1449E6E7" w14:textId="7FD17639" w:rsidR="006D15B4" w:rsidRPr="006A3EBA" w:rsidRDefault="0026364B" w:rsidP="002B444A">
      <w:pPr>
        <w:pStyle w:val="Prrafodelista"/>
        <w:numPr>
          <w:ilvl w:val="0"/>
          <w:numId w:val="2"/>
        </w:numPr>
        <w:jc w:val="both"/>
        <w:rPr>
          <w:lang w:val="es-ES"/>
        </w:rPr>
      </w:pPr>
      <w:r>
        <w:rPr>
          <w:lang w:val="es-ES"/>
        </w:rPr>
        <w:lastRenderedPageBreak/>
        <w:t>Comprobar, con los datos del seguimiento periódico, si la reforma ha logrado recuperar la cuota relativa española, prestando especial atención al nivel A* y a las áreas con mayor caída.</w:t>
      </w:r>
    </w:p>
    <w:p w14:paraId="722BD640" w14:textId="3935C764" w:rsidR="006D15B4" w:rsidRPr="006A3EBA" w:rsidRDefault="0026364B" w:rsidP="002B444A">
      <w:pPr>
        <w:pStyle w:val="Prrafodelista"/>
        <w:numPr>
          <w:ilvl w:val="0"/>
          <w:numId w:val="2"/>
        </w:numPr>
        <w:jc w:val="both"/>
        <w:rPr>
          <w:lang w:val="es-ES"/>
        </w:rPr>
      </w:pPr>
      <w:r>
        <w:rPr>
          <w:lang w:val="es-ES"/>
        </w:rPr>
        <w:t>Impulsar, junto a las agencias autonómicas de calidad universitaria, las escuelas de doctorado, las universidades, los departamentos y los centros e institutos de investigación, la extensión coherente del criterio a toda la carrera investigadora, dado el efecto de arrastre descrito en el diagnóstico.</w:t>
      </w:r>
    </w:p>
    <w:p w14:paraId="16C74725" w14:textId="4E25EC51" w:rsidR="006D15B4" w:rsidRPr="006A3EBA" w:rsidRDefault="0026364B" w:rsidP="002B444A">
      <w:pPr>
        <w:pStyle w:val="Prrafodelista"/>
        <w:numPr>
          <w:ilvl w:val="0"/>
          <w:numId w:val="2"/>
        </w:numPr>
        <w:spacing w:after="240"/>
        <w:jc w:val="both"/>
        <w:rPr>
          <w:lang w:val="es-ES"/>
        </w:rPr>
      </w:pPr>
      <w:r>
        <w:rPr>
          <w:lang w:val="es-ES"/>
        </w:rPr>
        <w:t>Trasladar a AEI, MICIU y comunidades autónomas la conveniencia de acompañar esta reforma evaluativa con medidas de financiación para el acceso a congresos, la formación doctoral y instrumentos específicos orientados al liderazgo, conforme al principio de coherencia sistémica (P4), cuyo desarrollo concreto excede el ámbito de ANECA y CNEAI y corresponde a dichos organismos.</w:t>
      </w:r>
    </w:p>
    <w:p w14:paraId="76010D83" w14:textId="77777777" w:rsidR="006D15B4" w:rsidRPr="006A3EBA" w:rsidRDefault="0026364B" w:rsidP="00F1590F">
      <w:pPr>
        <w:pStyle w:val="Ttulo1"/>
        <w:spacing w:before="240" w:after="120"/>
        <w:rPr>
          <w:lang w:val="es-ES"/>
        </w:rPr>
      </w:pPr>
      <w:r>
        <w:rPr>
          <w:lang w:val="es-ES"/>
        </w:rPr>
        <w:t>Conclusión</w:t>
      </w:r>
    </w:p>
    <w:p w14:paraId="217047D6" w14:textId="0943ADE1" w:rsidR="006D15B4" w:rsidRPr="006A3EBA" w:rsidRDefault="0026364B">
      <w:pPr>
        <w:spacing w:after="120"/>
        <w:jc w:val="both"/>
        <w:rPr>
          <w:lang w:val="es-ES"/>
        </w:rPr>
      </w:pPr>
      <w:r>
        <w:rPr>
          <w:lang w:val="es-ES"/>
        </w:rPr>
        <w:t>La SCIE no plantea esta propuesta como un privilegio para la informática, sino como la corrección de un error de diseño que lleva años produciendo un resultado previsible: investigadores que eligen el canal de publicación administrativamente rentable en lugar del científicamente correcto. Esa corrección es coherente con la práctica real de la disciplina, sobre todo en entornos internacionales, con los compromisos que la propia ANECA asumió al adherirse a CoARA y con un precedente normativo explícito y reciente: los criterios de 2021 y 2022, que ya permitían valorar estos congresos como las revistas. El diagnóstico bibliométrico no establece una relación causal, pero muestra que España no ha acompañado el crecimiento europeo en los foros de referencia de la disciplina, que son precisamente los que esta reforma propone reconocer. La reforma evaluativa es el primer paso y el de mayor impacto inmediato sobre los incentivos del sistema; acompañada de las medidas de financiación y formación que corresponden a otros actores, puede ser también el punto de partida de una recuperación sostenida.</w:t>
      </w:r>
    </w:p>
    <w:p w14:paraId="6B80B049" w14:textId="77777777" w:rsidR="006D15B4" w:rsidRPr="00F1590F" w:rsidRDefault="0026364B" w:rsidP="00F1590F">
      <w:pPr>
        <w:pStyle w:val="Ttulo1"/>
        <w:spacing w:before="240" w:after="120"/>
        <w:rPr>
          <w:szCs w:val="26"/>
          <w:lang w:val="es-ES"/>
        </w:rPr>
      </w:pPr>
      <w:r>
        <w:rPr>
          <w:szCs w:val="26"/>
          <w:lang w:val="es-ES"/>
        </w:rPr>
        <w:t>Referencias</w:t>
      </w:r>
    </w:p>
    <w:p w14:paraId="37C02A32" w14:textId="3B9EB4B7" w:rsidR="006D15B4" w:rsidRPr="000A27CA" w:rsidRDefault="0026364B" w:rsidP="00345995">
      <w:pPr>
        <w:spacing w:after="80"/>
        <w:ind w:left="426" w:hanging="426"/>
        <w:rPr>
          <w:lang w:val="es-ES"/>
        </w:rPr>
      </w:pPr>
      <w:r>
        <w:rPr>
          <w:lang w:val="es-ES"/>
        </w:rPr>
        <w:t xml:space="preserve">[1] </w:t>
      </w:r>
      <w:r>
        <w:rPr>
          <w:lang w:val="es-ES"/>
        </w:rPr>
        <w:tab/>
        <w:t xml:space="preserve">SCIE. </w:t>
      </w:r>
      <w:r>
        <w:rPr>
          <w:i/>
          <w:iCs/>
          <w:lang w:val="es-ES"/>
        </w:rPr>
        <w:t xml:space="preserve">“Las publicaciones en congresos de informática: hacia una evaluación científica adecuada a la disciplina” </w:t>
      </w:r>
      <w:r>
        <w:rPr>
          <w:lang w:val="es-ES"/>
        </w:rPr>
        <w:t xml:space="preserve">Versión 1.1, 23/10/2026.  </w:t>
      </w:r>
      <w:hyperlink r:id="rId8" w:history="1">
        <w:r>
          <w:rPr>
            <w:rStyle w:val="Hipervnculo"/>
            <w:lang w:val="es-ES"/>
          </w:rPr>
          <w:t>https://tinyurl.com/EvaluacionCongresosInf</w:t>
        </w:r>
      </w:hyperlink>
      <w:r>
        <w:rPr>
          <w:lang w:val="es-ES"/>
        </w:rPr>
        <w:t xml:space="preserve">  </w:t>
      </w:r>
    </w:p>
    <w:p w14:paraId="621FA338" w14:textId="679267A9" w:rsidR="006D15B4" w:rsidRPr="000A27CA" w:rsidRDefault="0026364B" w:rsidP="00345995">
      <w:pPr>
        <w:ind w:left="426" w:hanging="426"/>
        <w:rPr>
          <w:lang w:val="es-ES"/>
        </w:rPr>
      </w:pPr>
      <w:r>
        <w:rPr>
          <w:lang w:val="es-ES"/>
        </w:rPr>
        <w:t>[2]</w:t>
      </w:r>
      <w:r>
        <w:rPr>
          <w:lang w:val="es-ES"/>
        </w:rPr>
        <w:tab/>
        <w:t>SCIE.</w:t>
      </w:r>
      <w:r>
        <w:rPr>
          <w:b/>
          <w:bCs/>
          <w:lang w:val="es-ES"/>
        </w:rPr>
        <w:t xml:space="preserve"> </w:t>
      </w:r>
      <w:r>
        <w:rPr>
          <w:i/>
          <w:iCs/>
          <w:lang w:val="es-ES"/>
        </w:rPr>
        <w:t xml:space="preserve">“Presencia española en congresos internacionales de informática. Análisis bibliométrico del corpus CORE/ICORE 2026 A* y A”. </w:t>
      </w:r>
      <w:r>
        <w:rPr>
          <w:lang w:val="es-ES"/>
        </w:rPr>
        <w:t xml:space="preserve">Versión 2.0, 23/10/2026. </w:t>
      </w:r>
      <w:hyperlink r:id="rId9" w:history="1">
        <w:r>
          <w:rPr>
            <w:rStyle w:val="Hipervnculo"/>
            <w:lang w:val="es-ES"/>
          </w:rPr>
          <w:t>https://tinyurl.com/InformePublicaciones</w:t>
        </w:r>
      </w:hyperlink>
      <w:r>
        <w:rPr>
          <w:lang w:val="es-ES"/>
        </w:rPr>
        <w:t xml:space="preserve">  </w:t>
      </w:r>
    </w:p>
    <w:sectPr w:rsidR="006D15B4" w:rsidRPr="000A27CA" w:rsidSect="00522D04">
      <w:headerReference w:type="default" r:id="rId10"/>
      <w:footerReference w:type="default" r:id="rId11"/>
      <w:pgSz w:w="11906" w:h="16838"/>
      <w:pgMar w:top="1276"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093C8" w14:textId="77777777" w:rsidR="00EA4498" w:rsidRDefault="00EA4498">
      <w:r>
        <w:separator/>
      </w:r>
    </w:p>
  </w:endnote>
  <w:endnote w:type="continuationSeparator" w:id="0">
    <w:p w14:paraId="274A39BF" w14:textId="77777777" w:rsidR="00EA4498" w:rsidRDefault="00EA4498">
      <w:r>
        <w:continuationSeparator/>
      </w:r>
    </w:p>
  </w:endnote>
  <w:endnote w:type="continuationNotice" w:id="1">
    <w:p w14:paraId="4B788FC3" w14:textId="77777777" w:rsidR="00EA4498" w:rsidRDefault="00EA44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ED11" w14:textId="1190ECAE" w:rsidR="004D686F" w:rsidRDefault="00727A4C">
    <w:pPr>
      <w:pBdr>
        <w:top w:val="single" w:sz="4" w:space="1" w:color="CCCCCC"/>
      </w:pBdr>
      <w:tabs>
        <w:tab w:val="right" w:pos="9356"/>
      </w:tabs>
      <w:jc w:val="center"/>
      <w:rPr>
        <w:lang w:val="es-ES"/>
      </w:rPr>
    </w:pPr>
    <w:r>
      <w:rPr>
        <w:color w:val="888888"/>
        <w:sz w:val="16"/>
        <w:szCs w:val="16"/>
        <w:lang w:val="es-ES"/>
      </w:rPr>
      <w:t>13</w:t>
    </w:r>
    <w:r w:rsidR="00ED7F6F">
      <w:rPr>
        <w:color w:val="888888"/>
        <w:sz w:val="16"/>
        <w:szCs w:val="16"/>
        <w:lang w:val="es-ES"/>
      </w:rPr>
      <w:t>/</w:t>
    </w:r>
    <w:r>
      <w:rPr>
        <w:color w:val="888888"/>
        <w:sz w:val="16"/>
        <w:szCs w:val="16"/>
        <w:lang w:val="es-ES"/>
      </w:rPr>
      <w:t>10</w:t>
    </w:r>
    <w:r w:rsidR="00ED7F6F">
      <w:rPr>
        <w:color w:val="888888"/>
        <w:sz w:val="16"/>
        <w:szCs w:val="16"/>
        <w:lang w:val="es-ES"/>
      </w:rPr>
      <w:t>/2026</w:t>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D837E" w14:textId="77777777" w:rsidR="00EA4498" w:rsidRDefault="00EA4498">
      <w:r>
        <w:separator/>
      </w:r>
    </w:p>
  </w:footnote>
  <w:footnote w:type="continuationSeparator" w:id="0">
    <w:p w14:paraId="4BF96A35" w14:textId="77777777" w:rsidR="00EA4498" w:rsidRDefault="00EA4498">
      <w:r>
        <w:continuationSeparator/>
      </w:r>
    </w:p>
  </w:footnote>
  <w:footnote w:type="continuationNotice" w:id="1">
    <w:p w14:paraId="691854E7" w14:textId="77777777" w:rsidR="00EA4498" w:rsidRDefault="00EA44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FDF9A" w14:textId="77777777" w:rsidR="00CF3FFD" w:rsidRDefault="00CF3F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8072D"/>
    <w:rsid w:val="000A27CA"/>
    <w:rsid w:val="000B1712"/>
    <w:rsid w:val="00100544"/>
    <w:rsid w:val="00134C07"/>
    <w:rsid w:val="001D5049"/>
    <w:rsid w:val="001E027A"/>
    <w:rsid w:val="001E7B93"/>
    <w:rsid w:val="0025516E"/>
    <w:rsid w:val="0026347B"/>
    <w:rsid w:val="0026364B"/>
    <w:rsid w:val="002811B7"/>
    <w:rsid w:val="002823AA"/>
    <w:rsid w:val="002B444A"/>
    <w:rsid w:val="00345995"/>
    <w:rsid w:val="003D224F"/>
    <w:rsid w:val="004719ED"/>
    <w:rsid w:val="00480A86"/>
    <w:rsid w:val="004A353A"/>
    <w:rsid w:val="004D686F"/>
    <w:rsid w:val="004E1631"/>
    <w:rsid w:val="00514B8C"/>
    <w:rsid w:val="00522D04"/>
    <w:rsid w:val="00597D5C"/>
    <w:rsid w:val="005B080D"/>
    <w:rsid w:val="005C7132"/>
    <w:rsid w:val="005D7C54"/>
    <w:rsid w:val="005E7382"/>
    <w:rsid w:val="006204D7"/>
    <w:rsid w:val="00694EEB"/>
    <w:rsid w:val="006A3EBA"/>
    <w:rsid w:val="006B41DD"/>
    <w:rsid w:val="006D15B4"/>
    <w:rsid w:val="00727A4C"/>
    <w:rsid w:val="00752089"/>
    <w:rsid w:val="00855285"/>
    <w:rsid w:val="008B101C"/>
    <w:rsid w:val="008C7B63"/>
    <w:rsid w:val="00902506"/>
    <w:rsid w:val="0093174B"/>
    <w:rsid w:val="00972035"/>
    <w:rsid w:val="009746ED"/>
    <w:rsid w:val="0098289F"/>
    <w:rsid w:val="00987FD8"/>
    <w:rsid w:val="009E2497"/>
    <w:rsid w:val="009F0DF5"/>
    <w:rsid w:val="009F7786"/>
    <w:rsid w:val="00A13DAD"/>
    <w:rsid w:val="00A177C3"/>
    <w:rsid w:val="00A31E16"/>
    <w:rsid w:val="00A524EB"/>
    <w:rsid w:val="00A93F65"/>
    <w:rsid w:val="00AA02B2"/>
    <w:rsid w:val="00AA6B37"/>
    <w:rsid w:val="00B33049"/>
    <w:rsid w:val="00B7457F"/>
    <w:rsid w:val="00BE0EB1"/>
    <w:rsid w:val="00BE4484"/>
    <w:rsid w:val="00BE5D80"/>
    <w:rsid w:val="00C00392"/>
    <w:rsid w:val="00C12837"/>
    <w:rsid w:val="00C94520"/>
    <w:rsid w:val="00CF19A2"/>
    <w:rsid w:val="00CF3FFD"/>
    <w:rsid w:val="00D57005"/>
    <w:rsid w:val="00D86FE3"/>
    <w:rsid w:val="00DD04AF"/>
    <w:rsid w:val="00E75E4A"/>
    <w:rsid w:val="00E77253"/>
    <w:rsid w:val="00E8765C"/>
    <w:rsid w:val="00EA4498"/>
    <w:rsid w:val="00EB0501"/>
    <w:rsid w:val="00EB3B5E"/>
    <w:rsid w:val="00ED7F6F"/>
    <w:rsid w:val="00F1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374A0"/>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 w:type="character" w:styleId="Mencinsinresolver">
    <w:name w:val="Unresolved Mention"/>
    <w:basedOn w:val="Fuentedeprrafopredeter"/>
    <w:uiPriority w:val="99"/>
    <w:semiHidden/>
    <w:unhideWhenUsed/>
    <w:rsid w:val="002823AA"/>
    <w:rPr>
      <w:color w:val="605E5C"/>
      <w:shd w:val="clear" w:color="auto" w:fill="E1DFDD"/>
    </w:rPr>
  </w:style>
  <w:style w:type="character" w:styleId="Hipervnculovisitado">
    <w:name w:val="FollowedHyperlink"/>
    <w:basedOn w:val="Fuentedeprrafopredeter"/>
    <w:uiPriority w:val="99"/>
    <w:semiHidden/>
    <w:unhideWhenUsed/>
    <w:rsid w:val="009E2497"/>
    <w:rPr>
      <w:color w:val="954F72" w:themeColor="followedHyperlink"/>
      <w:u w:val="single"/>
    </w:rPr>
  </w:style>
  <w:style w:type="paragraph" w:styleId="Revisin">
    <w:name w:val="Revision"/>
    <w:hidden/>
    <w:uiPriority w:val="99"/>
    <w:semiHidden/>
    <w:rsid w:val="00CF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EvaluacionCongresosIn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inyurl.com/InformePublicacio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3867</Words>
  <Characters>22043</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7</cp:revision>
  <cp:lastPrinted>2026-07-03T05:48:00Z</cp:lastPrinted>
  <dcterms:created xsi:type="dcterms:W3CDTF">2026-10-10T11:24:00Z</dcterms:created>
  <dcterms:modified xsi:type="dcterms:W3CDTF">2026-10-23T09:19:00Z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