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9AC60F1" w14:textId="612DD593" w:rsidR="006D15B4" w:rsidRPr="006A3EBA" w:rsidRDefault="005E7382">
      <w:pPr>
        <w:spacing w:after="60"/>
        <w:rPr>
          <w:lang w:val="es-ES"/>
        </w:rPr>
      </w:pPr>
      <w:r>
        <w:rPr>
          <w:noProof/>
          <w:lang w:val="es-ES"/>
        </w:rPr>
        <w:drawing>
          <wp:anchor distT="0" distB="0" distL="114300" distR="114300" simplePos="0" relativeHeight="251659264" behindDoc="1" locked="0" layoutInCell="1" allowOverlap="1" wp14:anchorId="3FB9B654" wp14:editId="004F64DD">
            <wp:simplePos x="0" y="0"/>
            <wp:positionH relativeFrom="margin">
              <wp:posOffset>4438650</wp:posOffset>
            </wp:positionH>
            <wp:positionV relativeFrom="paragraph">
              <wp:posOffset>-598805</wp:posOffset>
            </wp:positionV>
            <wp:extent cx="1231270" cy="479061"/>
            <wp:effectExtent l="0" t="0" r="6985" b="0"/>
            <wp:wrapNone/>
            <wp:docPr id="3" name="Imagen 3" descr="Un dibujo de un perr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Un dibujo de un perro&#10;&#10;Descripción generada automáticamente con confianza media"/>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231270" cy="479061"/>
                    </a:xfrm>
                    <a:prstGeom prst="rect">
                      <a:avLst/>
                    </a:prstGeom>
                    <a:noFill/>
                    <a:ln>
                      <a:noFill/>
                    </a:ln>
                  </pic:spPr>
                </pic:pic>
              </a:graphicData>
            </a:graphic>
            <wp14:sizeRelH relativeFrom="page">
              <wp14:pctWidth>0</wp14:pctWidth>
            </wp14:sizeRelH>
            <wp14:sizeRelV relativeFrom="page">
              <wp14:pctHeight>0</wp14:pctHeight>
            </wp14:sizeRelV>
          </wp:anchor>
        </w:drawing>
      </w:r>
      <w:r w:rsidR="0026364B">
        <w:rPr>
          <w:b/>
          <w:bCs/>
          <w:color w:val="5A5A5A"/>
          <w:sz w:val="18"/>
          <w:lang w:val="es-ES"/>
        </w:rPr>
        <w:t>Sociedad Científica Informática de España (SCIE)</w:t>
      </w:r>
    </w:p>
    <w:p w14:paraId="34B0B30F" w14:textId="321779B0" w:rsidR="00D86FE3" w:rsidRPr="00A524EB" w:rsidRDefault="00D86FE3" w:rsidP="00A524EB">
      <w:pPr>
        <w:spacing w:after="80"/>
        <w:ind w:right="95"/>
        <w:rPr>
          <w:b/>
          <w:bCs/>
          <w:color w:val="1F3864"/>
          <w:sz w:val="36"/>
          <w:szCs w:val="36"/>
          <w:lang w:val="es-ES"/>
        </w:rPr>
      </w:pPr>
      <w:r w:rsidRPr="00A524EB">
        <w:rPr>
          <w:b/>
          <w:bCs/>
          <w:color w:val="1F3864"/>
          <w:sz w:val="36"/>
          <w:szCs w:val="36"/>
          <w:lang w:val="es-ES"/>
        </w:rPr>
        <w:t>El reconocimiento de los congresos de Informática y el liderazgo científico español: diagnóstico, recomendaciones y plan de actuación</w:t>
      </w:r>
    </w:p>
    <w:p w14:paraId="6C45634F" w14:textId="1FEF0C6E" w:rsidR="006D15B4" w:rsidRPr="006A3EBA" w:rsidRDefault="00D86FE3">
      <w:pPr>
        <w:spacing w:after="240"/>
        <w:rPr>
          <w:lang w:val="es-ES"/>
        </w:rPr>
      </w:pPr>
      <w:r w:rsidRPr="00D86FE3">
        <w:rPr>
          <w:i/>
          <w:iCs/>
          <w:color w:val="2E5395"/>
          <w:sz w:val="22"/>
          <w:szCs w:val="24"/>
          <w:lang w:val="es-ES"/>
        </w:rPr>
        <w:t>Propuesta dirigida a ANECA, CNEAI y Ministerio</w:t>
      </w:r>
    </w:p>
    <w:p w14:paraId="3CFFB194" w14:textId="77777777" w:rsidR="006D15B4" w:rsidRPr="006A3EBA" w:rsidRDefault="006D15B4">
      <w:pPr>
        <w:pBdr>
          <w:bottom w:val="single" w:sz="6" w:space="4" w:color="2E75B6"/>
        </w:pBdr>
        <w:spacing w:after="200"/>
        <w:rPr>
          <w:lang w:val="es-ES"/>
        </w:rPr>
      </w:pPr>
    </w:p>
    <w:p w14:paraId="384C598D" w14:textId="60D7DA5B" w:rsidR="006D15B4" w:rsidRPr="0025516E" w:rsidRDefault="0026364B">
      <w:pPr>
        <w:pStyle w:val="Ttulo1"/>
        <w:rPr>
          <w:lang w:val="es-ES"/>
        </w:rPr>
      </w:pPr>
      <w:r>
        <w:rPr>
          <w:lang w:val="es-ES"/>
        </w:rPr>
        <w:t>Resumen ejecutivo</w:t>
      </w:r>
    </w:p>
    <w:p w14:paraId="64144771" w14:textId="2CE9070E" w:rsidR="006D15B4" w:rsidRPr="006A3EBA" w:rsidRDefault="0026364B">
      <w:pPr>
        <w:spacing w:after="120"/>
        <w:jc w:val="both"/>
        <w:rPr>
          <w:lang w:val="es-ES"/>
        </w:rPr>
      </w:pPr>
      <w:r>
        <w:rPr>
          <w:lang w:val="es-ES"/>
        </w:rPr>
        <w:t>La Informática tiene una característica que la distingue de la mayoría de las disciplinas científicas: en buena parte de sus áreas principales, los congresos selectivos —no las revistas— son el canal donde se validan, se publican y se dan a conocer en primer lugar los resultados de investigación. Así lo documenta el informe de fundamentación [1]. A pesar de ello, las Resoluciones CNEAI de 2023 y 2024 siguen tratando las aportaciones a congresos como extraordinarias, es decir, como publicaciones de segunda categoría salvo que un evaluador decida lo contrario.</w:t>
      </w:r>
    </w:p>
    <w:p w14:paraId="7905B65B" w14:textId="0E8D6379" w:rsidR="006A3EBA" w:rsidRDefault="0026364B" w:rsidP="006A3EBA">
      <w:pPr>
        <w:spacing w:after="120"/>
        <w:jc w:val="both"/>
        <w:rPr>
          <w:lang w:val="es-ES"/>
        </w:rPr>
      </w:pPr>
      <w:r>
        <w:rPr>
          <w:lang w:val="es-ES"/>
        </w:rPr>
        <w:t xml:space="preserve">El informe bibliométrico [2], que analiza 170 congresos CORE/ICORE A* y A entre 2001 y 2025, muestra que España publica más artículos en términos absolutos que hace veinte años, pero pierde peso relativo dentro de Europa desde 2016: su cuota cae del 7,62 % en 2006-2010 al 4,23 % en 2021-2025, y su posición baja del 5.º al 8.º puesto europeo, con una caída todavía mayor en los congresos de máxima selectividad (A*), donde España pasa del 5.º al 9.º puesto. El propio informe bibliométrico [2] advierte de que mide presencia por afiliación, no impacto ni liderazgo, y no permite establecer una relación causal con el tratamiento normativo de los congresos. La SCIE no presenta ambos hechos como una relación de causa y efecto, sino como dos diagnósticos —uno disciplinar y otro bibliométrico— que apuntan en la misma dirección y que, juntos, dan urgencia a una corrección que, por motivos de coherencia con la práctica científica de la disciplina, sería necesaria por sí sola. </w:t>
      </w:r>
    </w:p>
    <w:p w14:paraId="6B31A802" w14:textId="77777777" w:rsidR="006A3EBA" w:rsidRPr="00673C1E" w:rsidRDefault="006A3EBA" w:rsidP="006A3EBA">
      <w:pPr>
        <w:spacing w:after="120"/>
        <w:jc w:val="both"/>
        <w:rPr>
          <w:lang w:val="es-ES"/>
        </w:rPr>
      </w:pPr>
      <w:r>
        <w:rPr>
          <w:lang w:val="es-ES"/>
        </w:rPr>
        <w:t>Este documento propone a ANECA, CNEAI y al Ministerio un conjunto de principios, recomendaciones y un plan de actuación en tres fases, con un objetivo doble: recuperar presencia española en los congresos de primer nivel y, sobre todo, aumentar el liderazgo científico desde instituciones españolas, entendido como autoría principal y sénior, coordinación de proyectos y de artefactos de investigación, y presencia en la gobernanza de los foros internacionales.</w:t>
      </w:r>
    </w:p>
    <w:p w14:paraId="6B0744BE" w14:textId="77777777" w:rsidR="006D15B4" w:rsidRPr="006A3EBA" w:rsidRDefault="0026364B">
      <w:pPr>
        <w:pStyle w:val="Ttulo1"/>
        <w:rPr>
          <w:lang w:val="es-ES"/>
        </w:rPr>
      </w:pPr>
      <w:r>
        <w:rPr>
          <w:lang w:val="es-ES"/>
        </w:rPr>
        <w:t>1. Diagnóstico</w:t>
      </w:r>
    </w:p>
    <w:p w14:paraId="10E51C25" w14:textId="77777777" w:rsidR="006D15B4" w:rsidRPr="006A3EBA" w:rsidRDefault="0026364B">
      <w:pPr>
        <w:pStyle w:val="Ttulo2"/>
        <w:rPr>
          <w:lang w:val="es-ES"/>
        </w:rPr>
      </w:pPr>
      <w:r>
        <w:rPr>
          <w:lang w:val="es-ES"/>
        </w:rPr>
        <w:t>1.1. Una disciplina distinta, tratada como las demás</w:t>
      </w:r>
    </w:p>
    <w:p w14:paraId="4075794E" w14:textId="77777777" w:rsidR="006D15B4" w:rsidRPr="006A3EBA" w:rsidRDefault="0026364B">
      <w:pPr>
        <w:spacing w:after="120"/>
        <w:jc w:val="both"/>
        <w:rPr>
          <w:lang w:val="es-ES"/>
        </w:rPr>
      </w:pPr>
      <w:r>
        <w:rPr>
          <w:lang w:val="es-ES"/>
        </w:rPr>
        <w:t>En áreas centrales de la Informática —inteligencia artificial, aprendizaje automático, sistemas, tecnologías de computadores, redes, seguridad, bases de datos, ingeniería del software—, el congreso selectivo cumple el mismo papel que en otras disciplinas cumple la revista de primer nivel: revisión exigente por pares, selección competitiva, publicación archivada y reconocimiento por parte de toda la comunidad. El dato es difícil de discutir: tres de los diez artículos más citados del siglo XXI en todas las ciencias son artículos de congreso de informática (</w:t>
      </w:r>
      <w:proofErr w:type="spellStart"/>
      <w:r>
        <w:rPr>
          <w:lang w:val="es-ES"/>
        </w:rPr>
        <w:t>ResNet</w:t>
      </w:r>
      <w:proofErr w:type="spellEnd"/>
      <w:r>
        <w:rPr>
          <w:lang w:val="es-ES"/>
        </w:rPr>
        <w:t xml:space="preserve">, </w:t>
      </w:r>
      <w:proofErr w:type="spellStart"/>
      <w:r>
        <w:rPr>
          <w:lang w:val="es-ES"/>
        </w:rPr>
        <w:t>Transformer</w:t>
      </w:r>
      <w:proofErr w:type="spellEnd"/>
      <w:r>
        <w:rPr>
          <w:lang w:val="es-ES"/>
        </w:rPr>
        <w:t xml:space="preserve"> y </w:t>
      </w:r>
      <w:proofErr w:type="spellStart"/>
      <w:r>
        <w:rPr>
          <w:lang w:val="es-ES"/>
        </w:rPr>
        <w:t>AlexNet</w:t>
      </w:r>
      <w:proofErr w:type="spellEnd"/>
      <w:r>
        <w:rPr>
          <w:lang w:val="es-ES"/>
        </w:rPr>
        <w:t>), y resultados que han cambiado el campo, como BERT, GPT-3, las redes generativas antagónicas o los modelos de difusión, se publicaron en actas de congreso, no en revistas. La literatura especializada (véase [1]) confirma que más de la mitad de los resultados originales de la disciplina se publican en estas actas, y que un grupo amplio de ellas alcanza niveles de impacto comparables a las mejores revistas del área.</w:t>
      </w:r>
    </w:p>
    <w:p w14:paraId="75BB7236" w14:textId="77777777" w:rsidR="006D15B4" w:rsidRPr="006A3EBA" w:rsidRDefault="0026364B">
      <w:pPr>
        <w:spacing w:after="120"/>
        <w:jc w:val="both"/>
        <w:rPr>
          <w:lang w:val="es-ES"/>
        </w:rPr>
      </w:pPr>
      <w:r>
        <w:rPr>
          <w:lang w:val="es-ES"/>
        </w:rPr>
        <w:t xml:space="preserve">Pese a esta evidencia, el sistema español sigue tratando las aportaciones a congresos como extraordinarias y subordinadas a la decisión discrecional de cada evaluador, dando marcha atrás respecto al reconocimiento explícito que sí existía en la Resolución CNEAI de 2020. Esta posición resulta además difícil de conciliar con los propios compromisos de ANECA: la agencia se adhirió a </w:t>
      </w:r>
      <w:proofErr w:type="spellStart"/>
      <w:r>
        <w:rPr>
          <w:lang w:val="es-ES"/>
        </w:rPr>
        <w:t>CoARA</w:t>
      </w:r>
      <w:proofErr w:type="spellEnd"/>
      <w:r>
        <w:rPr>
          <w:lang w:val="es-ES"/>
        </w:rPr>
        <w:t xml:space="preserve"> en 2023 y aprobó un Plan de Acción 2024-2027 que la compromete a reconocer la diversidad de prácticas y resultados de investigación mediante juicio cualitativo experto. </w:t>
      </w:r>
    </w:p>
    <w:p w14:paraId="33196965" w14:textId="77777777" w:rsidR="006D15B4" w:rsidRPr="006A3EBA" w:rsidRDefault="0026364B">
      <w:pPr>
        <w:spacing w:after="120"/>
        <w:jc w:val="both"/>
        <w:rPr>
          <w:lang w:val="es-ES"/>
        </w:rPr>
      </w:pPr>
      <w:r>
        <w:rPr>
          <w:lang w:val="es-ES"/>
        </w:rPr>
        <w:lastRenderedPageBreak/>
        <w:t xml:space="preserve">Este tratamiento sitúa además a España fuera de línea con la práctica internacional: en la mayor parte de los sistemas de evaluación e instituciones de referencia de nuestro entorno, los congresos selectivos de informática se valoran como aportaciones de primer nivel, no como un canal subordinado a la revista [1]. Esta inconsistencia no es solo una cuestión de prestigio comparado: tiene un efecto directo sobre la capacidad de atraer y retener talento. Un investigador formado en el MIT, ETH Zúrich o Cambridge, con tres años de publicaciones en </w:t>
      </w:r>
      <w:proofErr w:type="spellStart"/>
      <w:r>
        <w:rPr>
          <w:lang w:val="es-ES"/>
        </w:rPr>
        <w:t>NeurIPS</w:t>
      </w:r>
      <w:proofErr w:type="spellEnd"/>
      <w:r>
        <w:rPr>
          <w:lang w:val="es-ES"/>
        </w:rPr>
        <w:t xml:space="preserve"> o ICSE, llega a España con un currículo que su comunidad internacional considera excelente y que el sistema de acreditación español puede tratar como insuficiente o incierto [1]. Mantener esta divergencia no es neutral: penaliza precisamente el perfil internacionalmente competitivo que España necesita atraer.</w:t>
      </w:r>
    </w:p>
    <w:p w14:paraId="70ED1132" w14:textId="77777777" w:rsidR="006D15B4" w:rsidRPr="006A3EBA" w:rsidRDefault="0026364B" w:rsidP="00D86FE3">
      <w:pPr>
        <w:pStyle w:val="Ttulo2"/>
        <w:spacing w:before="120"/>
        <w:rPr>
          <w:lang w:val="es-ES"/>
        </w:rPr>
      </w:pPr>
      <w:r>
        <w:rPr>
          <w:lang w:val="es-ES"/>
        </w:rPr>
        <w:t>1.2. Un criterio que arrastra a todo el sistema</w:t>
      </w:r>
    </w:p>
    <w:p w14:paraId="51B98C45" w14:textId="77777777" w:rsidR="006D15B4" w:rsidRPr="006A3EBA" w:rsidRDefault="0026364B">
      <w:pPr>
        <w:spacing w:after="120"/>
        <w:jc w:val="both"/>
        <w:rPr>
          <w:lang w:val="es-ES"/>
        </w:rPr>
      </w:pPr>
      <w:r>
        <w:rPr>
          <w:lang w:val="es-ES"/>
        </w:rPr>
        <w:t>Los criterios de ANECA y CNEAI no afectan solo a quien solicita una acreditación o un sexenio. Funcionan como referencia para el resto del sistema: comisiones de contratación de profesorado, agencias autonómicas de calidad, escuelas de doctorado y los propios departamentos, centros e institutos de investigación, en sus sistemas internos de incentivos y selección de investigadores, tienden a alinear sus criterios con los de las agencias estatales, de forma implícita o explícita. Por eso una decisión que parece técnica —cómo clasificar una publicación en congreso— termina condicionando la carrera completa de un investigador español, desde el doctorado hasta la cátedra. No es un ajuste menor de una convocatoria: es una decisión con efecto multiplicador sobre todo el sistema universitario.</w:t>
      </w:r>
    </w:p>
    <w:p w14:paraId="56471C7D" w14:textId="77777777" w:rsidR="006D15B4" w:rsidRPr="006A3EBA" w:rsidRDefault="0026364B" w:rsidP="00D86FE3">
      <w:pPr>
        <w:pStyle w:val="Ttulo2"/>
        <w:spacing w:before="120"/>
        <w:rPr>
          <w:lang w:val="es-ES"/>
        </w:rPr>
      </w:pPr>
      <w:r>
        <w:rPr>
          <w:lang w:val="es-ES"/>
        </w:rPr>
        <w:t>1.3. España pierde terreno relativo, sobre todo donde más exige el sistema</w:t>
      </w:r>
    </w:p>
    <w:p w14:paraId="011CD70F" w14:textId="77777777" w:rsidR="006D15B4" w:rsidRPr="006A3EBA" w:rsidRDefault="0026364B">
      <w:pPr>
        <w:spacing w:after="120"/>
        <w:jc w:val="both"/>
        <w:rPr>
          <w:lang w:val="es-ES"/>
        </w:rPr>
      </w:pPr>
      <w:r>
        <w:rPr>
          <w:lang w:val="es-ES"/>
        </w:rPr>
        <w:t>El informe bibliométrico [2] se construye sobre un corpus fijo de 170 congresos CORE/ICORE 2026 clasificados como A* o A, con 535.144 artículos publicados entre 2001 y 2025 y una resolución de país del 84,56 % de los casos. España publica más que nunca en términos absolutos —pasa de 967 artículos en 2001-2005 a 1.990 en 2021-2025—, pero su peso dentro del bloque europeo de referencia (la Unión Europea más el Reino Unido) cae del máximo histórico del 7,62 % en 2006-2010 al 4,23 % en 2021-2025. La posición de España en el ranking europeo baja del 5.º al 8.º puesto, y la caída es todavía más marcada en los congresos de mayor exigencia (nivel A*), donde España pasa del 5.º al 9.º puesto. La comparación con otros países es reveladora: Reino Unido y Alemania son los únicos del bloque que aumentan su cuota de forma sostenida durante todo el periodo, mientras que España pierde terreno incluso frente a un país de tamaño y estructura comparables como Italia, cuya ventaja relativa sobre España casi se duplica entre 2006-2010 y 2021-2025.</w:t>
      </w:r>
    </w:p>
    <w:p w14:paraId="4A73004A" w14:textId="77777777" w:rsidR="006D15B4" w:rsidRPr="006A3EBA" w:rsidRDefault="0026364B">
      <w:pPr>
        <w:spacing w:after="120"/>
        <w:jc w:val="both"/>
        <w:rPr>
          <w:lang w:val="es-ES"/>
        </w:rPr>
      </w:pPr>
      <w:r>
        <w:rPr>
          <w:lang w:val="es-ES"/>
        </w:rPr>
        <w:t>El propio informe descompone esta caída para identificar su origen: entre el 77 % y el 82 % se debe a que España publica menos, en proporción, dentro de combinaciones concretas de área y nivel donde ya competía —por ejemplo, inteligencia artificial de nivel A, sistemas de nivel A o bases de datos de nivel A*—, y solo entre un 7 % y un 10 % se explica porque hayan crecido más deprisa las áreas donde España partía con menos presencia. Esto descarta la explicación más cómoda, que sería decir que España simplemente no apostó a tiempo por la inteligencia artificial: el problema es más amplio, y España crece más despacio que sus competidores europeos dentro de los mismos terrenos donde ya estaba jugando.</w:t>
      </w:r>
    </w:p>
    <w:p w14:paraId="38DEE64F" w14:textId="77777777" w:rsidR="0025516E" w:rsidRDefault="0026364B">
      <w:pPr>
        <w:spacing w:after="200"/>
        <w:jc w:val="both"/>
        <w:rPr>
          <w:lang w:val="es-ES"/>
        </w:rPr>
      </w:pPr>
      <w:r>
        <w:rPr>
          <w:lang w:val="es-ES"/>
        </w:rPr>
        <w:t xml:space="preserve">La situación por áreas no es uniforme. Redes es una fortaleza clara y creciente, con un 14,61 % de cuota europea y el 4.º puesto en 2021-2025, lograda además sin depender principalmente de coautoría internacional. Ingeniería del Software y Sistemas, arquitectura y computación mantienen posiciones razonablemente sólidas con erosión gradual. Inteligencia artificial y aprendizaje automático concentran el mayor volumen de artículos españoles, pero también la mayor caída relativa, del 8,92 % al 3,88 % de cuota europea. Teoría es el área con el declive más sostenido en el tiempo, anterior incluso a la expansión de la inteligencia artificial. </w:t>
      </w:r>
    </w:p>
    <w:p w14:paraId="5A363851" w14:textId="77777777" w:rsidR="006D15B4" w:rsidRPr="006A3EBA" w:rsidRDefault="0026364B">
      <w:pPr>
        <w:spacing w:after="200"/>
        <w:jc w:val="both"/>
        <w:rPr>
          <w:lang w:val="es-ES"/>
        </w:rPr>
      </w:pPr>
      <w:r>
        <w:rPr>
          <w:lang w:val="es-ES"/>
        </w:rPr>
        <w:t>El mismo informe muestra también que la presencia española es cada vez más internacional —los artículos firmados solo por autores españoles caen del 64 % al 30,4 % del total entre 2001 y 2025—, lo que indica integración creciente en redes de colaboración, aunque también puede reflejar una dependencia mayor de socios externos para alcanzar los foros más selectivos. Distinguir entre presencia y liderazgo es, por tanto, central tanto para interpretar el dato como para diseñar la respuesta.</w:t>
      </w:r>
    </w:p>
    <w:p w14:paraId="6D1B7089" w14:textId="77777777" w:rsidR="006D15B4" w:rsidRPr="006A3EBA" w:rsidRDefault="0026364B" w:rsidP="00D86FE3">
      <w:pPr>
        <w:pStyle w:val="Ttulo2"/>
        <w:spacing w:before="120"/>
        <w:rPr>
          <w:lang w:val="es-ES"/>
        </w:rPr>
      </w:pPr>
      <w:r>
        <w:rPr>
          <w:lang w:val="es-ES"/>
        </w:rPr>
        <w:t>1.4. Un vacío de diagnóstico: España tampoco mide su liderazgo</w:t>
      </w:r>
    </w:p>
    <w:p w14:paraId="50B9344D" w14:textId="57B7B393" w:rsidR="006D15B4" w:rsidRPr="006A3EBA" w:rsidRDefault="0026364B">
      <w:pPr>
        <w:spacing w:after="120"/>
        <w:jc w:val="both"/>
        <w:rPr>
          <w:lang w:val="es-ES"/>
        </w:rPr>
      </w:pPr>
      <w:r>
        <w:rPr>
          <w:lang w:val="es-ES"/>
        </w:rPr>
        <w:t xml:space="preserve">El diagnóstico bibliométrico disponible mide presencia por afiliación, no liderazgo. No existen datos sistemáticos sobre cuántas de las publicaciones españolas en congresos A*/A corresponden a autoría </w:t>
      </w:r>
      <w:r>
        <w:rPr>
          <w:lang w:val="es-ES"/>
        </w:rPr>
        <w:lastRenderedPageBreak/>
        <w:t xml:space="preserve">principal o sénior española, cuántas han sido coordinadas por una institución española frente a un papel de socio secundario, ni cuántos investigadores con afiliación española forman parte de comités de programa, </w:t>
      </w:r>
      <w:proofErr w:type="spellStart"/>
      <w:r>
        <w:rPr>
          <w:lang w:val="es-ES"/>
        </w:rPr>
        <w:t>steering</w:t>
      </w:r>
      <w:proofErr w:type="spellEnd"/>
      <w:r>
        <w:rPr>
          <w:lang w:val="es-ES"/>
        </w:rPr>
        <w:t xml:space="preserve"> </w:t>
      </w:r>
      <w:proofErr w:type="spellStart"/>
      <w:r>
        <w:rPr>
          <w:lang w:val="es-ES"/>
        </w:rPr>
        <w:t>committees</w:t>
      </w:r>
      <w:proofErr w:type="spellEnd"/>
      <w:r>
        <w:rPr>
          <w:lang w:val="es-ES"/>
        </w:rPr>
        <w:t xml:space="preserve">, comités editoriales o roles de organización en estos congresos. </w:t>
      </w:r>
      <w:r w:rsidR="00D86FE3">
        <w:rPr>
          <w:lang w:val="es-ES"/>
        </w:rPr>
        <w:t xml:space="preserve">Sería preciso llenar este vacío de información si pretendemos evaluar y aumentar </w:t>
      </w:r>
      <w:r>
        <w:rPr>
          <w:lang w:val="es-ES"/>
        </w:rPr>
        <w:t>el liderazgo científico español, y no solo su presencia.</w:t>
      </w:r>
    </w:p>
    <w:p w14:paraId="6C18439D" w14:textId="77777777" w:rsidR="006D15B4" w:rsidRPr="006A3EBA" w:rsidRDefault="0026364B">
      <w:pPr>
        <w:pStyle w:val="Ttulo1"/>
        <w:rPr>
          <w:lang w:val="es-ES"/>
        </w:rPr>
      </w:pPr>
      <w:r>
        <w:rPr>
          <w:lang w:val="es-ES"/>
        </w:rPr>
        <w:t>2. Principios de actuación</w:t>
      </w:r>
    </w:p>
    <w:p w14:paraId="79E6CF79" w14:textId="77777777" w:rsidR="006D15B4" w:rsidRPr="006A3EBA" w:rsidRDefault="0026364B">
      <w:pPr>
        <w:spacing w:after="120"/>
        <w:jc w:val="both"/>
        <w:rPr>
          <w:lang w:val="es-ES"/>
        </w:rPr>
      </w:pPr>
      <w:r>
        <w:rPr>
          <w:lang w:val="es-ES"/>
        </w:rPr>
        <w:t>Antes de entrar en recomendaciones concretas, conviene fijar los principios que deben guiar cualquier reforma en esta materia, de forma que las medidas posteriores se entiendan como aplicación de un criterio coherente y no como una lista de peticiones sueltas.</w:t>
      </w:r>
    </w:p>
    <w:p w14:paraId="26B25576" w14:textId="6B4ECB13" w:rsidR="006D15B4" w:rsidRPr="006A3EBA" w:rsidRDefault="0026364B">
      <w:pPr>
        <w:spacing w:after="100"/>
        <w:jc w:val="both"/>
        <w:rPr>
          <w:lang w:val="es-ES"/>
        </w:rPr>
      </w:pPr>
      <w:r>
        <w:rPr>
          <w:b/>
          <w:bCs/>
          <w:lang w:val="es-ES"/>
        </w:rPr>
        <w:t xml:space="preserve">P1. Adecuación disciplinar. </w:t>
      </w:r>
      <w:r>
        <w:rPr>
          <w:lang w:val="es-ES"/>
        </w:rPr>
        <w:t>La Informática debe evaluarse según sus prácticas reales de comunicación científica. En muchas subáreas, los congresos selectivos son publicaciones completas, revisadas por pares y reconocidas como canales terminales de publicación. A ello se suma una razón propia del ritmo de la disciplina: en áreas de evolución muy rápida, el ciclo de revisión de una revista puede tardar más que el tiempo que tarda un resultado en quedar superado por la propia comunidad, de modo que esperar a la publicación en revista no añade rigor, sino el riesgo de publicar un resultado ya obsoleto. Aplicar exclusivamente el patrón revista no mide calidad: mide conformidad con un formato ajeno a la disciplina.</w:t>
      </w:r>
    </w:p>
    <w:p w14:paraId="22855720" w14:textId="77777777" w:rsidR="006D15B4" w:rsidRPr="006A3EBA" w:rsidRDefault="0026364B">
      <w:pPr>
        <w:spacing w:after="100"/>
        <w:jc w:val="both"/>
        <w:rPr>
          <w:lang w:val="es-ES"/>
        </w:rPr>
      </w:pPr>
      <w:r>
        <w:rPr>
          <w:b/>
          <w:bCs/>
          <w:lang w:val="es-ES"/>
        </w:rPr>
        <w:t xml:space="preserve">P2. Reconocimiento sin automatismo. </w:t>
      </w:r>
      <w:r>
        <w:rPr>
          <w:lang w:val="es-ES"/>
        </w:rPr>
        <w:t>Reconocer los congresos ICORE A*/A no implica aceptar cualquier congreso ni sustituir el juicio experto por un ranking. ICORE actúa como filtro inicial verificable; la evaluación cualitativa, la narrativa de impacto y el conocimiento de subárea siguen siendo imprescindibles.</w:t>
      </w:r>
    </w:p>
    <w:p w14:paraId="706C367F" w14:textId="77777777" w:rsidR="006D15B4" w:rsidRPr="006A3EBA" w:rsidRDefault="0026364B">
      <w:pPr>
        <w:spacing w:after="100"/>
        <w:jc w:val="both"/>
        <w:rPr>
          <w:lang w:val="es-ES"/>
        </w:rPr>
      </w:pPr>
      <w:r>
        <w:rPr>
          <w:b/>
          <w:bCs/>
          <w:lang w:val="es-ES"/>
        </w:rPr>
        <w:t xml:space="preserve">P3. Presencia y liderazgo. </w:t>
      </w:r>
      <w:r>
        <w:rPr>
          <w:lang w:val="es-ES"/>
        </w:rPr>
        <w:t>El objetivo no es solo aumentar el número de artículos con alguna afiliación española, sino aumentar el liderazgo científico: autoría principal o sénior, coordinación de artefactos y proyectos, y presencia en los comités de programa de los foros de referencia.</w:t>
      </w:r>
    </w:p>
    <w:p w14:paraId="0273981B" w14:textId="77777777" w:rsidR="006D15B4" w:rsidRPr="006A3EBA" w:rsidRDefault="0026364B">
      <w:pPr>
        <w:spacing w:after="100"/>
        <w:jc w:val="both"/>
        <w:rPr>
          <w:lang w:val="es-ES"/>
        </w:rPr>
      </w:pPr>
      <w:r>
        <w:rPr>
          <w:b/>
          <w:bCs/>
          <w:lang w:val="es-ES"/>
        </w:rPr>
        <w:t xml:space="preserve">P4. Diferenciación por áreas. </w:t>
      </w:r>
      <w:r>
        <w:rPr>
          <w:lang w:val="es-ES"/>
        </w:rPr>
        <w:t>No existe una única política para toda la Informática. Redes requiere consolidación de una fortaleza ya conseguida; inteligencia artificial requiere atención prioritaria por volumen y caída; Teoría requiere un diagnóstico urgente de sus causas; Sistemas e Ingeniería del Software requieren prevención antes de que la erosión gradual se convierta en estructural.</w:t>
      </w:r>
    </w:p>
    <w:p w14:paraId="279F01ED" w14:textId="296F3075" w:rsidR="006D15B4" w:rsidRPr="006A3EBA" w:rsidRDefault="0026364B">
      <w:pPr>
        <w:spacing w:after="200"/>
        <w:jc w:val="both"/>
        <w:rPr>
          <w:lang w:val="es-ES"/>
        </w:rPr>
      </w:pPr>
      <w:r>
        <w:rPr>
          <w:b/>
          <w:bCs/>
          <w:lang w:val="es-ES"/>
        </w:rPr>
        <w:t xml:space="preserve">P5. Coherencia sistémica. </w:t>
      </w:r>
      <w:r>
        <w:rPr>
          <w:lang w:val="es-ES"/>
        </w:rPr>
        <w:t>La reforma evaluativa por sí sola cambia incentivos, pero no capacidades. Sin financiación de acceso a estos congresos ni atención al talento y a la formación doctoral, la corrección normativa beneficiará sobre todo a los grupos que ya cuentan con recursos suficientes, sin cerrar la brecha real. Este documento se centra en las recomendaciones de evaluación y reconocimiento que son competencia directa de ANECA y CNEAI, incluido el reconocimiento de la gobernanza científica; su efectividad plena depende de que se acompañe de medidas de financiación y formación que exceden este ámbito y corresponden a AEI, MICIU y las comunidades autónomas.</w:t>
      </w:r>
    </w:p>
    <w:p w14:paraId="1A19AAD5" w14:textId="77777777" w:rsidR="006D15B4" w:rsidRPr="006A3EBA" w:rsidRDefault="0026364B">
      <w:pPr>
        <w:pStyle w:val="Ttulo1"/>
        <w:rPr>
          <w:lang w:val="es-ES"/>
        </w:rPr>
      </w:pPr>
      <w:r>
        <w:rPr>
          <w:lang w:val="es-ES"/>
        </w:rPr>
        <w:t>3. Recomendaciones</w:t>
      </w:r>
    </w:p>
    <w:p w14:paraId="65BB6DAA" w14:textId="77777777" w:rsidR="006D15B4" w:rsidRPr="006A3EBA" w:rsidRDefault="0026364B">
      <w:pPr>
        <w:pStyle w:val="Ttulo2"/>
        <w:rPr>
          <w:lang w:val="es-ES"/>
        </w:rPr>
      </w:pPr>
      <w:r>
        <w:rPr>
          <w:lang w:val="es-ES"/>
        </w:rPr>
        <w:t>R1. Reconocer los congresos ICORE A*/A como aportaciones ordinarias</w:t>
      </w:r>
    </w:p>
    <w:p w14:paraId="626B0D1D" w14:textId="77777777" w:rsidR="006D15B4" w:rsidRPr="006A3EBA" w:rsidRDefault="0026364B">
      <w:pPr>
        <w:spacing w:after="100"/>
        <w:jc w:val="both"/>
        <w:rPr>
          <w:lang w:val="es-ES"/>
        </w:rPr>
      </w:pPr>
      <w:r>
        <w:rPr>
          <w:lang w:val="es-ES"/>
        </w:rPr>
        <w:t>CNEAI y ANECA deben establecer, en coordinación con la SCIE y otras sociedades científicas del área, un tratamiento diferenciado por nivel de clasificación ICORE/CORE en los criterios específicos del subcampo de Informática.</w:t>
      </w:r>
    </w:p>
    <w:tbl>
      <w:tblPr>
        <w:tblW w:w="87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63"/>
        <w:gridCol w:w="2694"/>
        <w:gridCol w:w="3827"/>
      </w:tblGrid>
      <w:tr w:rsidR="006D15B4" w14:paraId="731E24C0" w14:textId="77777777" w:rsidTr="00D86FE3">
        <w:trPr>
          <w:jc w:val="center"/>
        </w:trPr>
        <w:tc>
          <w:tcPr>
            <w:tcW w:w="2263" w:type="dxa"/>
            <w:shd w:val="clear" w:color="auto" w:fill="1F3864"/>
            <w:tcMar>
              <w:top w:w="80" w:type="dxa"/>
              <w:left w:w="120" w:type="dxa"/>
              <w:bottom w:w="80" w:type="dxa"/>
              <w:right w:w="120" w:type="dxa"/>
            </w:tcMar>
          </w:tcPr>
          <w:p w14:paraId="3FE30320" w14:textId="77777777" w:rsidR="006D15B4" w:rsidRDefault="0026364B">
            <w:r>
              <w:rPr>
                <w:b/>
                <w:bCs/>
                <w:color w:val="FFFFFF"/>
                <w:sz w:val="16"/>
                <w:szCs w:val="18"/>
              </w:rPr>
              <w:t xml:space="preserve">Tipo de </w:t>
            </w:r>
            <w:proofErr w:type="spellStart"/>
            <w:r>
              <w:rPr>
                <w:b/>
                <w:bCs/>
                <w:color w:val="FFFFFF"/>
                <w:sz w:val="16"/>
                <w:szCs w:val="18"/>
              </w:rPr>
              <w:t>congreso</w:t>
            </w:r>
            <w:proofErr w:type="spellEnd"/>
          </w:p>
        </w:tc>
        <w:tc>
          <w:tcPr>
            <w:tcW w:w="2694" w:type="dxa"/>
            <w:shd w:val="clear" w:color="auto" w:fill="1F3864"/>
            <w:tcMar>
              <w:top w:w="80" w:type="dxa"/>
              <w:left w:w="120" w:type="dxa"/>
              <w:bottom w:w="80" w:type="dxa"/>
              <w:right w:w="120" w:type="dxa"/>
            </w:tcMar>
          </w:tcPr>
          <w:p w14:paraId="02FBCA8E" w14:textId="77777777" w:rsidR="006D15B4" w:rsidRDefault="0026364B">
            <w:proofErr w:type="spellStart"/>
            <w:r>
              <w:rPr>
                <w:b/>
                <w:bCs/>
                <w:color w:val="FFFFFF"/>
                <w:sz w:val="16"/>
                <w:szCs w:val="18"/>
              </w:rPr>
              <w:t>Equivalencia</w:t>
            </w:r>
            <w:proofErr w:type="spellEnd"/>
            <w:r>
              <w:rPr>
                <w:b/>
                <w:bCs/>
                <w:color w:val="FFFFFF"/>
                <w:sz w:val="16"/>
                <w:szCs w:val="18"/>
              </w:rPr>
              <w:t xml:space="preserve"> </w:t>
            </w:r>
            <w:proofErr w:type="spellStart"/>
            <w:r>
              <w:rPr>
                <w:b/>
                <w:bCs/>
                <w:color w:val="FFFFFF"/>
                <w:sz w:val="16"/>
                <w:szCs w:val="18"/>
              </w:rPr>
              <w:t>funcional</w:t>
            </w:r>
            <w:proofErr w:type="spellEnd"/>
          </w:p>
        </w:tc>
        <w:tc>
          <w:tcPr>
            <w:tcW w:w="3827" w:type="dxa"/>
            <w:shd w:val="clear" w:color="auto" w:fill="1F3864"/>
            <w:tcMar>
              <w:top w:w="80" w:type="dxa"/>
              <w:left w:w="120" w:type="dxa"/>
              <w:bottom w:w="80" w:type="dxa"/>
              <w:right w:w="120" w:type="dxa"/>
            </w:tcMar>
          </w:tcPr>
          <w:p w14:paraId="10965A98" w14:textId="77777777" w:rsidR="006D15B4" w:rsidRDefault="0026364B">
            <w:proofErr w:type="spellStart"/>
            <w:r>
              <w:rPr>
                <w:b/>
                <w:bCs/>
                <w:color w:val="FFFFFF"/>
                <w:sz w:val="16"/>
                <w:szCs w:val="18"/>
              </w:rPr>
              <w:t>Condición</w:t>
            </w:r>
            <w:proofErr w:type="spellEnd"/>
          </w:p>
        </w:tc>
      </w:tr>
      <w:tr w:rsidR="006D15B4" w:rsidRPr="00C12837" w14:paraId="0363D50C" w14:textId="77777777" w:rsidTr="00D86FE3">
        <w:trPr>
          <w:jc w:val="center"/>
        </w:trPr>
        <w:tc>
          <w:tcPr>
            <w:tcW w:w="226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674DF0C" w14:textId="77777777" w:rsidR="006D15B4" w:rsidRDefault="0026364B">
            <w:r>
              <w:rPr>
                <w:sz w:val="16"/>
                <w:szCs w:val="18"/>
              </w:rPr>
              <w:t>ICORE A*</w:t>
            </w:r>
          </w:p>
        </w:tc>
        <w:tc>
          <w:tcPr>
            <w:tcW w:w="269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9DAE98" w14:textId="77777777" w:rsidR="006D15B4" w:rsidRDefault="0026364B">
            <w:proofErr w:type="spellStart"/>
            <w:r>
              <w:rPr>
                <w:sz w:val="16"/>
                <w:szCs w:val="18"/>
              </w:rPr>
              <w:t>Revista</w:t>
            </w:r>
            <w:proofErr w:type="spellEnd"/>
            <w:r>
              <w:rPr>
                <w:sz w:val="16"/>
                <w:szCs w:val="18"/>
              </w:rPr>
              <w:t xml:space="preserve"> Q1</w:t>
            </w:r>
          </w:p>
        </w:tc>
        <w:tc>
          <w:tcPr>
            <w:tcW w:w="382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3FD1E3" w14:textId="77777777" w:rsidR="006D15B4" w:rsidRPr="006A3EBA" w:rsidRDefault="0026364B">
            <w:pPr>
              <w:rPr>
                <w:lang w:val="es-ES"/>
              </w:rPr>
            </w:pPr>
            <w:r>
              <w:rPr>
                <w:sz w:val="16"/>
                <w:szCs w:val="18"/>
                <w:lang w:val="es-ES"/>
              </w:rPr>
              <w:t>Narrativa de contribución e impacto</w:t>
            </w:r>
          </w:p>
        </w:tc>
      </w:tr>
      <w:tr w:rsidR="006D15B4" w:rsidRPr="00C12837" w14:paraId="4A070959" w14:textId="77777777" w:rsidTr="00D86FE3">
        <w:trPr>
          <w:jc w:val="center"/>
        </w:trPr>
        <w:tc>
          <w:tcPr>
            <w:tcW w:w="226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F0F032" w14:textId="77777777" w:rsidR="006D15B4" w:rsidRDefault="0026364B">
            <w:r>
              <w:rPr>
                <w:sz w:val="16"/>
                <w:szCs w:val="18"/>
              </w:rPr>
              <w:t>ICORE A</w:t>
            </w:r>
          </w:p>
        </w:tc>
        <w:tc>
          <w:tcPr>
            <w:tcW w:w="269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3B88E7" w14:textId="77777777" w:rsidR="006D15B4" w:rsidRDefault="0026364B">
            <w:proofErr w:type="spellStart"/>
            <w:r>
              <w:rPr>
                <w:sz w:val="16"/>
                <w:szCs w:val="18"/>
              </w:rPr>
              <w:t>Revista</w:t>
            </w:r>
            <w:proofErr w:type="spellEnd"/>
            <w:r>
              <w:rPr>
                <w:sz w:val="16"/>
                <w:szCs w:val="18"/>
              </w:rPr>
              <w:t xml:space="preserve"> Q1/Q2</w:t>
            </w:r>
          </w:p>
        </w:tc>
        <w:tc>
          <w:tcPr>
            <w:tcW w:w="382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FFDE7C" w14:textId="77777777" w:rsidR="006D15B4" w:rsidRPr="006A3EBA" w:rsidRDefault="0026364B">
            <w:pPr>
              <w:rPr>
                <w:lang w:val="es-ES"/>
              </w:rPr>
            </w:pPr>
            <w:r>
              <w:rPr>
                <w:sz w:val="16"/>
                <w:szCs w:val="18"/>
                <w:lang w:val="es-ES"/>
              </w:rPr>
              <w:t>Narrativa de contribución e impacto</w:t>
            </w:r>
          </w:p>
        </w:tc>
      </w:tr>
      <w:tr w:rsidR="006D15B4" w:rsidRPr="00C12837" w14:paraId="42A22232" w14:textId="77777777" w:rsidTr="00D86FE3">
        <w:trPr>
          <w:jc w:val="center"/>
        </w:trPr>
        <w:tc>
          <w:tcPr>
            <w:tcW w:w="226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FE6E0E" w14:textId="77777777" w:rsidR="006D15B4" w:rsidRDefault="0026364B">
            <w:r>
              <w:rPr>
                <w:sz w:val="16"/>
                <w:szCs w:val="18"/>
              </w:rPr>
              <w:t>ICORE B</w:t>
            </w:r>
          </w:p>
        </w:tc>
        <w:tc>
          <w:tcPr>
            <w:tcW w:w="269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D0D6F1" w14:textId="77777777" w:rsidR="006D15B4" w:rsidRDefault="0026364B">
            <w:proofErr w:type="spellStart"/>
            <w:r>
              <w:rPr>
                <w:sz w:val="16"/>
                <w:szCs w:val="18"/>
              </w:rPr>
              <w:t>Revista</w:t>
            </w:r>
            <w:proofErr w:type="spellEnd"/>
            <w:r>
              <w:rPr>
                <w:sz w:val="16"/>
                <w:szCs w:val="18"/>
              </w:rPr>
              <w:t xml:space="preserve"> Q2/Q3</w:t>
            </w:r>
          </w:p>
        </w:tc>
        <w:tc>
          <w:tcPr>
            <w:tcW w:w="382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FD2BCCF" w14:textId="77777777" w:rsidR="006D15B4" w:rsidRPr="006A3EBA" w:rsidRDefault="0026364B">
            <w:pPr>
              <w:rPr>
                <w:lang w:val="es-ES"/>
              </w:rPr>
            </w:pPr>
            <w:r>
              <w:rPr>
                <w:sz w:val="16"/>
                <w:szCs w:val="18"/>
                <w:lang w:val="es-ES"/>
              </w:rPr>
              <w:t>Evaluación contextual con impacto contrastable</w:t>
            </w:r>
          </w:p>
        </w:tc>
      </w:tr>
      <w:tr w:rsidR="006D15B4" w14:paraId="0E273253" w14:textId="77777777" w:rsidTr="00D86FE3">
        <w:trPr>
          <w:jc w:val="center"/>
        </w:trPr>
        <w:tc>
          <w:tcPr>
            <w:tcW w:w="2263"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06BF90" w14:textId="77777777" w:rsidR="006D15B4" w:rsidRDefault="0026364B">
            <w:r>
              <w:rPr>
                <w:sz w:val="16"/>
                <w:szCs w:val="18"/>
              </w:rPr>
              <w:t xml:space="preserve">No </w:t>
            </w:r>
            <w:proofErr w:type="spellStart"/>
            <w:r>
              <w:rPr>
                <w:sz w:val="16"/>
                <w:szCs w:val="18"/>
              </w:rPr>
              <w:t>clasificado</w:t>
            </w:r>
            <w:proofErr w:type="spellEnd"/>
            <w:r>
              <w:rPr>
                <w:sz w:val="16"/>
                <w:szCs w:val="18"/>
              </w:rPr>
              <w:t xml:space="preserve"> o inferior</w:t>
            </w:r>
          </w:p>
        </w:tc>
        <w:tc>
          <w:tcPr>
            <w:tcW w:w="2694"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AEFEAA0" w14:textId="77777777" w:rsidR="006D15B4" w:rsidRDefault="0026364B">
            <w:r>
              <w:rPr>
                <w:sz w:val="16"/>
                <w:szCs w:val="18"/>
              </w:rPr>
              <w:t xml:space="preserve">Sin </w:t>
            </w:r>
            <w:proofErr w:type="spellStart"/>
            <w:r>
              <w:rPr>
                <w:sz w:val="16"/>
                <w:szCs w:val="18"/>
              </w:rPr>
              <w:t>presunción</w:t>
            </w:r>
            <w:proofErr w:type="spellEnd"/>
            <w:r>
              <w:rPr>
                <w:sz w:val="16"/>
                <w:szCs w:val="18"/>
              </w:rPr>
              <w:t xml:space="preserve"> </w:t>
            </w:r>
            <w:proofErr w:type="spellStart"/>
            <w:r>
              <w:rPr>
                <w:sz w:val="16"/>
                <w:szCs w:val="18"/>
              </w:rPr>
              <w:t>automática</w:t>
            </w:r>
            <w:proofErr w:type="spellEnd"/>
          </w:p>
        </w:tc>
        <w:tc>
          <w:tcPr>
            <w:tcW w:w="3827"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08EADF" w14:textId="77777777" w:rsidR="006D15B4" w:rsidRDefault="0026364B">
            <w:proofErr w:type="spellStart"/>
            <w:r>
              <w:rPr>
                <w:sz w:val="16"/>
                <w:szCs w:val="18"/>
              </w:rPr>
              <w:t>Justificación</w:t>
            </w:r>
            <w:proofErr w:type="spellEnd"/>
            <w:r>
              <w:rPr>
                <w:sz w:val="16"/>
                <w:szCs w:val="18"/>
              </w:rPr>
              <w:t xml:space="preserve"> </w:t>
            </w:r>
            <w:proofErr w:type="spellStart"/>
            <w:r>
              <w:rPr>
                <w:sz w:val="16"/>
                <w:szCs w:val="18"/>
              </w:rPr>
              <w:t>completa</w:t>
            </w:r>
            <w:proofErr w:type="spellEnd"/>
          </w:p>
        </w:tc>
      </w:tr>
    </w:tbl>
    <w:p w14:paraId="63A08BD7" w14:textId="77777777" w:rsidR="00D86FE3" w:rsidRDefault="00D86FE3" w:rsidP="00D86FE3">
      <w:pPr>
        <w:jc w:val="both"/>
        <w:rPr>
          <w:lang w:val="es-ES"/>
        </w:rPr>
      </w:pPr>
    </w:p>
    <w:p w14:paraId="0942CA00" w14:textId="29A2BFB0" w:rsidR="006D15B4" w:rsidRPr="006A3EBA" w:rsidRDefault="0026364B">
      <w:pPr>
        <w:spacing w:after="120"/>
        <w:jc w:val="both"/>
        <w:rPr>
          <w:lang w:val="es-ES"/>
        </w:rPr>
      </w:pPr>
      <w:r>
        <w:rPr>
          <w:lang w:val="es-ES"/>
        </w:rPr>
        <w:t xml:space="preserve">Esta propuesta no abre la puerta a reconocer cualquier congreso sin criterio. Quedan excluidos de este reconocimiento, salvo justificación excepcional documentada, los </w:t>
      </w:r>
      <w:proofErr w:type="gramStart"/>
      <w:r>
        <w:rPr>
          <w:lang w:val="es-ES"/>
        </w:rPr>
        <w:t>workshops satélite</w:t>
      </w:r>
      <w:proofErr w:type="gramEnd"/>
      <w:r>
        <w:rPr>
          <w:lang w:val="es-ES"/>
        </w:rPr>
        <w:t xml:space="preserve">, posters, demostraciones, resúmenes extendidos, </w:t>
      </w:r>
      <w:proofErr w:type="spellStart"/>
      <w:r>
        <w:rPr>
          <w:lang w:val="es-ES"/>
        </w:rPr>
        <w:t>companion</w:t>
      </w:r>
      <w:proofErr w:type="spellEnd"/>
      <w:r>
        <w:rPr>
          <w:lang w:val="es-ES"/>
        </w:rPr>
        <w:t xml:space="preserve"> </w:t>
      </w:r>
      <w:proofErr w:type="spellStart"/>
      <w:r>
        <w:rPr>
          <w:lang w:val="es-ES"/>
        </w:rPr>
        <w:t>proceedings</w:t>
      </w:r>
      <w:proofErr w:type="spellEnd"/>
      <w:r>
        <w:rPr>
          <w:lang w:val="es-ES"/>
        </w:rPr>
        <w:t xml:space="preserve"> e </w:t>
      </w:r>
      <w:proofErr w:type="spellStart"/>
      <w:r>
        <w:rPr>
          <w:lang w:val="es-ES"/>
        </w:rPr>
        <w:t>invited</w:t>
      </w:r>
      <w:proofErr w:type="spellEnd"/>
      <w:r>
        <w:rPr>
          <w:lang w:val="es-ES"/>
        </w:rPr>
        <w:t xml:space="preserve"> </w:t>
      </w:r>
      <w:proofErr w:type="spellStart"/>
      <w:r>
        <w:rPr>
          <w:lang w:val="es-ES"/>
        </w:rPr>
        <w:t>talks</w:t>
      </w:r>
      <w:proofErr w:type="spellEnd"/>
      <w:r>
        <w:rPr>
          <w:lang w:val="es-ES"/>
        </w:rPr>
        <w:t xml:space="preserve"> sin artículo completo </w:t>
      </w:r>
      <w:r>
        <w:rPr>
          <w:lang w:val="es-ES"/>
        </w:rPr>
        <w:lastRenderedPageBreak/>
        <w:t>revisado por pares. Para publicaciones entre 2015 y 2023 podrá utilizarse GGS (https://scie.lcc.uma.es/) como clasificación histórica de referencia, indicando versión y fecha de consulta; para publicaciones desde 2024 se utilizará ICORE/CORE.</w:t>
      </w:r>
    </w:p>
    <w:p w14:paraId="624C164C" w14:textId="77777777" w:rsidR="006D15B4" w:rsidRPr="006A3EBA" w:rsidRDefault="0026364B" w:rsidP="00D86FE3">
      <w:pPr>
        <w:pStyle w:val="Ttulo2"/>
        <w:spacing w:before="120"/>
        <w:rPr>
          <w:lang w:val="es-ES"/>
        </w:rPr>
      </w:pPr>
      <w:r>
        <w:rPr>
          <w:lang w:val="es-ES"/>
        </w:rPr>
        <w:t>R2. Reconocer y comunicar el efecto de arrastre</w:t>
      </w:r>
    </w:p>
    <w:p w14:paraId="1C005992" w14:textId="77777777" w:rsidR="006D15B4" w:rsidRPr="006A3EBA" w:rsidRDefault="0026364B">
      <w:pPr>
        <w:spacing w:after="120"/>
        <w:jc w:val="both"/>
        <w:rPr>
          <w:lang w:val="es-ES"/>
        </w:rPr>
      </w:pPr>
      <w:r>
        <w:rPr>
          <w:lang w:val="es-ES"/>
        </w:rPr>
        <w:t>ANECA y CNEAI deben reconocer abiertamente que sus criterios condicionan al resto del sistema —comisiones de contratación, agencias autonómicas, escuelas de doctorado— y comunicar la reforma como lo que realmente es: una medida de alcance general para toda la carrera investigadora en informática, no un ajuste menor de una convocatoria concreta. En esta línea, ANECA debería emitir una nota de orientación dirigida a las agencias autonómicas de evaluación, universidades, centros e institutos de investigación, de forma que la heterogeneidad territorial no genere desigualdad entre investigadores según su comunidad de adscripción.</w:t>
      </w:r>
    </w:p>
    <w:p w14:paraId="54790876" w14:textId="77777777" w:rsidR="006D15B4" w:rsidRPr="006A3EBA" w:rsidRDefault="0026364B" w:rsidP="00D86FE3">
      <w:pPr>
        <w:pStyle w:val="Ttulo2"/>
        <w:spacing w:before="120"/>
        <w:rPr>
          <w:lang w:val="es-ES"/>
        </w:rPr>
      </w:pPr>
      <w:r>
        <w:rPr>
          <w:lang w:val="es-ES"/>
        </w:rPr>
        <w:t>R3. Premiar el liderazgo, no solo la presencia</w:t>
      </w:r>
    </w:p>
    <w:p w14:paraId="42466937" w14:textId="77777777" w:rsidR="006D15B4" w:rsidRPr="006A3EBA" w:rsidRDefault="0026364B">
      <w:pPr>
        <w:spacing w:after="120"/>
        <w:jc w:val="both"/>
        <w:rPr>
          <w:lang w:val="es-ES"/>
        </w:rPr>
      </w:pPr>
      <w:r>
        <w:rPr>
          <w:lang w:val="es-ES"/>
        </w:rPr>
        <w:t>La narrativa de impacto que se exija al solicitante debe valorar de forma explícita el liderazgo científico desde instituciones españolas —autoría principal o sénior, coordinación de artefactos y repositorios asociados, dirección de proyectos competitivos vinculados a la publicación, participación en comités de programa— y no limitarse a contar la mera presencia o coautoría en el congreso. El informe bibliométrico [2] muestra que la colaboración internacional española ha crecido mucho (69,6 % de los artículos en 2021-2025) sin que eso haya evitado la pérdida de peso relativo; el objetivo no puede ser solo estar presente, sino dirigir.</w:t>
      </w:r>
    </w:p>
    <w:p w14:paraId="223F2E5C" w14:textId="77777777" w:rsidR="006D15B4" w:rsidRPr="006A3EBA" w:rsidRDefault="0026364B" w:rsidP="00D86FE3">
      <w:pPr>
        <w:pStyle w:val="Ttulo2"/>
        <w:spacing w:before="120"/>
        <w:rPr>
          <w:lang w:val="es-ES"/>
        </w:rPr>
      </w:pPr>
      <w:r>
        <w:rPr>
          <w:lang w:val="es-ES"/>
        </w:rPr>
        <w:t>R4. Reconocer la presencia española en la gobernanza de los congresos</w:t>
      </w:r>
    </w:p>
    <w:p w14:paraId="6CE24EEB" w14:textId="77777777" w:rsidR="006D15B4" w:rsidRPr="006A3EBA" w:rsidRDefault="0026364B">
      <w:pPr>
        <w:spacing w:after="120"/>
        <w:jc w:val="both"/>
        <w:rPr>
          <w:lang w:val="es-ES"/>
        </w:rPr>
      </w:pPr>
      <w:r>
        <w:rPr>
          <w:lang w:val="es-ES"/>
        </w:rPr>
        <w:t xml:space="preserve">ANECA y CNEAI deben reconocer explícitamente como mérito evaluable la participación de investigadores españoles en comités de programa, </w:t>
      </w:r>
      <w:proofErr w:type="spellStart"/>
      <w:r>
        <w:rPr>
          <w:lang w:val="es-ES"/>
        </w:rPr>
        <w:t>steering</w:t>
      </w:r>
      <w:proofErr w:type="spellEnd"/>
      <w:r>
        <w:rPr>
          <w:lang w:val="es-ES"/>
        </w:rPr>
        <w:t xml:space="preserve"> </w:t>
      </w:r>
      <w:proofErr w:type="spellStart"/>
      <w:r>
        <w:rPr>
          <w:lang w:val="es-ES"/>
        </w:rPr>
        <w:t>committees</w:t>
      </w:r>
      <w:proofErr w:type="spellEnd"/>
      <w:r>
        <w:rPr>
          <w:lang w:val="es-ES"/>
        </w:rPr>
        <w:t>, comités editoriales y roles de organización de los congresos ICORE A*/A, en pie de igualdad con otras responsabilidades de gestión y liderazgo científico ya reconocidas en otros campos de evaluación. Este reconocimiento no requiere financiación adicional ni la intervención de otros actores: basta con incorporarlo a la narrativa de impacto y a los criterios de valoración ya previstos en R3, de forma que dirigir, coordinar u organizar se reconozca con el mismo peso que publicar.</w:t>
      </w:r>
    </w:p>
    <w:p w14:paraId="40FA82DC" w14:textId="77777777" w:rsidR="006D15B4" w:rsidRPr="006A3EBA" w:rsidRDefault="0026364B" w:rsidP="00D86FE3">
      <w:pPr>
        <w:pStyle w:val="Ttulo2"/>
        <w:spacing w:before="120"/>
        <w:rPr>
          <w:lang w:val="es-ES"/>
        </w:rPr>
      </w:pPr>
      <w:r>
        <w:rPr>
          <w:lang w:val="es-ES"/>
        </w:rPr>
        <w:t>R5. Medir el efecto de la reforma con datos, incluido el liderazgo</w:t>
      </w:r>
    </w:p>
    <w:p w14:paraId="657B0491" w14:textId="77777777" w:rsidR="006D15B4" w:rsidRPr="006A3EBA" w:rsidRDefault="0026364B">
      <w:pPr>
        <w:spacing w:after="120"/>
        <w:jc w:val="both"/>
        <w:rPr>
          <w:lang w:val="es-ES"/>
        </w:rPr>
      </w:pPr>
      <w:r>
        <w:rPr>
          <w:lang w:val="es-ES"/>
        </w:rPr>
        <w:t>Debe establecerse, con apoyo de la SCIE, un seguimiento bibliométrico periódico de la presencia y el liderazgo españoles en los congresos CORE/ICORE A*/A, replicando la metodología ya desarrollada en [2] y ampliándola para incorporar los indicadores de liderazgo descritos en el diagnóstico (1.4): autoría principal y sénior, coordinación de proyectos y artefactos, y participación en comités de programa y órganos de gobierno. Este seguimiento permitirá comprobar en los próximos años si la reforma corrige la tendencia de presencia y, sobre todo, si consigue cerrar el vacío de liderazgo que hoy ni siquiera se mide. No requiere crear un nuevo organismo: basta con encargar su publicación periódica a la propia SCIE o a la AEI, reutilizando el pipeline reproducible ya disponible.</w:t>
      </w:r>
    </w:p>
    <w:p w14:paraId="3B6B15ED" w14:textId="77777777" w:rsidR="006D15B4" w:rsidRPr="006A3EBA" w:rsidRDefault="0026364B" w:rsidP="00E75E4A">
      <w:pPr>
        <w:pStyle w:val="Ttulo2"/>
        <w:spacing w:before="120"/>
        <w:rPr>
          <w:lang w:val="es-ES"/>
        </w:rPr>
      </w:pPr>
      <w:r>
        <w:rPr>
          <w:lang w:val="es-ES"/>
        </w:rPr>
        <w:t>R6. Coherencia dentro del propio Ministerio</w:t>
      </w:r>
    </w:p>
    <w:p w14:paraId="16350A7A" w14:textId="77777777" w:rsidR="006D15B4" w:rsidRPr="006A3EBA" w:rsidRDefault="0026364B">
      <w:pPr>
        <w:spacing w:after="200"/>
        <w:jc w:val="both"/>
        <w:rPr>
          <w:lang w:val="es-ES"/>
        </w:rPr>
      </w:pPr>
      <w:r>
        <w:rPr>
          <w:lang w:val="es-ES"/>
        </w:rPr>
        <w:t>Resulta difícil de justificar que la Agencia Estatal de Investigación evalúe proyectos siguiendo los principios de DORA, sin discriminar por formato editorial, mientras CNEAI y ANECA evalúan trayectorias individuales con un criterio distinto. Es la misma administración aplicando dos varas de medir a la misma disciplina; corregir esa contradicción no exige ninguna concesión especial a la informática, exige simplemente coherencia interna.</w:t>
      </w:r>
    </w:p>
    <w:p w14:paraId="0BDFBAF2" w14:textId="77777777" w:rsidR="006D15B4" w:rsidRPr="006A3EBA" w:rsidRDefault="0026364B">
      <w:pPr>
        <w:pStyle w:val="Ttulo1"/>
        <w:rPr>
          <w:lang w:val="es-ES"/>
        </w:rPr>
      </w:pPr>
      <w:r>
        <w:rPr>
          <w:lang w:val="es-ES"/>
        </w:rPr>
        <w:t>4. Plan de actuación</w:t>
      </w:r>
    </w:p>
    <w:p w14:paraId="21139A7A" w14:textId="4AD4AD7E" w:rsidR="006D15B4" w:rsidRPr="006A3EBA" w:rsidRDefault="0026364B">
      <w:pPr>
        <w:pStyle w:val="Ttulo2"/>
        <w:rPr>
          <w:lang w:val="es-ES"/>
        </w:rPr>
      </w:pPr>
      <w:r>
        <w:rPr>
          <w:lang w:val="es-ES"/>
        </w:rPr>
        <w:t>Fase 1 — Corto plazo (</w:t>
      </w:r>
      <w:r w:rsidR="00E75E4A">
        <w:rPr>
          <w:lang w:val="es-ES"/>
        </w:rPr>
        <w:t>inmediato</w:t>
      </w:r>
      <w:r>
        <w:rPr>
          <w:lang w:val="es-ES"/>
        </w:rPr>
        <w:t>)</w:t>
      </w:r>
    </w:p>
    <w:p w14:paraId="0819F584" w14:textId="4BE86B1B" w:rsidR="006D15B4" w:rsidRPr="006A3EBA" w:rsidRDefault="0026364B">
      <w:pPr>
        <w:pStyle w:val="Prrafodelista"/>
        <w:numPr>
          <w:ilvl w:val="0"/>
          <w:numId w:val="2"/>
        </w:numPr>
        <w:jc w:val="both"/>
        <w:rPr>
          <w:lang w:val="es-ES"/>
        </w:rPr>
      </w:pPr>
      <w:r>
        <w:rPr>
          <w:lang w:val="es-ES"/>
        </w:rPr>
        <w:t xml:space="preserve">Incorporar a los criterios específicos del campo de Informática </w:t>
      </w:r>
      <w:r w:rsidR="00E75E4A">
        <w:rPr>
          <w:lang w:val="es-ES"/>
        </w:rPr>
        <w:t xml:space="preserve">en la próxima convocatoria de sexenios y en los criterios de acreditación </w:t>
      </w:r>
      <w:r>
        <w:rPr>
          <w:lang w:val="es-ES"/>
        </w:rPr>
        <w:t>la redacción que propone [1] en su apartado 19, reconociendo los congresos ICORE A*/A como aportaciones ordinarias (recomendación R1).</w:t>
      </w:r>
    </w:p>
    <w:p w14:paraId="7834E0CD" w14:textId="77777777" w:rsidR="00E75E4A" w:rsidRPr="006A3EBA" w:rsidRDefault="00E75E4A" w:rsidP="00E75E4A">
      <w:pPr>
        <w:pStyle w:val="Prrafodelista"/>
        <w:numPr>
          <w:ilvl w:val="0"/>
          <w:numId w:val="2"/>
        </w:numPr>
        <w:jc w:val="both"/>
        <w:rPr>
          <w:lang w:val="es-ES"/>
        </w:rPr>
      </w:pPr>
      <w:r>
        <w:rPr>
          <w:lang w:val="es-ES"/>
        </w:rPr>
        <w:t>Extender el criterio a las comisiones de acreditación de ANECA, en todas las figuras docentes y contractuales.</w:t>
      </w:r>
    </w:p>
    <w:p w14:paraId="66EC8F75" w14:textId="77777777" w:rsidR="006D15B4" w:rsidRPr="006A3EBA" w:rsidRDefault="0026364B">
      <w:pPr>
        <w:pStyle w:val="Prrafodelista"/>
        <w:numPr>
          <w:ilvl w:val="0"/>
          <w:numId w:val="2"/>
        </w:numPr>
        <w:jc w:val="both"/>
        <w:rPr>
          <w:lang w:val="es-ES"/>
        </w:rPr>
      </w:pPr>
      <w:r>
        <w:rPr>
          <w:lang w:val="es-ES"/>
        </w:rPr>
        <w:t>Incluir en el formulario de solicitud un campo específico para la narrativa de impacto y liderazgo en aportaciones a congresos (recomendación R3).</w:t>
      </w:r>
    </w:p>
    <w:p w14:paraId="1C4878C9" w14:textId="77777777" w:rsidR="006D15B4" w:rsidRPr="006A3EBA" w:rsidRDefault="0026364B">
      <w:pPr>
        <w:pStyle w:val="Prrafodelista"/>
        <w:numPr>
          <w:ilvl w:val="0"/>
          <w:numId w:val="2"/>
        </w:numPr>
        <w:spacing w:after="160"/>
        <w:jc w:val="both"/>
        <w:rPr>
          <w:lang w:val="es-ES"/>
        </w:rPr>
      </w:pPr>
      <w:r>
        <w:rPr>
          <w:lang w:val="es-ES"/>
        </w:rPr>
        <w:lastRenderedPageBreak/>
        <w:t xml:space="preserve">Reconocer en los criterios de evaluación la participación en comités de programa, </w:t>
      </w:r>
      <w:proofErr w:type="spellStart"/>
      <w:r>
        <w:rPr>
          <w:lang w:val="es-ES"/>
        </w:rPr>
        <w:t>steering</w:t>
      </w:r>
      <w:proofErr w:type="spellEnd"/>
      <w:r>
        <w:rPr>
          <w:lang w:val="es-ES"/>
        </w:rPr>
        <w:t xml:space="preserve"> </w:t>
      </w:r>
      <w:proofErr w:type="spellStart"/>
      <w:r>
        <w:rPr>
          <w:lang w:val="es-ES"/>
        </w:rPr>
        <w:t>committees</w:t>
      </w:r>
      <w:proofErr w:type="spellEnd"/>
      <w:r>
        <w:rPr>
          <w:lang w:val="es-ES"/>
        </w:rPr>
        <w:t xml:space="preserve"> y roles editoriales de los congresos ICORE A*/A como mérito de liderazgo (recomendación R4).</w:t>
      </w:r>
    </w:p>
    <w:p w14:paraId="234E8579" w14:textId="77777777" w:rsidR="006D15B4" w:rsidRDefault="0026364B">
      <w:pPr>
        <w:pStyle w:val="Ttulo2"/>
      </w:pPr>
      <w:r>
        <w:t xml:space="preserve">Fase 2 — Medio </w:t>
      </w:r>
      <w:proofErr w:type="spellStart"/>
      <w:r>
        <w:t>plazo</w:t>
      </w:r>
      <w:proofErr w:type="spellEnd"/>
      <w:r>
        <w:t xml:space="preserve"> (1-2 </w:t>
      </w:r>
      <w:proofErr w:type="spellStart"/>
      <w:r>
        <w:t>años</w:t>
      </w:r>
      <w:proofErr w:type="spellEnd"/>
      <w:r>
        <w:t>)</w:t>
      </w:r>
    </w:p>
    <w:p w14:paraId="75CBD639" w14:textId="77777777" w:rsidR="006D15B4" w:rsidRPr="006A3EBA" w:rsidRDefault="0026364B">
      <w:pPr>
        <w:pStyle w:val="Prrafodelista"/>
        <w:numPr>
          <w:ilvl w:val="0"/>
          <w:numId w:val="2"/>
        </w:numPr>
        <w:jc w:val="both"/>
        <w:rPr>
          <w:lang w:val="es-ES"/>
        </w:rPr>
      </w:pPr>
      <w:r>
        <w:rPr>
          <w:lang w:val="es-ES"/>
        </w:rPr>
        <w:t>Publicar el primer informe periódico de seguimiento bibliométrico previsto en la recomendación R5, ampliado con los indicadores de liderazgo del diagnóstico (1.4) y usando como línea de partida los datos 2021-2025 de [2].</w:t>
      </w:r>
    </w:p>
    <w:p w14:paraId="27E65114" w14:textId="77777777" w:rsidR="006D15B4" w:rsidRPr="006A3EBA" w:rsidRDefault="0026364B">
      <w:pPr>
        <w:pStyle w:val="Prrafodelista"/>
        <w:numPr>
          <w:ilvl w:val="0"/>
          <w:numId w:val="2"/>
        </w:numPr>
        <w:spacing w:after="160"/>
        <w:jc w:val="both"/>
        <w:rPr>
          <w:lang w:val="es-ES"/>
        </w:rPr>
      </w:pPr>
      <w:r>
        <w:rPr>
          <w:lang w:val="es-ES"/>
        </w:rPr>
        <w:t xml:space="preserve">Trasladar a la Secretaría de Estado de Universidades y a la Agencia Estatal de Investigación la propuesta de coherencia </w:t>
      </w:r>
      <w:proofErr w:type="spellStart"/>
      <w:r>
        <w:rPr>
          <w:lang w:val="es-ES"/>
        </w:rPr>
        <w:t>interagencial</w:t>
      </w:r>
      <w:proofErr w:type="spellEnd"/>
      <w:r>
        <w:rPr>
          <w:lang w:val="es-ES"/>
        </w:rPr>
        <w:t xml:space="preserve"> de la recomendación R6, y emitir la nota de orientación a agencias autonómicas prevista en R2.</w:t>
      </w:r>
    </w:p>
    <w:p w14:paraId="49C13638" w14:textId="77777777" w:rsidR="006D15B4" w:rsidRDefault="0026364B">
      <w:pPr>
        <w:pStyle w:val="Ttulo2"/>
      </w:pPr>
      <w:r>
        <w:t xml:space="preserve">Fase 3 — Largo </w:t>
      </w:r>
      <w:proofErr w:type="spellStart"/>
      <w:r>
        <w:t>plazo</w:t>
      </w:r>
      <w:proofErr w:type="spellEnd"/>
      <w:r>
        <w:t xml:space="preserve"> (3-5 </w:t>
      </w:r>
      <w:proofErr w:type="spellStart"/>
      <w:r>
        <w:t>años</w:t>
      </w:r>
      <w:proofErr w:type="spellEnd"/>
      <w:r>
        <w:t>)</w:t>
      </w:r>
    </w:p>
    <w:p w14:paraId="1449E6E7" w14:textId="77777777" w:rsidR="006D15B4" w:rsidRPr="006A3EBA" w:rsidRDefault="0026364B">
      <w:pPr>
        <w:pStyle w:val="Prrafodelista"/>
        <w:numPr>
          <w:ilvl w:val="0"/>
          <w:numId w:val="2"/>
        </w:numPr>
        <w:jc w:val="both"/>
        <w:rPr>
          <w:lang w:val="es-ES"/>
        </w:rPr>
      </w:pPr>
      <w:r>
        <w:rPr>
          <w:lang w:val="es-ES"/>
        </w:rPr>
        <w:t>Comprobar, con los datos del seguimiento periódico, si la reforma ha conseguido recuperar la cuota relativa española, prestando especial atención al nivel A* y a las áreas con mayor caída, inteligencia artificial y teoría.</w:t>
      </w:r>
    </w:p>
    <w:p w14:paraId="722BD640" w14:textId="77777777" w:rsidR="006D15B4" w:rsidRPr="006A3EBA" w:rsidRDefault="0026364B">
      <w:pPr>
        <w:pStyle w:val="Prrafodelista"/>
        <w:numPr>
          <w:ilvl w:val="0"/>
          <w:numId w:val="2"/>
        </w:numPr>
        <w:jc w:val="both"/>
        <w:rPr>
          <w:lang w:val="es-ES"/>
        </w:rPr>
      </w:pPr>
      <w:r>
        <w:rPr>
          <w:lang w:val="es-ES"/>
        </w:rPr>
        <w:t>Impulsar, junto a las agencias autonómicas de calidad universitaria, las escuelas de doctorado, las universidades y los centros e institutos de investigación, la extensión coherente del criterio a toda la carrera investigadora, dado el efecto de arrastre descrito en el diagnóstico.</w:t>
      </w:r>
    </w:p>
    <w:p w14:paraId="16C74725" w14:textId="225F16B6" w:rsidR="006D15B4" w:rsidRPr="006A3EBA" w:rsidRDefault="0026364B">
      <w:pPr>
        <w:pStyle w:val="Prrafodelista"/>
        <w:numPr>
          <w:ilvl w:val="0"/>
          <w:numId w:val="2"/>
        </w:numPr>
        <w:spacing w:after="240"/>
        <w:jc w:val="both"/>
        <w:rPr>
          <w:lang w:val="es-ES"/>
        </w:rPr>
      </w:pPr>
      <w:r>
        <w:rPr>
          <w:lang w:val="es-ES"/>
        </w:rPr>
        <w:t>Trasladar a AEI, MICIU y comunidades autónomas la conveniencia de acompañar esta reforma evaluativa con medidas de financiación de acceso a congresos</w:t>
      </w:r>
      <w:r w:rsidR="005C7132">
        <w:rPr>
          <w:lang w:val="es-ES"/>
        </w:rPr>
        <w:t>,</w:t>
      </w:r>
      <w:r>
        <w:rPr>
          <w:lang w:val="es-ES"/>
        </w:rPr>
        <w:t xml:space="preserve"> formación doctoral </w:t>
      </w:r>
      <w:r w:rsidR="005C7132">
        <w:rPr>
          <w:lang w:val="es-ES"/>
        </w:rPr>
        <w:t xml:space="preserve">e instrumentos específicos </w:t>
      </w:r>
      <w:r>
        <w:rPr>
          <w:lang w:val="es-ES"/>
        </w:rPr>
        <w:t>orientadas al liderazgo, conforme al principio de coherencia sistémica (P5), cuyo desarrollo concreto excede el ámbito de ANECA y CNEAI y corresponde a esos organismos.</w:t>
      </w:r>
    </w:p>
    <w:p w14:paraId="76010D83" w14:textId="77777777" w:rsidR="006D15B4" w:rsidRPr="006A3EBA" w:rsidRDefault="0026364B">
      <w:pPr>
        <w:pStyle w:val="Ttulo1"/>
        <w:rPr>
          <w:lang w:val="es-ES"/>
        </w:rPr>
      </w:pPr>
      <w:r>
        <w:rPr>
          <w:lang w:val="es-ES"/>
        </w:rPr>
        <w:t>Conclusión</w:t>
      </w:r>
    </w:p>
    <w:p w14:paraId="217047D6" w14:textId="77777777" w:rsidR="006D15B4" w:rsidRPr="006A3EBA" w:rsidRDefault="0026364B">
      <w:pPr>
        <w:spacing w:after="120"/>
        <w:jc w:val="both"/>
        <w:rPr>
          <w:lang w:val="es-ES"/>
        </w:rPr>
      </w:pPr>
      <w:r>
        <w:rPr>
          <w:lang w:val="es-ES"/>
        </w:rPr>
        <w:t xml:space="preserve">La SCIE no plantea esta propuesta como un privilegio para la informática, sino como la corrección de un error de diseño que lleva años produciendo un resultado previsible: investigadores que eligen el canal de publicación administrativamente rentable en lugar del canal científicamente correcto. Esa corrección es coherente con la práctica real de la disciplina, sobre todo en entornos internacionales, con los compromisos que la propia ANECA asumió al adherirse a </w:t>
      </w:r>
      <w:proofErr w:type="spellStart"/>
      <w:r>
        <w:rPr>
          <w:lang w:val="es-ES"/>
        </w:rPr>
        <w:t>CoARA</w:t>
      </w:r>
      <w:proofErr w:type="spellEnd"/>
      <w:r>
        <w:rPr>
          <w:lang w:val="es-ES"/>
        </w:rPr>
        <w:t xml:space="preserve">, y con un precedente normativo que ya existió en España hasta 2022. El diagnóstico bibliométrico aporta urgencia adicional: España pierde peso relativo precisamente frente a competidores europeos que sí valoran los congresos de informática como canales de publicación rigurosos de los resultados de investigación. La reforma evaluativa es el primer paso y el de mayor impacto inmediato sobre los incentivos del sistema; acompañada de las medidas de financiación y formación que </w:t>
      </w:r>
      <w:proofErr w:type="gramStart"/>
      <w:r>
        <w:rPr>
          <w:lang w:val="es-ES"/>
        </w:rPr>
        <w:t>le</w:t>
      </w:r>
      <w:proofErr w:type="gramEnd"/>
      <w:r>
        <w:rPr>
          <w:lang w:val="es-ES"/>
        </w:rPr>
        <w:t xml:space="preserve"> corresponden a otros actores, puede ser también el punto de partida de una recuperación sostenida.</w:t>
      </w:r>
    </w:p>
    <w:p w14:paraId="6B80B049" w14:textId="77777777" w:rsidR="006D15B4" w:rsidRPr="006A3EBA" w:rsidRDefault="0026364B">
      <w:pPr>
        <w:pStyle w:val="Ttulo1"/>
        <w:rPr>
          <w:lang w:val="es-ES"/>
        </w:rPr>
      </w:pPr>
      <w:r>
        <w:rPr>
          <w:lang w:val="es-ES"/>
        </w:rPr>
        <w:t>Referencias</w:t>
      </w:r>
    </w:p>
    <w:p w14:paraId="42F7CEAA" w14:textId="77777777" w:rsidR="006D15B4" w:rsidRPr="006A3EBA" w:rsidRDefault="0026364B">
      <w:pPr>
        <w:spacing w:after="120"/>
        <w:jc w:val="both"/>
        <w:rPr>
          <w:lang w:val="es-ES"/>
        </w:rPr>
      </w:pPr>
      <w:r>
        <w:rPr>
          <w:lang w:val="es-ES"/>
        </w:rPr>
        <w:t>Este documento se apoya en dos informes técnicos independientes, elaborados en el contexto de la comunidad científica española de Informática, que se citan a lo largo del texto y que pueden adjuntarse como anexos según el formato final de presentación.</w:t>
      </w:r>
    </w:p>
    <w:p w14:paraId="37C02A32" w14:textId="423B17D3" w:rsidR="006D15B4" w:rsidRPr="006A3EBA" w:rsidRDefault="0026364B">
      <w:pPr>
        <w:spacing w:after="80"/>
        <w:jc w:val="both"/>
        <w:rPr>
          <w:lang w:val="es-ES"/>
        </w:rPr>
      </w:pPr>
      <w:r>
        <w:rPr>
          <w:b/>
          <w:bCs/>
          <w:lang w:val="es-ES"/>
        </w:rPr>
        <w:t xml:space="preserve">[1] </w:t>
      </w:r>
      <w:r>
        <w:rPr>
          <w:i/>
          <w:iCs/>
          <w:lang w:val="es-ES"/>
        </w:rPr>
        <w:t>“Congresos y revistas en informática: hacia una evaluación científica adecuada a la disciplina”</w:t>
      </w:r>
      <w:r>
        <w:rPr>
          <w:lang w:val="es-ES"/>
        </w:rPr>
        <w:t xml:space="preserve"> (informe de fundamentación). </w:t>
      </w:r>
      <w:r w:rsidR="00A524EB">
        <w:rPr>
          <w:lang w:val="es-ES"/>
        </w:rPr>
        <w:t>30/06/2026</w:t>
      </w:r>
      <w:r>
        <w:rPr>
          <w:lang w:val="es-ES"/>
        </w:rPr>
        <w:t>.</w:t>
      </w:r>
    </w:p>
    <w:p w14:paraId="621FA338" w14:textId="7EACB224" w:rsidR="006D15B4" w:rsidRDefault="0026364B">
      <w:pPr>
        <w:jc w:val="both"/>
      </w:pPr>
      <w:r>
        <w:rPr>
          <w:b/>
          <w:bCs/>
          <w:lang w:val="es-ES"/>
        </w:rPr>
        <w:t xml:space="preserve">[2] </w:t>
      </w:r>
      <w:r>
        <w:rPr>
          <w:i/>
          <w:iCs/>
          <w:lang w:val="es-ES"/>
        </w:rPr>
        <w:t>“Presencia española en congresos CORE/ICORE 2026 A* y A”</w:t>
      </w:r>
      <w:r>
        <w:rPr>
          <w:lang w:val="es-ES"/>
        </w:rPr>
        <w:t xml:space="preserve"> (informe bibliométrico). </w:t>
      </w:r>
      <w:r w:rsidR="00A524EB">
        <w:t>25/06/</w:t>
      </w:r>
      <w:r>
        <w:t xml:space="preserve">2026. </w:t>
      </w:r>
    </w:p>
    <w:sectPr w:rsidR="006D15B4">
      <w:footerReference w:type="default" r:id="rId8"/>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7D14A43" w14:textId="77777777" w:rsidR="00DD04AF" w:rsidRDefault="00DD04AF">
      <w:r>
        <w:separator/>
      </w:r>
    </w:p>
  </w:endnote>
  <w:endnote w:type="continuationSeparator" w:id="0">
    <w:p w14:paraId="61D06B4F" w14:textId="77777777" w:rsidR="00DD04AF" w:rsidRDefault="00DD04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97ED11" w14:textId="20694F10" w:rsidR="004D686F" w:rsidRDefault="00C12837">
    <w:pPr>
      <w:pBdr>
        <w:top w:val="single" w:sz="4" w:space="1" w:color="CCCCCC"/>
      </w:pBdr>
      <w:tabs>
        <w:tab w:val="right" w:pos="9356"/>
      </w:tabs>
      <w:jc w:val="center"/>
      <w:rPr>
        <w:lang w:val="es-ES"/>
      </w:rPr>
    </w:pPr>
    <w:r>
      <w:rPr>
        <w:color w:val="888888"/>
        <w:sz w:val="16"/>
        <w:szCs w:val="16"/>
        <w:lang w:val="es-ES"/>
      </w:rPr>
      <w:t>01</w:t>
    </w:r>
    <w:r w:rsidR="00ED7F6F">
      <w:rPr>
        <w:color w:val="888888"/>
        <w:sz w:val="16"/>
        <w:szCs w:val="16"/>
        <w:lang w:val="es-ES"/>
      </w:rPr>
      <w:t>/0</w:t>
    </w:r>
    <w:r>
      <w:rPr>
        <w:color w:val="888888"/>
        <w:sz w:val="16"/>
        <w:szCs w:val="16"/>
        <w:lang w:val="es-ES"/>
      </w:rPr>
      <w:t>7</w:t>
    </w:r>
    <w:r w:rsidR="00ED7F6F">
      <w:rPr>
        <w:color w:val="888888"/>
        <w:sz w:val="16"/>
        <w:szCs w:val="16"/>
        <w:lang w:val="es-ES"/>
      </w:rPr>
      <w:t>/2026</w:t>
    </w:r>
    <w:r w:rsidR="00ED7F6F">
      <w:rPr>
        <w:color w:val="888888"/>
        <w:sz w:val="16"/>
        <w:szCs w:val="16"/>
        <w:lang w:val="es-ES"/>
      </w:rPr>
      <w:tab/>
      <w:t xml:space="preserve">Página </w:t>
    </w:r>
    <w:r w:rsidR="00ED7F6F">
      <w:rPr>
        <w:color w:val="888888"/>
        <w:sz w:val="16"/>
        <w:szCs w:val="16"/>
      </w:rPr>
      <w:fldChar w:fldCharType="begin"/>
    </w:r>
    <w:r w:rsidR="00ED7F6F">
      <w:rPr>
        <w:color w:val="888888"/>
        <w:sz w:val="16"/>
        <w:szCs w:val="16"/>
        <w:lang w:val="es-ES"/>
      </w:rPr>
      <w:instrText>PAGE</w:instrText>
    </w:r>
    <w:r w:rsidR="00ED7F6F">
      <w:rPr>
        <w:color w:val="888888"/>
        <w:sz w:val="16"/>
        <w:szCs w:val="16"/>
      </w:rPr>
      <w:fldChar w:fldCharType="separate"/>
    </w:r>
    <w:r w:rsidR="00ED7F6F">
      <w:rPr>
        <w:noProof/>
        <w:color w:val="888888"/>
        <w:sz w:val="16"/>
        <w:szCs w:val="16"/>
        <w:lang w:val="es-ES"/>
      </w:rPr>
      <w:t>1</w:t>
    </w:r>
    <w:r w:rsidR="00ED7F6F">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F9F62A" w14:textId="77777777" w:rsidR="00DD04AF" w:rsidRDefault="00DD04AF">
      <w:r>
        <w:separator/>
      </w:r>
    </w:p>
  </w:footnote>
  <w:footnote w:type="continuationSeparator" w:id="0">
    <w:p w14:paraId="17541A5D" w14:textId="77777777" w:rsidR="00DD04AF" w:rsidRDefault="00DD04A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5062072"/>
    <w:multiLevelType w:val="hybridMultilevel"/>
    <w:tmpl w:val="C108F0A4"/>
    <w:lvl w:ilvl="0" w:tplc="FFFFFFFF">
      <w:start w:val="1"/>
      <w:numFmt w:val="bullet"/>
      <w:lvlText w:val="●"/>
      <w:lvlJc w:val="left"/>
      <w:pPr>
        <w:ind w:left="720" w:hanging="360"/>
      </w:pPr>
    </w:lvl>
    <w:lvl w:ilvl="1" w:tplc="FFFFFFFF">
      <w:start w:val="1"/>
      <w:numFmt w:val="bullet"/>
      <w:lvlText w:val="○"/>
      <w:lvlJc w:val="left"/>
      <w:pPr>
        <w:ind w:left="1440" w:hanging="360"/>
      </w:p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start w:val="1"/>
      <w:numFmt w:val="bullet"/>
      <w:lvlText w:val="●"/>
      <w:lvlJc w:val="left"/>
      <w:pPr>
        <w:ind w:left="5760" w:hanging="360"/>
      </w:pPr>
    </w:lvl>
    <w:lvl w:ilvl="8" w:tplc="FFFFFFFF">
      <w:start w:val="1"/>
      <w:numFmt w:val="bullet"/>
      <w:lvlText w:val="●"/>
      <w:lvlJc w:val="left"/>
      <w:pPr>
        <w:ind w:left="6480" w:hanging="360"/>
      </w:pPr>
    </w:lvl>
  </w:abstractNum>
  <w:abstractNum w:abstractNumId="1" w15:restartNumberingAfterBreak="0">
    <w:nsid w:val="29710EF9"/>
    <w:multiLevelType w:val="hybridMultilevel"/>
    <w:tmpl w:val="542216E8"/>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356469F6"/>
    <w:multiLevelType w:val="hybridMultilevel"/>
    <w:tmpl w:val="BE426912"/>
    <w:lvl w:ilvl="0" w:tplc="FFFFFFFF">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abstractNumId w:val="0"/>
    <w:lvlOverride w:ilvl="0">
      <w:startOverride w:val="1"/>
    </w:lvlOverride>
  </w:num>
  <w:num w:numId="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15B4"/>
    <w:rsid w:val="001D5049"/>
    <w:rsid w:val="0025516E"/>
    <w:rsid w:val="0026364B"/>
    <w:rsid w:val="004D686F"/>
    <w:rsid w:val="005B080D"/>
    <w:rsid w:val="005C7132"/>
    <w:rsid w:val="005E7382"/>
    <w:rsid w:val="006A3EBA"/>
    <w:rsid w:val="006D15B4"/>
    <w:rsid w:val="00A524EB"/>
    <w:rsid w:val="00AA6B37"/>
    <w:rsid w:val="00C12837"/>
    <w:rsid w:val="00D86FE3"/>
    <w:rsid w:val="00DD04AF"/>
    <w:rsid w:val="00E75E4A"/>
    <w:rsid w:val="00EB3B5E"/>
    <w:rsid w:val="00ED7F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7374A0"/>
  <w15:docId w15:val="{5C1D0C12-A69B-4CCF-8557-4DBBCBF96C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20" w:after="160"/>
      <w:outlineLvl w:val="0"/>
    </w:pPr>
    <w:rPr>
      <w:b/>
      <w:bCs/>
      <w:color w:val="1F3864"/>
      <w:sz w:val="26"/>
      <w:szCs w:val="28"/>
    </w:rPr>
  </w:style>
  <w:style w:type="paragraph" w:styleId="Ttulo2">
    <w:name w:val="heading 2"/>
    <w:uiPriority w:val="9"/>
    <w:unhideWhenUsed/>
    <w:qFormat/>
    <w:pPr>
      <w:spacing w:before="240" w:after="120"/>
      <w:outlineLvl w:val="1"/>
    </w:pPr>
    <w:rPr>
      <w:b/>
      <w:bCs/>
      <w:color w:val="1F3864"/>
      <w:sz w:val="22"/>
      <w:szCs w:val="24"/>
    </w:rPr>
  </w:style>
  <w:style w:type="paragraph" w:styleId="Ttulo3">
    <w:name w:val="heading 3"/>
    <w:uiPriority w:val="9"/>
    <w:semiHidden/>
    <w:unhideWhenUsed/>
    <w:qFormat/>
    <w:pPr>
      <w:spacing w:before="160" w:after="80"/>
      <w:outlineLvl w:val="2"/>
    </w:pPr>
    <w:rPr>
      <w:b/>
      <w:bCs/>
      <w:i/>
      <w:iCs/>
      <w:color w:val="2E5395"/>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18"/>
    </w:rPr>
  </w:style>
  <w:style w:type="character" w:customStyle="1" w:styleId="TextonotapieCar">
    <w:name w:val="Texto nota pie Car"/>
    <w:link w:val="Textonotapie"/>
    <w:uiPriority w:val="99"/>
    <w:semiHidden/>
    <w:unhideWhenUsed/>
    <w:rPr>
      <w:sz w:val="18"/>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18"/>
    </w:rPr>
  </w:style>
  <w:style w:type="character" w:customStyle="1" w:styleId="TextonotaalfinalCar">
    <w:name w:val="Texto nota al final Car"/>
    <w:link w:val="Textonotaalfinal"/>
    <w:uiPriority w:val="99"/>
    <w:semiHidden/>
    <w:unhideWhenUsed/>
    <w:rPr>
      <w:sz w:val="18"/>
      <w:szCs w:val="20"/>
    </w:rPr>
  </w:style>
  <w:style w:type="paragraph" w:styleId="Encabezado">
    <w:name w:val="header"/>
    <w:basedOn w:val="Normal"/>
    <w:link w:val="EncabezadoCar"/>
    <w:uiPriority w:val="99"/>
    <w:unhideWhenUsed/>
    <w:rsid w:val="00C12837"/>
    <w:pPr>
      <w:tabs>
        <w:tab w:val="center" w:pos="4419"/>
        <w:tab w:val="right" w:pos="8838"/>
      </w:tabs>
    </w:pPr>
  </w:style>
  <w:style w:type="character" w:customStyle="1" w:styleId="EncabezadoCar">
    <w:name w:val="Encabezado Car"/>
    <w:basedOn w:val="Fuentedeprrafopredeter"/>
    <w:link w:val="Encabezado"/>
    <w:uiPriority w:val="99"/>
    <w:rsid w:val="00C12837"/>
  </w:style>
  <w:style w:type="paragraph" w:styleId="Piedepgina">
    <w:name w:val="footer"/>
    <w:basedOn w:val="Normal"/>
    <w:link w:val="PiedepginaCar"/>
    <w:uiPriority w:val="99"/>
    <w:unhideWhenUsed/>
    <w:rsid w:val="00C12837"/>
    <w:pPr>
      <w:tabs>
        <w:tab w:val="center" w:pos="4419"/>
        <w:tab w:val="right" w:pos="8838"/>
      </w:tabs>
    </w:pPr>
  </w:style>
  <w:style w:type="character" w:customStyle="1" w:styleId="PiedepginaCar">
    <w:name w:val="Pie de página Car"/>
    <w:basedOn w:val="Fuentedeprrafopredeter"/>
    <w:link w:val="Piedepgina"/>
    <w:uiPriority w:val="99"/>
    <w:rsid w:val="00C128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TotalTime>
  <Pages>1</Pages>
  <Words>3022</Words>
  <Characters>17231</Characters>
  <Application>Microsoft Office Word</Application>
  <DocSecurity>0</DocSecurity>
  <Lines>143</Lines>
  <Paragraphs>40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20213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Antonio Vallecillo</cp:lastModifiedBy>
  <cp:revision>9</cp:revision>
  <dcterms:created xsi:type="dcterms:W3CDTF">2026-06-30T11:28:00Z</dcterms:created>
  <dcterms:modified xsi:type="dcterms:W3CDTF">2026-06-30T19:26:00Z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084963bd-1cea-49d5-a8f7-d0cc23acf4ad</vt:lpwstr>
  </property>
</Properties>
</file>