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C" w14:textId="494A3A98" w:rsidR="00B376ED" w:rsidRDefault="00553304" w:rsidP="00B376ED">
      <w:pPr>
        <w:pStyle w:val="BodyTextIndent"/>
        <w:ind w:right="360"/>
        <w:jc w:val="center"/>
        <w:rPr>
          <w:rFonts w:ascii="Arial" w:hAnsi="Arial" w:cs="Arial"/>
          <w:b/>
          <w:bCs/>
          <w:sz w:val="40"/>
          <w:szCs w:val="40"/>
        </w:rPr>
      </w:pPr>
      <w:r w:rsidRPr="00553304">
        <w:rPr>
          <w:rFonts w:ascii="Arial" w:hAnsi="Arial" w:cs="Arial"/>
          <w:b/>
          <w:bCs/>
          <w:sz w:val="40"/>
          <w:szCs w:val="40"/>
        </w:rPr>
        <w:t>Speech Recognition for Air Traffic Control</w:t>
      </w:r>
    </w:p>
    <w:p w14:paraId="3FB6B3F5" w14:textId="77777777" w:rsidR="00553304" w:rsidRPr="00B43C59" w:rsidRDefault="00553304"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351DAA99"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r w:rsidR="00553304">
        <w:rPr>
          <w:rFonts w:ascii="Arial" w:hAnsi="Arial" w:cs="Arial"/>
          <w:sz w:val="24"/>
          <w:szCs w:val="24"/>
        </w:rPr>
        <w:t xml:space="preserve"> </w:t>
      </w:r>
      <w:r w:rsidR="00553304">
        <w:rPr>
          <w:rFonts w:ascii="Arial" w:hAnsi="Arial" w:cs="Arial"/>
          <w:szCs w:val="24"/>
        </w:rPr>
        <w:t xml:space="preserve">Braeden Burnett, Jakob </w:t>
      </w:r>
      <w:proofErr w:type="spellStart"/>
      <w:r w:rsidR="00553304">
        <w:rPr>
          <w:rFonts w:ascii="Arial" w:hAnsi="Arial" w:cs="Arial"/>
          <w:szCs w:val="24"/>
        </w:rPr>
        <w:t>Haehre</w:t>
      </w:r>
      <w:proofErr w:type="spellEnd"/>
      <w:r w:rsidR="00553304">
        <w:rPr>
          <w:rFonts w:ascii="Arial" w:hAnsi="Arial" w:cs="Arial"/>
          <w:szCs w:val="24"/>
        </w:rPr>
        <w:t>, Kira McFadden, Tyler Carr</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553304">
        <w:tc>
          <w:tcPr>
            <w:tcW w:w="4692"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65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553304" w14:paraId="2EA0C266" w14:textId="77777777" w:rsidTr="00553304">
        <w:tc>
          <w:tcPr>
            <w:tcW w:w="4692" w:type="dxa"/>
          </w:tcPr>
          <w:p w14:paraId="2EA0C264" w14:textId="0B32667A" w:rsidR="00553304" w:rsidRDefault="00553304" w:rsidP="00553304">
            <w:pPr>
              <w:rPr>
                <w:rFonts w:ascii="Arial" w:hAnsi="Arial" w:cs="Arial"/>
                <w:sz w:val="24"/>
                <w:szCs w:val="24"/>
              </w:rPr>
            </w:pPr>
            <w:r>
              <w:rPr>
                <w:rFonts w:ascii="Arial" w:hAnsi="Arial" w:cs="Arial"/>
                <w:szCs w:val="24"/>
              </w:rPr>
              <w:t>1</w:t>
            </w:r>
          </w:p>
        </w:tc>
        <w:tc>
          <w:tcPr>
            <w:tcW w:w="4658" w:type="dxa"/>
          </w:tcPr>
          <w:p w14:paraId="2EA0C265" w14:textId="27921D94" w:rsidR="00553304" w:rsidRDefault="00553304" w:rsidP="00553304">
            <w:pPr>
              <w:rPr>
                <w:rFonts w:ascii="Arial" w:hAnsi="Arial" w:cs="Arial"/>
                <w:sz w:val="24"/>
                <w:szCs w:val="24"/>
              </w:rPr>
            </w:pPr>
            <w:r>
              <w:rPr>
                <w:rFonts w:ascii="Arial" w:hAnsi="Arial" w:cs="Arial"/>
                <w:szCs w:val="24"/>
              </w:rPr>
              <w:t>9/17/22</w:t>
            </w:r>
          </w:p>
        </w:tc>
      </w:tr>
      <w:tr w:rsidR="00553304" w14:paraId="2EA0C269" w14:textId="77777777" w:rsidTr="00553304">
        <w:tc>
          <w:tcPr>
            <w:tcW w:w="4692" w:type="dxa"/>
          </w:tcPr>
          <w:p w14:paraId="2EA0C267" w14:textId="77777777" w:rsidR="00553304" w:rsidRDefault="00553304" w:rsidP="00553304">
            <w:pPr>
              <w:rPr>
                <w:rFonts w:ascii="Arial" w:hAnsi="Arial" w:cs="Arial"/>
                <w:sz w:val="24"/>
                <w:szCs w:val="24"/>
              </w:rPr>
            </w:pPr>
          </w:p>
        </w:tc>
        <w:tc>
          <w:tcPr>
            <w:tcW w:w="4658" w:type="dxa"/>
          </w:tcPr>
          <w:p w14:paraId="2EA0C268" w14:textId="77777777" w:rsidR="00553304" w:rsidRDefault="00553304" w:rsidP="00553304">
            <w:pPr>
              <w:rPr>
                <w:rFonts w:ascii="Arial" w:hAnsi="Arial" w:cs="Arial"/>
                <w:sz w:val="24"/>
                <w:szCs w:val="24"/>
              </w:rPr>
            </w:pPr>
          </w:p>
        </w:tc>
      </w:tr>
      <w:tr w:rsidR="00553304" w14:paraId="2EA0C26C" w14:textId="77777777" w:rsidTr="00553304">
        <w:tc>
          <w:tcPr>
            <w:tcW w:w="4692" w:type="dxa"/>
          </w:tcPr>
          <w:p w14:paraId="2EA0C26A" w14:textId="77777777" w:rsidR="00553304" w:rsidRDefault="00553304" w:rsidP="00553304">
            <w:pPr>
              <w:rPr>
                <w:rFonts w:ascii="Arial" w:hAnsi="Arial" w:cs="Arial"/>
                <w:sz w:val="24"/>
                <w:szCs w:val="24"/>
              </w:rPr>
            </w:pPr>
          </w:p>
        </w:tc>
        <w:tc>
          <w:tcPr>
            <w:tcW w:w="4658" w:type="dxa"/>
          </w:tcPr>
          <w:p w14:paraId="2EA0C26B" w14:textId="77777777" w:rsidR="00553304" w:rsidRDefault="00553304" w:rsidP="00553304">
            <w:pPr>
              <w:rPr>
                <w:rFonts w:ascii="Arial" w:hAnsi="Arial" w:cs="Arial"/>
                <w:sz w:val="24"/>
                <w:szCs w:val="24"/>
              </w:rPr>
            </w:pPr>
          </w:p>
        </w:tc>
      </w:tr>
      <w:tr w:rsidR="00553304" w14:paraId="2EA0C26F" w14:textId="77777777" w:rsidTr="00553304">
        <w:tc>
          <w:tcPr>
            <w:tcW w:w="4692" w:type="dxa"/>
          </w:tcPr>
          <w:p w14:paraId="2EA0C26D" w14:textId="77777777" w:rsidR="00553304" w:rsidRDefault="00553304" w:rsidP="00553304">
            <w:pPr>
              <w:rPr>
                <w:rFonts w:ascii="Arial" w:hAnsi="Arial" w:cs="Arial"/>
                <w:sz w:val="24"/>
                <w:szCs w:val="24"/>
              </w:rPr>
            </w:pPr>
          </w:p>
        </w:tc>
        <w:tc>
          <w:tcPr>
            <w:tcW w:w="4658" w:type="dxa"/>
          </w:tcPr>
          <w:p w14:paraId="2EA0C26E" w14:textId="77777777" w:rsidR="00553304" w:rsidRDefault="00553304" w:rsidP="00553304">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000000">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000000">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000000">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000000">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77777777" w:rsidR="00B376ED" w:rsidRDefault="00B376ED" w:rsidP="00A13033">
      <w:pPr>
        <w:pStyle w:val="Heading2Text"/>
        <w:jc w:val="both"/>
      </w:pPr>
      <w:r w:rsidRPr="00B43C59">
        <w:t xml:space="preserve">This document is a test plan for </w:t>
      </w:r>
      <w:r w:rsidR="00684FDE">
        <w:t>&lt;Project Name&gt;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77777777"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w:t>
      </w:r>
      <w:proofErr w:type="gramStart"/>
      <w:r w:rsidR="0086521D" w:rsidRPr="0086521D">
        <w:rPr>
          <w:rFonts w:ascii="Arial" w:hAnsi="Arial" w:cs="Arial"/>
        </w:rPr>
        <w:t xml:space="preserve">the </w:t>
      </w:r>
      <w:r w:rsidR="00B376ED" w:rsidRPr="0086521D">
        <w:rPr>
          <w:rFonts w:ascii="Arial" w:hAnsi="Arial" w:cs="Arial"/>
        </w:rPr>
        <w:t xml:space="preserve"> </w:t>
      </w:r>
      <w:r w:rsidR="007D7C6F">
        <w:rPr>
          <w:rFonts w:ascii="Arial" w:hAnsi="Arial" w:cs="Arial"/>
        </w:rPr>
        <w:t>&lt;</w:t>
      </w:r>
      <w:proofErr w:type="gramEnd"/>
      <w:r w:rsidR="007D7C6F">
        <w:rPr>
          <w:rFonts w:ascii="Arial" w:hAnsi="Arial" w:cs="Arial"/>
        </w:rPr>
        <w:t>Project Name&gt;</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77777777" w:rsidR="00B376ED" w:rsidRPr="00120629" w:rsidRDefault="007D7C6F" w:rsidP="005600CE">
      <w:pPr>
        <w:pStyle w:val="NormalIndent"/>
        <w:jc w:val="both"/>
        <w:rPr>
          <w:rFonts w:ascii="Arial" w:hAnsi="Arial" w:cs="Arial"/>
        </w:rPr>
      </w:pPr>
      <w:r>
        <w:rPr>
          <w:rFonts w:ascii="Arial" w:hAnsi="Arial" w:cs="Arial"/>
        </w:rPr>
        <w:t>&lt;Project Name&gt;</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proofErr w:type="gramStart"/>
      <w:r w:rsidR="00B376ED">
        <w:rPr>
          <w:rFonts w:ascii="Arial" w:hAnsi="Arial" w:cs="Arial"/>
        </w:rPr>
        <w:t>work flows</w:t>
      </w:r>
      <w:proofErr w:type="gramEnd"/>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r>
        <w:rPr>
          <w:rFonts w:ascii="Arial" w:hAnsi="Arial" w:cs="Arial"/>
        </w:rPr>
        <w:t>In order to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2EA0C2A5" w14:textId="77777777" w:rsidR="00CC3F3B" w:rsidRPr="00CC3F3B" w:rsidRDefault="00B376ED" w:rsidP="00703217">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lastRenderedPageBreak/>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proofErr w:type="gramStart"/>
      <w:r>
        <w:t>changes</w:t>
      </w:r>
      <w:proofErr w:type="gramEnd"/>
      <w:r>
        <w:t xml:space="preserve">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A5B9" w14:textId="77777777" w:rsidR="007D0526" w:rsidRDefault="007D0526">
      <w:r>
        <w:separator/>
      </w:r>
    </w:p>
  </w:endnote>
  <w:endnote w:type="continuationSeparator" w:id="0">
    <w:p w14:paraId="162A255D" w14:textId="77777777" w:rsidR="007D0526" w:rsidRDefault="007D0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7EDA" w14:textId="77777777" w:rsidR="007D0526" w:rsidRDefault="007D0526">
      <w:r>
        <w:separator/>
      </w:r>
    </w:p>
  </w:footnote>
  <w:footnote w:type="continuationSeparator" w:id="0">
    <w:p w14:paraId="3B44A2F5" w14:textId="77777777" w:rsidR="007D0526" w:rsidRDefault="007D0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411658480">
    <w:abstractNumId w:val="0"/>
  </w:num>
  <w:num w:numId="2" w16cid:durableId="1691179901">
    <w:abstractNumId w:val="13"/>
  </w:num>
  <w:num w:numId="3" w16cid:durableId="2128235779">
    <w:abstractNumId w:val="1"/>
  </w:num>
  <w:num w:numId="4" w16cid:durableId="1073816670">
    <w:abstractNumId w:val="0"/>
    <w:lvlOverride w:ilvl="0">
      <w:startOverride w:val="8"/>
    </w:lvlOverride>
  </w:num>
  <w:num w:numId="5" w16cid:durableId="373817801">
    <w:abstractNumId w:val="3"/>
  </w:num>
  <w:num w:numId="6" w16cid:durableId="566572976">
    <w:abstractNumId w:val="16"/>
  </w:num>
  <w:num w:numId="7" w16cid:durableId="1507861511">
    <w:abstractNumId w:val="14"/>
  </w:num>
  <w:num w:numId="8" w16cid:durableId="1813981305">
    <w:abstractNumId w:val="18"/>
  </w:num>
  <w:num w:numId="9" w16cid:durableId="1599216488">
    <w:abstractNumId w:val="2"/>
  </w:num>
  <w:num w:numId="10" w16cid:durableId="158010652">
    <w:abstractNumId w:val="17"/>
  </w:num>
  <w:num w:numId="11" w16cid:durableId="1103382843">
    <w:abstractNumId w:val="12"/>
  </w:num>
  <w:num w:numId="12" w16cid:durableId="41026082">
    <w:abstractNumId w:val="15"/>
  </w:num>
  <w:num w:numId="13" w16cid:durableId="24063177">
    <w:abstractNumId w:val="19"/>
  </w:num>
  <w:num w:numId="14" w16cid:durableId="967585918">
    <w:abstractNumId w:val="9"/>
  </w:num>
  <w:num w:numId="15" w16cid:durableId="261762991">
    <w:abstractNumId w:val="21"/>
  </w:num>
  <w:num w:numId="16" w16cid:durableId="1222330215">
    <w:abstractNumId w:val="5"/>
  </w:num>
  <w:num w:numId="17" w16cid:durableId="341663038">
    <w:abstractNumId w:val="10"/>
  </w:num>
  <w:num w:numId="18" w16cid:durableId="1559896482">
    <w:abstractNumId w:val="8"/>
  </w:num>
  <w:num w:numId="19" w16cid:durableId="1642534950">
    <w:abstractNumId w:val="4"/>
  </w:num>
  <w:num w:numId="20" w16cid:durableId="357004335">
    <w:abstractNumId w:val="7"/>
  </w:num>
  <w:num w:numId="21" w16cid:durableId="765659766">
    <w:abstractNumId w:val="20"/>
  </w:num>
  <w:num w:numId="22" w16cid:durableId="313341259">
    <w:abstractNumId w:val="11"/>
  </w:num>
  <w:num w:numId="23" w16cid:durableId="1568540577">
    <w:abstractNumId w:val="6"/>
  </w:num>
  <w:num w:numId="24" w16cid:durableId="741678419">
    <w:abstractNumId w:val="0"/>
  </w:num>
  <w:num w:numId="25" w16cid:durableId="1005282830">
    <w:abstractNumId w:val="0"/>
  </w:num>
  <w:num w:numId="26" w16cid:durableId="1513565438">
    <w:abstractNumId w:val="0"/>
  </w:num>
  <w:num w:numId="27" w16cid:durableId="229583990">
    <w:abstractNumId w:val="0"/>
  </w:num>
  <w:num w:numId="28" w16cid:durableId="39108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521939"/>
    <w:rsid w:val="00540787"/>
    <w:rsid w:val="005413BD"/>
    <w:rsid w:val="00553304"/>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0526"/>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styleId="Emphasis">
    <w:name w:val="Emphasis"/>
    <w:basedOn w:val="DefaultParagraphFont"/>
    <w:qFormat/>
    <w:rsid w:val="005533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6380</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Carr, Tyler J.</cp:lastModifiedBy>
  <cp:revision>8</cp:revision>
  <cp:lastPrinted>2006-07-18T14:02:00Z</cp:lastPrinted>
  <dcterms:created xsi:type="dcterms:W3CDTF">2018-11-20T19:15:00Z</dcterms:created>
  <dcterms:modified xsi:type="dcterms:W3CDTF">2022-09-18T03:17:00Z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