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7D0A" w:rsidRDefault="00B77D0A" w:rsidP="00B77D0A">
      <w:pPr>
        <w:spacing w:line="360" w:lineRule="auto"/>
        <w:jc w:val="center"/>
      </w:pPr>
      <w:r>
        <w:t>Stake Finance DAO</w:t>
      </w:r>
    </w:p>
    <w:p w:rsidR="00B77D0A" w:rsidRDefault="00B77D0A" w:rsidP="00B77D0A">
      <w:pPr>
        <w:spacing w:line="360" w:lineRule="auto"/>
        <w:jc w:val="center"/>
      </w:pPr>
      <w:r>
        <w:t>Software Specifications</w:t>
      </w:r>
    </w:p>
    <w:p w:rsidR="00B77D0A" w:rsidRDefault="00B77D0A" w:rsidP="00B77D0A">
      <w:pPr>
        <w:spacing w:line="360" w:lineRule="auto"/>
      </w:pPr>
      <w:r>
        <w:t>(1</w:t>
      </w:r>
      <w:r>
        <w:rPr>
          <w:rFonts w:hint="eastAsia"/>
        </w:rPr>
        <w:t>)</w:t>
      </w:r>
      <w:r>
        <w:t xml:space="preserve"> Introduction:</w:t>
      </w:r>
    </w:p>
    <w:p w:rsidR="00B77D0A" w:rsidRDefault="00B77D0A" w:rsidP="00B77D0A">
      <w:pPr>
        <w:spacing w:line="360" w:lineRule="auto"/>
        <w:ind w:firstLine="720"/>
      </w:pPr>
      <w:r>
        <w:t xml:space="preserve">In today's booming </w:t>
      </w:r>
      <w:proofErr w:type="spellStart"/>
      <w:r>
        <w:t>blockchain</w:t>
      </w:r>
      <w:proofErr w:type="spellEnd"/>
      <w:r>
        <w:t xml:space="preserve"> era, new technologies and new ideas emerge in an endless stream. The emergence of DAO is a new trend of social development under the wave of </w:t>
      </w:r>
      <w:proofErr w:type="spellStart"/>
      <w:r>
        <w:t>blockchain</w:t>
      </w:r>
      <w:proofErr w:type="spellEnd"/>
      <w:r>
        <w:t xml:space="preserve"> technology. At the same time, as more and more public chains adopt the POS consensus mechanism, the pledge of native tokens has also become a rigid need. Therefore, the combination of DAO and POS pledge is </w:t>
      </w:r>
      <w:proofErr w:type="gramStart"/>
      <w:r>
        <w:t>inevitable ,</w:t>
      </w:r>
      <w:proofErr w:type="gramEnd"/>
      <w:r>
        <w:t xml:space="preserve"> we can call it the Stake Finance DAO or the </w:t>
      </w:r>
      <w:proofErr w:type="spellStart"/>
      <w:r>
        <w:t>StaFi</w:t>
      </w:r>
      <w:proofErr w:type="spellEnd"/>
      <w:r>
        <w:t xml:space="preserve"> DAO.</w:t>
      </w:r>
    </w:p>
    <w:p w:rsidR="00B77D0A" w:rsidRDefault="00B77D0A" w:rsidP="00B77D0A">
      <w:pPr>
        <w:spacing w:line="360" w:lineRule="auto"/>
        <w:ind w:firstLine="720"/>
      </w:pPr>
      <w:r>
        <w:t xml:space="preserve">In order to facilitate developers and users to better understand the design ideas and concepts of "Stake Finance DAO", this software was proposed after preliminary feasibility study and demand analysis, and in-depth discussion and analysis with programmers. </w:t>
      </w:r>
      <w:proofErr w:type="gramStart"/>
      <w:r>
        <w:t>Specification sheet.</w:t>
      </w:r>
      <w:proofErr w:type="gramEnd"/>
    </w:p>
    <w:p w:rsidR="00B77D0A" w:rsidRDefault="00B77D0A" w:rsidP="00B77D0A">
      <w:pPr>
        <w:spacing w:line="360" w:lineRule="auto"/>
        <w:ind w:firstLine="720"/>
      </w:pPr>
      <w:r>
        <w:t>This document is a phased summary of the work of a system analyst and provides a reference for project managers, designers, and developers.</w:t>
      </w:r>
    </w:p>
    <w:p w:rsidR="00B77D0A" w:rsidRDefault="00B77D0A" w:rsidP="00B77D0A">
      <w:pPr>
        <w:spacing w:line="360" w:lineRule="auto"/>
      </w:pPr>
      <w:r>
        <w:t>(2) Task overview:</w:t>
      </w:r>
    </w:p>
    <w:p w:rsidR="00B77D0A" w:rsidRDefault="00B77D0A" w:rsidP="00B77D0A">
      <w:pPr>
        <w:spacing w:line="360" w:lineRule="auto"/>
        <w:ind w:firstLine="720"/>
      </w:pPr>
      <w:r>
        <w:t>Mission goal: To establish a DAO that can self-govern the community and provide staking liquidity for nodes, which can bring higher user stickiness to the moonbeam ecosystem, bring more lucrative returns to moonbeam contributors, and bring benefits to moonbeam nodes. It will bring more liquidity, break the monopoly position of nodes, bring a more favorable balance to the competition between nodes, and make the ecological development more active and lasting.</w:t>
      </w:r>
    </w:p>
    <w:p w:rsidR="00B77D0A" w:rsidRDefault="00B77D0A" w:rsidP="00B77D0A">
      <w:pPr>
        <w:spacing w:line="360" w:lineRule="auto"/>
        <w:ind w:firstLine="720"/>
      </w:pPr>
      <w:r>
        <w:t xml:space="preserve">Operating environment: On-chain smart contracts run on the EVM of moonbeam network and </w:t>
      </w:r>
      <w:proofErr w:type="spellStart"/>
      <w:r>
        <w:t>moonriver</w:t>
      </w:r>
      <w:proofErr w:type="spellEnd"/>
      <w:r>
        <w:t xml:space="preserve"> network, on-chain transactions are based on </w:t>
      </w:r>
      <w:proofErr w:type="spellStart"/>
      <w:r>
        <w:t>ZENLink's</w:t>
      </w:r>
      <w:proofErr w:type="spellEnd"/>
      <w:r>
        <w:t xml:space="preserve"> SWAP; off-chain timers trigger on-chain interfaces based on JAVA Quartz.</w:t>
      </w:r>
    </w:p>
    <w:p w:rsidR="00B77D0A" w:rsidRDefault="00B77D0A" w:rsidP="00B77D0A">
      <w:pPr>
        <w:spacing w:line="360" w:lineRule="auto"/>
      </w:pPr>
      <w:r>
        <w:t>Conditional restrictions: limited by the team's knowledge level, technical ability and development experience; limited by the interface opening ability of moonbeam precompiled files; limited by EVM's support for triggering timing events.</w:t>
      </w:r>
    </w:p>
    <w:p w:rsidR="00B77D0A" w:rsidRDefault="00B77D0A" w:rsidP="00B77D0A">
      <w:pPr>
        <w:spacing w:line="360" w:lineRule="auto"/>
      </w:pPr>
      <w:r>
        <w:t>(3) Data description:</w:t>
      </w:r>
    </w:p>
    <w:p w:rsidR="00B77D0A" w:rsidRDefault="00B77D0A" w:rsidP="00B77D0A">
      <w:pPr>
        <w:spacing w:line="360" w:lineRule="auto"/>
        <w:ind w:firstLine="720"/>
      </w:pPr>
      <w:r>
        <w:t>Data storage: All data is stored on the moonbeam chain, and only a small amount of auxiliary data for interface triggering is stored off-chain.</w:t>
      </w:r>
    </w:p>
    <w:p w:rsidR="00B77D0A" w:rsidRDefault="00B77D0A" w:rsidP="00B77D0A">
      <w:pPr>
        <w:spacing w:line="360" w:lineRule="auto"/>
        <w:ind w:firstLine="720"/>
      </w:pPr>
      <w:r>
        <w:t>Data dictionary: time limit [30 days, 60 days, 180 days, 360 days, 720 days]; fee ratio [20, 30]; demand type [client, collector, validator]; ticket type [</w:t>
      </w:r>
      <w:proofErr w:type="spellStart"/>
      <w:r>
        <w:t>ECToken</w:t>
      </w:r>
      <w:proofErr w:type="spellEnd"/>
      <w:r>
        <w:t xml:space="preserve">, </w:t>
      </w:r>
      <w:proofErr w:type="spellStart"/>
      <w:r>
        <w:t>OCToken</w:t>
      </w:r>
      <w:proofErr w:type="spellEnd"/>
      <w:r>
        <w:t>] .</w:t>
      </w:r>
    </w:p>
    <w:p w:rsidR="00B77D0A" w:rsidRDefault="00B77D0A" w:rsidP="00B77D0A">
      <w:pPr>
        <w:spacing w:line="360" w:lineRule="auto"/>
      </w:pPr>
      <w:r>
        <w:t xml:space="preserve">System interface: refer to the precompiled interface file </w:t>
      </w:r>
      <w:proofErr w:type="spellStart"/>
      <w:r>
        <w:t>StakingInterface.sol</w:t>
      </w:r>
      <w:proofErr w:type="spellEnd"/>
      <w:r>
        <w:t xml:space="preserve">, and refer to the audited interface file </w:t>
      </w:r>
      <w:proofErr w:type="spellStart"/>
      <w:r>
        <w:t>Openzeppelin</w:t>
      </w:r>
      <w:proofErr w:type="spellEnd"/>
      <w:r>
        <w:t>.</w:t>
      </w:r>
    </w:p>
    <w:p w:rsidR="00B77D0A" w:rsidRDefault="00B77D0A" w:rsidP="00B77D0A">
      <w:pPr>
        <w:spacing w:line="360" w:lineRule="auto"/>
      </w:pPr>
      <w:r>
        <w:t>(4) Functional requirements: mainly include functional division and functional description.</w:t>
      </w:r>
    </w:p>
    <w:p w:rsidR="00B77D0A" w:rsidRDefault="00B77D0A" w:rsidP="00B77D0A">
      <w:pPr>
        <w:spacing w:line="360" w:lineRule="auto"/>
        <w:ind w:firstLine="720"/>
      </w:pPr>
      <w:r>
        <w:t>Function division: Pool module, Faucet module, governance module, SWAP.</w:t>
      </w:r>
    </w:p>
    <w:p w:rsidR="00B77D0A" w:rsidRDefault="00B77D0A" w:rsidP="00B77D0A">
      <w:pPr>
        <w:spacing w:line="360" w:lineRule="auto"/>
      </w:pPr>
      <w:r>
        <w:lastRenderedPageBreak/>
        <w:t>Function description:</w:t>
      </w:r>
    </w:p>
    <w:p w:rsidR="00B77D0A" w:rsidRDefault="00B77D0A" w:rsidP="00B77D0A">
      <w:pPr>
        <w:spacing w:line="360" w:lineRule="auto"/>
        <w:ind w:firstLine="720"/>
      </w:pPr>
      <w:r>
        <w:t>1. Pool module</w:t>
      </w:r>
    </w:p>
    <w:p w:rsidR="00B77D0A" w:rsidRDefault="00B77D0A" w:rsidP="00B77D0A">
      <w:pPr>
        <w:spacing w:line="360" w:lineRule="auto"/>
        <w:ind w:firstLine="720"/>
      </w:pPr>
      <w:r>
        <w:t>Open Pool: When the startup conditions are met, the pledge of the Pool is enabled;</w:t>
      </w:r>
    </w:p>
    <w:p w:rsidR="00B77D0A" w:rsidRDefault="00B77D0A" w:rsidP="00B77D0A">
      <w:pPr>
        <w:spacing w:line="360" w:lineRule="auto"/>
      </w:pPr>
      <w:r>
        <w:t xml:space="preserve">User pledge: The user pledges Token (MOVR or GLMR) and mints the ownership certificate </w:t>
      </w:r>
      <w:proofErr w:type="spellStart"/>
      <w:r>
        <w:t>OCToken</w:t>
      </w:r>
      <w:proofErr w:type="spellEnd"/>
      <w:r>
        <w:t>;</w:t>
      </w:r>
    </w:p>
    <w:p w:rsidR="00B77D0A" w:rsidRDefault="00B77D0A" w:rsidP="00B77D0A">
      <w:pPr>
        <w:spacing w:line="360" w:lineRule="auto"/>
        <w:ind w:firstLine="720"/>
      </w:pPr>
      <w:r>
        <w:t xml:space="preserve">Airdrop rights: If the airdrop conditions are met, the rights certificate </w:t>
      </w:r>
      <w:proofErr w:type="spellStart"/>
      <w:r>
        <w:t>ECToken</w:t>
      </w:r>
      <w:proofErr w:type="spellEnd"/>
      <w:r>
        <w:t xml:space="preserve"> is minted and airdropped to the corresponding users;</w:t>
      </w:r>
    </w:p>
    <w:p w:rsidR="00B77D0A" w:rsidRDefault="00B77D0A" w:rsidP="00B77D0A">
      <w:pPr>
        <w:spacing w:line="360" w:lineRule="auto"/>
        <w:ind w:firstLine="720"/>
      </w:pPr>
      <w:r>
        <w:t>Distribution income: distribute the pledge income obtained by the collector leasing the Token;</w:t>
      </w:r>
    </w:p>
    <w:p w:rsidR="00B77D0A" w:rsidRDefault="00B77D0A" w:rsidP="00B77D0A">
      <w:pPr>
        <w:spacing w:line="360" w:lineRule="auto"/>
        <w:ind w:firstLine="720"/>
      </w:pPr>
      <w:r>
        <w:t>Redemption pledge: The user applies to redeem the pledged Token in the Pool</w:t>
      </w:r>
    </w:p>
    <w:p w:rsidR="00B77D0A" w:rsidRDefault="00B77D0A" w:rsidP="00B77D0A">
      <w:pPr>
        <w:spacing w:line="360" w:lineRule="auto"/>
        <w:ind w:firstLine="720"/>
      </w:pPr>
      <w:r>
        <w:t>2. Faucet module</w:t>
      </w:r>
    </w:p>
    <w:p w:rsidR="00B77D0A" w:rsidRDefault="00B77D0A" w:rsidP="00B77D0A">
      <w:pPr>
        <w:spacing w:line="360" w:lineRule="auto"/>
        <w:ind w:firstLine="720"/>
      </w:pPr>
      <w:r>
        <w:t>Set the collector: Faucet of the principal type needs to set the collector of the pledge, and the Faucet of the collector type does not need to be set, and the default is the contract address;</w:t>
      </w:r>
    </w:p>
    <w:p w:rsidR="00B77D0A" w:rsidRDefault="00B77D0A" w:rsidP="00B77D0A">
      <w:pPr>
        <w:spacing w:line="360" w:lineRule="auto"/>
        <w:ind w:firstLine="720"/>
      </w:pPr>
      <w:r>
        <w:t xml:space="preserve">Leasing Token: Use </w:t>
      </w:r>
      <w:proofErr w:type="spellStart"/>
      <w:r>
        <w:t>ECToken</w:t>
      </w:r>
      <w:proofErr w:type="spellEnd"/>
      <w:r>
        <w:t xml:space="preserve"> to obtain Token from the Pool and pledge it to the collector, and set the lease time limit;</w:t>
      </w:r>
    </w:p>
    <w:p w:rsidR="00B77D0A" w:rsidRDefault="00B77D0A" w:rsidP="00B77D0A">
      <w:pPr>
        <w:spacing w:line="360" w:lineRule="auto"/>
        <w:ind w:firstLine="720"/>
      </w:pPr>
      <w:proofErr w:type="gramStart"/>
      <w:r>
        <w:t>Recycling Token: After the lease expires, the leased Token will be automatically recycled and returned to the Pool.</w:t>
      </w:r>
      <w:proofErr w:type="gramEnd"/>
    </w:p>
    <w:p w:rsidR="00B77D0A" w:rsidRDefault="00B77D0A" w:rsidP="00B77D0A">
      <w:pPr>
        <w:spacing w:line="360" w:lineRule="auto"/>
        <w:ind w:firstLine="720"/>
      </w:pPr>
      <w:r>
        <w:t>3. Governance module</w:t>
      </w:r>
    </w:p>
    <w:p w:rsidR="00B77D0A" w:rsidRDefault="00B77D0A" w:rsidP="00B77D0A">
      <w:pPr>
        <w:spacing w:line="360" w:lineRule="auto"/>
        <w:ind w:firstLine="720"/>
      </w:pPr>
      <w:r>
        <w:t xml:space="preserve">Publishing proposals: Users who own </w:t>
      </w:r>
      <w:proofErr w:type="spellStart"/>
      <w:r>
        <w:t>OCToken</w:t>
      </w:r>
      <w:proofErr w:type="spellEnd"/>
      <w:r>
        <w:t xml:space="preserve"> and meet a certain time limit can publish DAO governance proposals;</w:t>
      </w:r>
    </w:p>
    <w:p w:rsidR="00B77D0A" w:rsidRDefault="00B77D0A" w:rsidP="00B77D0A">
      <w:pPr>
        <w:spacing w:line="360" w:lineRule="auto"/>
        <w:ind w:firstLine="720"/>
      </w:pPr>
      <w:r>
        <w:t xml:space="preserve">Governance voting: Users who own </w:t>
      </w:r>
      <w:proofErr w:type="spellStart"/>
      <w:r>
        <w:t>OCToken</w:t>
      </w:r>
      <w:proofErr w:type="spellEnd"/>
      <w:r>
        <w:t xml:space="preserve"> and meet a certain time limit use </w:t>
      </w:r>
      <w:proofErr w:type="spellStart"/>
      <w:r>
        <w:t>ECToken</w:t>
      </w:r>
      <w:proofErr w:type="spellEnd"/>
      <w:r>
        <w:t xml:space="preserve"> to vote on proposals.</w:t>
      </w:r>
    </w:p>
    <w:p w:rsidR="00B77D0A" w:rsidRDefault="00B77D0A" w:rsidP="00B77D0A">
      <w:pPr>
        <w:spacing w:line="360" w:lineRule="auto"/>
        <w:ind w:firstLine="720"/>
      </w:pPr>
      <w:r>
        <w:t>4. SWAP</w:t>
      </w:r>
    </w:p>
    <w:p w:rsidR="00B77D0A" w:rsidRDefault="00B77D0A" w:rsidP="00B77D0A">
      <w:pPr>
        <w:spacing w:line="360" w:lineRule="auto"/>
        <w:ind w:firstLine="720"/>
      </w:pPr>
      <w:r>
        <w:t xml:space="preserve">Token transaction: Users and collectors can exchange </w:t>
      </w:r>
      <w:proofErr w:type="spellStart"/>
      <w:r>
        <w:t>ECToken</w:t>
      </w:r>
      <w:proofErr w:type="spellEnd"/>
      <w:r>
        <w:t xml:space="preserve"> and USDT.</w:t>
      </w:r>
    </w:p>
    <w:p w:rsidR="00B77D0A" w:rsidRDefault="00B77D0A" w:rsidP="00B77D0A">
      <w:pPr>
        <w:spacing w:line="360" w:lineRule="auto"/>
      </w:pPr>
      <w:r>
        <w:t>(5) Performance requirements:</w:t>
      </w:r>
    </w:p>
    <w:p w:rsidR="00B77D0A" w:rsidRDefault="00B77D0A" w:rsidP="00B77D0A">
      <w:pPr>
        <w:spacing w:line="360" w:lineRule="auto"/>
        <w:ind w:firstLine="720"/>
      </w:pPr>
      <w:r>
        <w:t>The performance of smart contracts is mainly restricted by moonbeam's own TPS. Considering optimization and governance, conditions such as time limit and number of people are designed as variable parameters for governance adjustment. In order to ensure the smooth execution of the contract and the maximum degree of decentralization, the off-chain mechanism is specially set to trigger specific contract interfaces, such as the dividend interface and the startup interface.</w:t>
      </w:r>
    </w:p>
    <w:p w:rsidR="00B77D0A" w:rsidRDefault="00B77D0A" w:rsidP="00B77D0A">
      <w:pPr>
        <w:spacing w:line="360" w:lineRule="auto"/>
      </w:pPr>
      <w:r>
        <w:t>(6) Operational requirements:</w:t>
      </w:r>
    </w:p>
    <w:p w:rsidR="00B77D0A" w:rsidRDefault="00B77D0A" w:rsidP="00B77D0A">
      <w:pPr>
        <w:spacing w:line="360" w:lineRule="auto"/>
        <w:ind w:firstLine="720"/>
      </w:pPr>
      <w:r>
        <w:t xml:space="preserve">User interface: DAPP is developed through web3js based on the </w:t>
      </w:r>
      <w:proofErr w:type="spellStart"/>
      <w:r>
        <w:t>StaFi</w:t>
      </w:r>
      <w:proofErr w:type="spellEnd"/>
      <w:r>
        <w:t xml:space="preserve"> DAO smart contract.</w:t>
      </w:r>
    </w:p>
    <w:p w:rsidR="00B77D0A" w:rsidRDefault="00B77D0A" w:rsidP="00B77D0A">
      <w:pPr>
        <w:spacing w:line="360" w:lineRule="auto"/>
        <w:ind w:firstLine="720"/>
      </w:pPr>
      <w:r>
        <w:t xml:space="preserve">Troubleshooting: Contract faults mainly come from contract loopholes, design errors, on-chain congestion and other unknown factors. A set of preprocessing solutions for the </w:t>
      </w:r>
      <w:r>
        <w:lastRenderedPageBreak/>
        <w:t>above problems are provided to ensure the normal operation and timely processing of contracts.</w:t>
      </w:r>
    </w:p>
    <w:p w:rsidR="00B77D0A" w:rsidRDefault="00B77D0A" w:rsidP="00B77D0A">
      <w:pPr>
        <w:spacing w:line="360" w:lineRule="auto"/>
      </w:pPr>
      <w:r>
        <w:t>(7) Other requirements:</w:t>
      </w:r>
    </w:p>
    <w:p w:rsidR="00B77D0A" w:rsidRDefault="00B77D0A" w:rsidP="00B77D0A">
      <w:pPr>
        <w:spacing w:line="360" w:lineRule="auto"/>
        <w:ind w:firstLine="720"/>
      </w:pPr>
      <w:r>
        <w:t>Security: Introduce a third-party smart contract auditing agency for contract auditing and testing.</w:t>
      </w:r>
    </w:p>
    <w:p w:rsidR="00B77D0A" w:rsidRDefault="00B77D0A" w:rsidP="00B77D0A">
      <w:pPr>
        <w:spacing w:line="360" w:lineRule="auto"/>
        <w:ind w:firstLine="720"/>
      </w:pPr>
      <w:r>
        <w:t>Portability: The smart contract can be applied to other public chains that support EVM.</w:t>
      </w:r>
    </w:p>
    <w:p w:rsidR="00B77D0A" w:rsidRDefault="00B77D0A" w:rsidP="00B77D0A">
      <w:pPr>
        <w:spacing w:line="360" w:lineRule="auto"/>
      </w:pPr>
      <w:r>
        <w:t>(8) Milestones and Delivery:</w:t>
      </w:r>
    </w:p>
    <w:tbl>
      <w:tblPr>
        <w:tblStyle w:val="a5"/>
        <w:tblW w:w="9000" w:type="dxa"/>
        <w:tblInd w:w="100" w:type="dxa"/>
        <w:tblBorders>
          <w:top w:val="single" w:sz="12" w:space="0" w:color="000000"/>
          <w:left w:val="single" w:sz="12" w:space="0" w:color="000000"/>
          <w:bottom w:val="single" w:sz="8" w:space="0" w:color="000000"/>
          <w:right w:val="single" w:sz="12" w:space="0" w:color="000000"/>
          <w:insideH w:val="single" w:sz="8" w:space="0" w:color="000000"/>
          <w:insideV w:val="single" w:sz="8" w:space="0" w:color="000000"/>
        </w:tblBorders>
        <w:tblLayout w:type="fixed"/>
        <w:tblLook w:val="0600" w:firstRow="0" w:lastRow="0" w:firstColumn="0" w:lastColumn="0" w:noHBand="1" w:noVBand="1"/>
      </w:tblPr>
      <w:tblGrid>
        <w:gridCol w:w="630"/>
        <w:gridCol w:w="1860"/>
        <w:gridCol w:w="1410"/>
        <w:gridCol w:w="2415"/>
        <w:gridCol w:w="2685"/>
      </w:tblGrid>
      <w:tr w:rsidR="00B77D0A" w:rsidTr="00013BBD">
        <w:trPr>
          <w:trHeight w:val="950"/>
        </w:trPr>
        <w:tc>
          <w:tcPr>
            <w:tcW w:w="630" w:type="dxa"/>
            <w:tcMar>
              <w:top w:w="100" w:type="dxa"/>
              <w:left w:w="100" w:type="dxa"/>
              <w:bottom w:w="100" w:type="dxa"/>
              <w:right w:w="100" w:type="dxa"/>
            </w:tcMar>
          </w:tcPr>
          <w:p w:rsidR="00B77D0A" w:rsidRDefault="00B77D0A" w:rsidP="00C53F06">
            <w:pPr>
              <w:spacing w:before="240" w:after="240" w:line="360" w:lineRule="auto"/>
              <w:ind w:left="-80"/>
              <w:jc w:val="center"/>
              <w:rPr>
                <w:b/>
              </w:rPr>
            </w:pPr>
            <w:r>
              <w:t>No.</w:t>
            </w:r>
          </w:p>
        </w:tc>
        <w:tc>
          <w:tcPr>
            <w:tcW w:w="1860" w:type="dxa"/>
            <w:tcMar>
              <w:top w:w="100" w:type="dxa"/>
              <w:left w:w="100" w:type="dxa"/>
              <w:bottom w:w="100" w:type="dxa"/>
              <w:right w:w="100" w:type="dxa"/>
            </w:tcMar>
          </w:tcPr>
          <w:p w:rsidR="00B77D0A" w:rsidRPr="00013BBD" w:rsidRDefault="00013BBD" w:rsidP="00C53F06">
            <w:pPr>
              <w:spacing w:before="240" w:after="240" w:line="360" w:lineRule="auto"/>
              <w:ind w:left="-80"/>
              <w:jc w:val="center"/>
            </w:pPr>
            <w:r w:rsidRPr="00013BBD">
              <w:rPr>
                <w:rFonts w:hint="eastAsia"/>
              </w:rPr>
              <w:t>Time node</w:t>
            </w:r>
          </w:p>
        </w:tc>
        <w:tc>
          <w:tcPr>
            <w:tcW w:w="1410" w:type="dxa"/>
            <w:tcMar>
              <w:top w:w="100" w:type="dxa"/>
              <w:left w:w="100" w:type="dxa"/>
              <w:bottom w:w="100" w:type="dxa"/>
              <w:right w:w="100" w:type="dxa"/>
            </w:tcMar>
          </w:tcPr>
          <w:p w:rsidR="00B77D0A" w:rsidRDefault="00013BBD" w:rsidP="00C53F06">
            <w:pPr>
              <w:spacing w:before="240" w:after="240" w:line="360" w:lineRule="auto"/>
              <w:ind w:left="-80"/>
              <w:jc w:val="center"/>
              <w:rPr>
                <w:b/>
              </w:rPr>
            </w:pPr>
            <w:r w:rsidRPr="00013BBD">
              <w:t>Project stage</w:t>
            </w:r>
          </w:p>
        </w:tc>
        <w:tc>
          <w:tcPr>
            <w:tcW w:w="2415" w:type="dxa"/>
            <w:tcMar>
              <w:top w:w="100" w:type="dxa"/>
              <w:left w:w="100" w:type="dxa"/>
              <w:bottom w:w="100" w:type="dxa"/>
              <w:right w:w="100" w:type="dxa"/>
            </w:tcMar>
          </w:tcPr>
          <w:p w:rsidR="00B77D0A" w:rsidRPr="00013BBD" w:rsidRDefault="00013BBD" w:rsidP="00013BBD">
            <w:pPr>
              <w:spacing w:before="240" w:after="240" w:line="360" w:lineRule="auto"/>
              <w:ind w:left="-80"/>
              <w:jc w:val="center"/>
            </w:pPr>
            <w:r w:rsidRPr="00013BBD">
              <w:t xml:space="preserve">Completed content </w:t>
            </w:r>
          </w:p>
        </w:tc>
        <w:tc>
          <w:tcPr>
            <w:tcW w:w="2685" w:type="dxa"/>
            <w:tcMar>
              <w:top w:w="100" w:type="dxa"/>
              <w:left w:w="100" w:type="dxa"/>
              <w:bottom w:w="100" w:type="dxa"/>
              <w:right w:w="100" w:type="dxa"/>
            </w:tcMar>
          </w:tcPr>
          <w:p w:rsidR="00B77D0A" w:rsidRPr="00B77D0A" w:rsidRDefault="00013BBD" w:rsidP="00013BBD">
            <w:pPr>
              <w:spacing w:before="240" w:after="240" w:line="360" w:lineRule="auto"/>
              <w:ind w:left="-80"/>
              <w:jc w:val="center"/>
            </w:pPr>
            <w:r w:rsidRPr="00013BBD">
              <w:t>Milestone</w:t>
            </w:r>
          </w:p>
        </w:tc>
      </w:tr>
      <w:tr w:rsidR="00B77D0A" w:rsidTr="00013BBD">
        <w:trPr>
          <w:trHeight w:val="1310"/>
        </w:trPr>
        <w:tc>
          <w:tcPr>
            <w:tcW w:w="630" w:type="dxa"/>
            <w:tcMar>
              <w:top w:w="100" w:type="dxa"/>
              <w:left w:w="100" w:type="dxa"/>
              <w:bottom w:w="100" w:type="dxa"/>
              <w:right w:w="100" w:type="dxa"/>
            </w:tcMar>
          </w:tcPr>
          <w:p w:rsidR="00B77D0A" w:rsidRDefault="00B77D0A" w:rsidP="00C53F06">
            <w:pPr>
              <w:spacing w:before="240" w:after="240"/>
              <w:ind w:left="-80"/>
              <w:jc w:val="center"/>
            </w:pPr>
            <w:r>
              <w:t>1</w:t>
            </w:r>
          </w:p>
        </w:tc>
        <w:tc>
          <w:tcPr>
            <w:tcW w:w="1860" w:type="dxa"/>
            <w:tcMar>
              <w:top w:w="100" w:type="dxa"/>
              <w:left w:w="100" w:type="dxa"/>
              <w:bottom w:w="100" w:type="dxa"/>
              <w:right w:w="100" w:type="dxa"/>
            </w:tcMar>
          </w:tcPr>
          <w:p w:rsidR="00B77D0A" w:rsidRPr="00013BBD" w:rsidRDefault="00013BBD" w:rsidP="00C53F06">
            <w:pPr>
              <w:spacing w:before="240" w:after="240"/>
              <w:ind w:left="-80"/>
            </w:pPr>
            <w:r w:rsidRPr="00013BBD">
              <w:t>2022.2</w:t>
            </w:r>
          </w:p>
        </w:tc>
        <w:tc>
          <w:tcPr>
            <w:tcW w:w="1410" w:type="dxa"/>
            <w:tcMar>
              <w:top w:w="100" w:type="dxa"/>
              <w:left w:w="100" w:type="dxa"/>
              <w:bottom w:w="100" w:type="dxa"/>
              <w:right w:w="100" w:type="dxa"/>
            </w:tcMar>
          </w:tcPr>
          <w:p w:rsidR="00B77D0A" w:rsidRDefault="00013BBD" w:rsidP="00C53F06">
            <w:pPr>
              <w:spacing w:before="240" w:after="240"/>
              <w:ind w:left="-80"/>
            </w:pPr>
            <w:r w:rsidRPr="00013BBD">
              <w:t>Demand research</w:t>
            </w:r>
          </w:p>
        </w:tc>
        <w:tc>
          <w:tcPr>
            <w:tcW w:w="2415" w:type="dxa"/>
            <w:tcMar>
              <w:top w:w="100" w:type="dxa"/>
              <w:left w:w="100" w:type="dxa"/>
              <w:bottom w:w="100" w:type="dxa"/>
              <w:right w:w="100" w:type="dxa"/>
            </w:tcMar>
          </w:tcPr>
          <w:p w:rsidR="00013BBD" w:rsidRDefault="00013BBD" w:rsidP="00013BBD">
            <w:pPr>
              <w:spacing w:before="240" w:after="240"/>
              <w:ind w:left="-80"/>
              <w:jc w:val="center"/>
            </w:pPr>
            <w:r>
              <w:t>Demand point analysis</w:t>
            </w:r>
          </w:p>
          <w:p w:rsidR="00013BBD" w:rsidRDefault="00013BBD" w:rsidP="00013BBD">
            <w:pPr>
              <w:spacing w:before="240" w:after="240"/>
              <w:ind w:left="-80"/>
              <w:jc w:val="center"/>
            </w:pPr>
            <w:r>
              <w:t>Feasibility Analysis</w:t>
            </w:r>
          </w:p>
          <w:p w:rsidR="00B77D0A" w:rsidRDefault="00013BBD" w:rsidP="00013BBD">
            <w:pPr>
              <w:spacing w:before="240" w:after="240"/>
              <w:ind w:left="-80"/>
              <w:jc w:val="center"/>
            </w:pPr>
            <w:r>
              <w:t>Future development analysis</w:t>
            </w:r>
          </w:p>
        </w:tc>
        <w:tc>
          <w:tcPr>
            <w:tcW w:w="2685" w:type="dxa"/>
            <w:tcMar>
              <w:top w:w="100" w:type="dxa"/>
              <w:left w:w="100" w:type="dxa"/>
              <w:bottom w:w="100" w:type="dxa"/>
              <w:right w:w="100" w:type="dxa"/>
            </w:tcMar>
          </w:tcPr>
          <w:p w:rsidR="00B77D0A" w:rsidRDefault="00013BBD" w:rsidP="00C53F06">
            <w:pPr>
              <w:spacing w:before="240" w:after="240"/>
              <w:ind w:left="-80"/>
            </w:pPr>
            <w:r w:rsidRPr="00013BBD">
              <w:t>Organization conducts needs review</w:t>
            </w:r>
          </w:p>
        </w:tc>
      </w:tr>
      <w:tr w:rsidR="00B77D0A" w:rsidTr="00013BBD">
        <w:trPr>
          <w:trHeight w:val="755"/>
        </w:trPr>
        <w:tc>
          <w:tcPr>
            <w:tcW w:w="630" w:type="dxa"/>
            <w:tcMar>
              <w:top w:w="100" w:type="dxa"/>
              <w:left w:w="100" w:type="dxa"/>
              <w:bottom w:w="100" w:type="dxa"/>
              <w:right w:w="100" w:type="dxa"/>
            </w:tcMar>
          </w:tcPr>
          <w:p w:rsidR="00B77D0A" w:rsidRDefault="00B77D0A" w:rsidP="00C53F06">
            <w:pPr>
              <w:spacing w:before="240" w:after="240"/>
              <w:ind w:left="-80"/>
              <w:jc w:val="center"/>
            </w:pPr>
            <w:r>
              <w:t>2</w:t>
            </w:r>
          </w:p>
        </w:tc>
        <w:tc>
          <w:tcPr>
            <w:tcW w:w="1860" w:type="dxa"/>
            <w:tcMar>
              <w:top w:w="100" w:type="dxa"/>
              <w:left w:w="100" w:type="dxa"/>
              <w:bottom w:w="100" w:type="dxa"/>
              <w:right w:w="100" w:type="dxa"/>
            </w:tcMar>
          </w:tcPr>
          <w:p w:rsidR="00B77D0A" w:rsidRDefault="00013BBD" w:rsidP="00C53F06">
            <w:pPr>
              <w:spacing w:before="240" w:after="240"/>
              <w:ind w:left="-80"/>
            </w:pPr>
            <w:r>
              <w:t>2022.</w:t>
            </w:r>
            <w:r>
              <w:rPr>
                <w:rFonts w:hint="eastAsia"/>
              </w:rPr>
              <w:t>5</w:t>
            </w:r>
          </w:p>
        </w:tc>
        <w:tc>
          <w:tcPr>
            <w:tcW w:w="1410" w:type="dxa"/>
            <w:tcMar>
              <w:top w:w="100" w:type="dxa"/>
              <w:left w:w="100" w:type="dxa"/>
              <w:bottom w:w="100" w:type="dxa"/>
              <w:right w:w="100" w:type="dxa"/>
            </w:tcMar>
          </w:tcPr>
          <w:p w:rsidR="00B77D0A" w:rsidRDefault="00013BBD" w:rsidP="00C53F06">
            <w:pPr>
              <w:spacing w:before="240" w:after="240"/>
              <w:ind w:left="-80"/>
            </w:pPr>
            <w:r w:rsidRPr="00013BBD">
              <w:t>Design and Development</w:t>
            </w:r>
          </w:p>
        </w:tc>
        <w:tc>
          <w:tcPr>
            <w:tcW w:w="2415" w:type="dxa"/>
            <w:tcMar>
              <w:top w:w="100" w:type="dxa"/>
              <w:left w:w="100" w:type="dxa"/>
              <w:bottom w:w="100" w:type="dxa"/>
              <w:right w:w="100" w:type="dxa"/>
            </w:tcMar>
          </w:tcPr>
          <w:p w:rsidR="00013BBD" w:rsidRDefault="00013BBD" w:rsidP="00013BBD">
            <w:pPr>
              <w:spacing w:before="240" w:after="240"/>
              <w:ind w:left="-80"/>
              <w:jc w:val="center"/>
            </w:pPr>
            <w:r>
              <w:t>System Architecture Design</w:t>
            </w:r>
          </w:p>
          <w:p w:rsidR="00B77D0A" w:rsidRDefault="00013BBD" w:rsidP="00013BBD">
            <w:pPr>
              <w:spacing w:before="240" w:after="240"/>
              <w:ind w:left="-80"/>
              <w:jc w:val="center"/>
            </w:pPr>
            <w:r>
              <w:t>Function module development</w:t>
            </w:r>
          </w:p>
        </w:tc>
        <w:tc>
          <w:tcPr>
            <w:tcW w:w="2685" w:type="dxa"/>
            <w:tcMar>
              <w:top w:w="100" w:type="dxa"/>
              <w:left w:w="100" w:type="dxa"/>
              <w:bottom w:w="100" w:type="dxa"/>
              <w:right w:w="100" w:type="dxa"/>
            </w:tcMar>
          </w:tcPr>
          <w:p w:rsidR="00B77D0A" w:rsidRDefault="00013BBD" w:rsidP="00C53F06">
            <w:pPr>
              <w:spacing w:before="240" w:after="240"/>
              <w:ind w:left="-80"/>
            </w:pPr>
            <w:r w:rsidRPr="00013BBD">
              <w:t>Organizing system design review</w:t>
            </w:r>
          </w:p>
        </w:tc>
      </w:tr>
      <w:tr w:rsidR="00B77D0A" w:rsidTr="00013BBD">
        <w:trPr>
          <w:trHeight w:val="755"/>
        </w:trPr>
        <w:tc>
          <w:tcPr>
            <w:tcW w:w="630" w:type="dxa"/>
            <w:tcMar>
              <w:top w:w="100" w:type="dxa"/>
              <w:left w:w="100" w:type="dxa"/>
              <w:bottom w:w="100" w:type="dxa"/>
              <w:right w:w="100" w:type="dxa"/>
            </w:tcMar>
          </w:tcPr>
          <w:p w:rsidR="00B77D0A" w:rsidRDefault="00B77D0A" w:rsidP="00C53F06">
            <w:pPr>
              <w:spacing w:before="240" w:after="240"/>
              <w:ind w:left="-80"/>
              <w:jc w:val="center"/>
            </w:pPr>
            <w:r>
              <w:t>3</w:t>
            </w:r>
          </w:p>
        </w:tc>
        <w:tc>
          <w:tcPr>
            <w:tcW w:w="1860" w:type="dxa"/>
            <w:tcMar>
              <w:top w:w="100" w:type="dxa"/>
              <w:left w:w="100" w:type="dxa"/>
              <w:bottom w:w="100" w:type="dxa"/>
              <w:right w:w="100" w:type="dxa"/>
            </w:tcMar>
          </w:tcPr>
          <w:p w:rsidR="00B77D0A" w:rsidRDefault="00013BBD" w:rsidP="00C53F06">
            <w:pPr>
              <w:spacing w:before="240" w:after="240"/>
              <w:ind w:left="-80"/>
            </w:pPr>
            <w:r>
              <w:t>2022.</w:t>
            </w:r>
            <w:r>
              <w:rPr>
                <w:rFonts w:hint="eastAsia"/>
              </w:rPr>
              <w:t>7</w:t>
            </w:r>
          </w:p>
        </w:tc>
        <w:tc>
          <w:tcPr>
            <w:tcW w:w="1410" w:type="dxa"/>
            <w:tcMar>
              <w:top w:w="100" w:type="dxa"/>
              <w:left w:w="100" w:type="dxa"/>
              <w:bottom w:w="100" w:type="dxa"/>
              <w:right w:w="100" w:type="dxa"/>
            </w:tcMar>
          </w:tcPr>
          <w:p w:rsidR="00B77D0A" w:rsidRDefault="00013BBD" w:rsidP="00C53F06">
            <w:pPr>
              <w:spacing w:before="240" w:after="240"/>
              <w:ind w:left="-80"/>
            </w:pPr>
            <w:r w:rsidRPr="00013BBD">
              <w:t>Test verification</w:t>
            </w:r>
          </w:p>
        </w:tc>
        <w:tc>
          <w:tcPr>
            <w:tcW w:w="2415" w:type="dxa"/>
            <w:tcMar>
              <w:top w:w="100" w:type="dxa"/>
              <w:left w:w="100" w:type="dxa"/>
              <w:bottom w:w="100" w:type="dxa"/>
              <w:right w:w="100" w:type="dxa"/>
            </w:tcMar>
          </w:tcPr>
          <w:p w:rsidR="00013BBD" w:rsidRDefault="00013BBD" w:rsidP="00013BBD">
            <w:pPr>
              <w:spacing w:before="240" w:after="240"/>
              <w:ind w:left="-80"/>
              <w:jc w:val="center"/>
            </w:pPr>
            <w:r>
              <w:t xml:space="preserve">Alpha </w:t>
            </w:r>
            <w:proofErr w:type="spellStart"/>
            <w:r>
              <w:t>testnet</w:t>
            </w:r>
            <w:proofErr w:type="spellEnd"/>
            <w:r>
              <w:t xml:space="preserve"> deployment</w:t>
            </w:r>
          </w:p>
          <w:p w:rsidR="00013BBD" w:rsidRDefault="00013BBD" w:rsidP="00013BBD">
            <w:pPr>
              <w:spacing w:before="240" w:after="240"/>
              <w:ind w:left="-80"/>
              <w:jc w:val="center"/>
            </w:pPr>
            <w:r>
              <w:t>System function test</w:t>
            </w:r>
          </w:p>
          <w:p w:rsidR="00B77D0A" w:rsidRDefault="00013BBD" w:rsidP="00013BBD">
            <w:pPr>
              <w:spacing w:before="240" w:after="240"/>
              <w:ind w:left="-80"/>
              <w:jc w:val="center"/>
            </w:pPr>
            <w:r>
              <w:t>Test optimization</w:t>
            </w:r>
          </w:p>
        </w:tc>
        <w:tc>
          <w:tcPr>
            <w:tcW w:w="2685" w:type="dxa"/>
            <w:tcMar>
              <w:top w:w="100" w:type="dxa"/>
              <w:left w:w="100" w:type="dxa"/>
              <w:bottom w:w="100" w:type="dxa"/>
              <w:right w:w="100" w:type="dxa"/>
            </w:tcMar>
          </w:tcPr>
          <w:p w:rsidR="00B77D0A" w:rsidRDefault="00013BBD" w:rsidP="00C53F06">
            <w:pPr>
              <w:spacing w:before="240" w:after="240"/>
              <w:ind w:left="-80"/>
            </w:pPr>
            <w:r w:rsidRPr="00013BBD">
              <w:t>Organize online review</w:t>
            </w:r>
          </w:p>
        </w:tc>
      </w:tr>
      <w:tr w:rsidR="00013BBD" w:rsidTr="00013BBD">
        <w:trPr>
          <w:trHeight w:val="755"/>
        </w:trPr>
        <w:tc>
          <w:tcPr>
            <w:tcW w:w="630" w:type="dxa"/>
            <w:tcMar>
              <w:top w:w="100" w:type="dxa"/>
              <w:left w:w="100" w:type="dxa"/>
              <w:bottom w:w="100" w:type="dxa"/>
              <w:right w:w="100" w:type="dxa"/>
            </w:tcMar>
          </w:tcPr>
          <w:p w:rsidR="00013BBD" w:rsidRDefault="00013BBD" w:rsidP="00C53F06">
            <w:pPr>
              <w:spacing w:before="240" w:after="240"/>
              <w:ind w:left="-80"/>
              <w:jc w:val="center"/>
            </w:pPr>
          </w:p>
        </w:tc>
        <w:tc>
          <w:tcPr>
            <w:tcW w:w="1860" w:type="dxa"/>
            <w:tcMar>
              <w:top w:w="100" w:type="dxa"/>
              <w:left w:w="100" w:type="dxa"/>
              <w:bottom w:w="100" w:type="dxa"/>
              <w:right w:w="100" w:type="dxa"/>
            </w:tcMar>
          </w:tcPr>
          <w:p w:rsidR="00013BBD" w:rsidRDefault="00013BBD" w:rsidP="00C53F06">
            <w:pPr>
              <w:spacing w:before="240" w:after="240"/>
              <w:ind w:left="-80"/>
            </w:pPr>
            <w:r>
              <w:t>2022.</w:t>
            </w:r>
            <w:r>
              <w:rPr>
                <w:rFonts w:hint="eastAsia"/>
              </w:rPr>
              <w:t>7</w:t>
            </w:r>
          </w:p>
        </w:tc>
        <w:tc>
          <w:tcPr>
            <w:tcW w:w="1410" w:type="dxa"/>
            <w:tcMar>
              <w:top w:w="100" w:type="dxa"/>
              <w:left w:w="100" w:type="dxa"/>
              <w:bottom w:w="100" w:type="dxa"/>
              <w:right w:w="100" w:type="dxa"/>
            </w:tcMar>
          </w:tcPr>
          <w:p w:rsidR="00013BBD" w:rsidRPr="00013BBD" w:rsidRDefault="00013BBD" w:rsidP="00C53F06">
            <w:pPr>
              <w:spacing w:before="240" w:after="240"/>
              <w:ind w:left="-80"/>
            </w:pPr>
            <w:r w:rsidRPr="00013BBD">
              <w:t>Code audit</w:t>
            </w:r>
          </w:p>
        </w:tc>
        <w:tc>
          <w:tcPr>
            <w:tcW w:w="2415" w:type="dxa"/>
            <w:tcMar>
              <w:top w:w="100" w:type="dxa"/>
              <w:left w:w="100" w:type="dxa"/>
              <w:bottom w:w="100" w:type="dxa"/>
              <w:right w:w="100" w:type="dxa"/>
            </w:tcMar>
          </w:tcPr>
          <w:p w:rsidR="00013BBD" w:rsidRDefault="00013BBD" w:rsidP="00013BBD">
            <w:pPr>
              <w:spacing w:before="240" w:after="240"/>
              <w:ind w:left="-80"/>
              <w:jc w:val="center"/>
            </w:pPr>
            <w:r>
              <w:t>Third-party agency audit</w:t>
            </w:r>
          </w:p>
          <w:p w:rsidR="00013BBD" w:rsidRDefault="00013BBD" w:rsidP="00013BBD">
            <w:pPr>
              <w:spacing w:before="240" w:after="240"/>
              <w:ind w:left="-80"/>
              <w:jc w:val="center"/>
            </w:pPr>
            <w:proofErr w:type="spellStart"/>
            <w:r>
              <w:t>Bugfix</w:t>
            </w:r>
            <w:proofErr w:type="spellEnd"/>
          </w:p>
          <w:p w:rsidR="00013BBD" w:rsidRDefault="00013BBD" w:rsidP="00013BBD">
            <w:pPr>
              <w:spacing w:before="240" w:after="240"/>
              <w:ind w:left="-80"/>
              <w:jc w:val="center"/>
            </w:pPr>
            <w:r>
              <w:t>Audit optimization</w:t>
            </w:r>
          </w:p>
        </w:tc>
        <w:tc>
          <w:tcPr>
            <w:tcW w:w="2685" w:type="dxa"/>
            <w:tcMar>
              <w:top w:w="100" w:type="dxa"/>
              <w:left w:w="100" w:type="dxa"/>
              <w:bottom w:w="100" w:type="dxa"/>
              <w:right w:w="100" w:type="dxa"/>
            </w:tcMar>
          </w:tcPr>
          <w:p w:rsidR="00013BBD" w:rsidRPr="00013BBD" w:rsidRDefault="00013BBD" w:rsidP="00C53F06">
            <w:pPr>
              <w:spacing w:before="240" w:after="240"/>
              <w:ind w:left="-80"/>
            </w:pPr>
            <w:r w:rsidRPr="00013BBD">
              <w:t>Audit report</w:t>
            </w:r>
          </w:p>
        </w:tc>
      </w:tr>
      <w:tr w:rsidR="00013BBD" w:rsidTr="00013BBD">
        <w:trPr>
          <w:trHeight w:val="755"/>
        </w:trPr>
        <w:tc>
          <w:tcPr>
            <w:tcW w:w="630" w:type="dxa"/>
            <w:tcMar>
              <w:top w:w="100" w:type="dxa"/>
              <w:left w:w="100" w:type="dxa"/>
              <w:bottom w:w="100" w:type="dxa"/>
              <w:right w:w="100" w:type="dxa"/>
            </w:tcMar>
          </w:tcPr>
          <w:p w:rsidR="00013BBD" w:rsidRDefault="00013BBD" w:rsidP="00C53F06">
            <w:pPr>
              <w:spacing w:before="240" w:after="240"/>
              <w:ind w:left="-80"/>
              <w:jc w:val="center"/>
            </w:pPr>
          </w:p>
        </w:tc>
        <w:tc>
          <w:tcPr>
            <w:tcW w:w="1860" w:type="dxa"/>
            <w:tcMar>
              <w:top w:w="100" w:type="dxa"/>
              <w:left w:w="100" w:type="dxa"/>
              <w:bottom w:w="100" w:type="dxa"/>
              <w:right w:w="100" w:type="dxa"/>
            </w:tcMar>
          </w:tcPr>
          <w:p w:rsidR="00013BBD" w:rsidRDefault="00013BBD" w:rsidP="00C53F06">
            <w:pPr>
              <w:spacing w:before="240" w:after="240"/>
              <w:ind w:left="-80"/>
            </w:pPr>
            <w:r>
              <w:t>2022.</w:t>
            </w:r>
            <w:r>
              <w:rPr>
                <w:rFonts w:hint="eastAsia"/>
              </w:rPr>
              <w:t>8</w:t>
            </w:r>
          </w:p>
        </w:tc>
        <w:tc>
          <w:tcPr>
            <w:tcW w:w="1410" w:type="dxa"/>
            <w:tcMar>
              <w:top w:w="100" w:type="dxa"/>
              <w:left w:w="100" w:type="dxa"/>
              <w:bottom w:w="100" w:type="dxa"/>
              <w:right w:w="100" w:type="dxa"/>
            </w:tcMar>
          </w:tcPr>
          <w:p w:rsidR="00013BBD" w:rsidRPr="00013BBD" w:rsidRDefault="00013BBD" w:rsidP="00C53F06">
            <w:pPr>
              <w:spacing w:before="240" w:after="240"/>
              <w:ind w:left="-80"/>
            </w:pPr>
            <w:r w:rsidRPr="00013BBD">
              <w:t>Official relea</w:t>
            </w:r>
            <w:bookmarkStart w:id="0" w:name="_GoBack"/>
            <w:bookmarkEnd w:id="0"/>
            <w:r w:rsidRPr="00013BBD">
              <w:t>se</w:t>
            </w:r>
          </w:p>
        </w:tc>
        <w:tc>
          <w:tcPr>
            <w:tcW w:w="2415" w:type="dxa"/>
            <w:tcMar>
              <w:top w:w="100" w:type="dxa"/>
              <w:left w:w="100" w:type="dxa"/>
              <w:bottom w:w="100" w:type="dxa"/>
              <w:right w:w="100" w:type="dxa"/>
            </w:tcMar>
          </w:tcPr>
          <w:p w:rsidR="00013BBD" w:rsidRDefault="00013BBD" w:rsidP="00013BBD">
            <w:pPr>
              <w:spacing w:before="240" w:after="240"/>
              <w:ind w:left="-80"/>
              <w:jc w:val="center"/>
            </w:pPr>
            <w:r>
              <w:t xml:space="preserve">Launched on </w:t>
            </w:r>
            <w:proofErr w:type="spellStart"/>
            <w:r>
              <w:t>moonriver</w:t>
            </w:r>
            <w:proofErr w:type="spellEnd"/>
            <w:r>
              <w:t xml:space="preserve"> network</w:t>
            </w:r>
          </w:p>
          <w:p w:rsidR="00013BBD" w:rsidRDefault="00013BBD" w:rsidP="00013BBD">
            <w:pPr>
              <w:spacing w:before="240" w:after="240"/>
              <w:ind w:left="-80"/>
              <w:jc w:val="center"/>
            </w:pPr>
            <w:r>
              <w:t>Launched on moonbeam network</w:t>
            </w:r>
          </w:p>
          <w:p w:rsidR="00013BBD" w:rsidRDefault="00013BBD" w:rsidP="00013BBD">
            <w:pPr>
              <w:spacing w:before="240" w:after="240"/>
              <w:ind w:left="-80"/>
              <w:jc w:val="center"/>
            </w:pPr>
            <w:r>
              <w:t>Create a pool trading pair</w:t>
            </w:r>
          </w:p>
        </w:tc>
        <w:tc>
          <w:tcPr>
            <w:tcW w:w="2685" w:type="dxa"/>
            <w:tcMar>
              <w:top w:w="100" w:type="dxa"/>
              <w:left w:w="100" w:type="dxa"/>
              <w:bottom w:w="100" w:type="dxa"/>
              <w:right w:w="100" w:type="dxa"/>
            </w:tcMar>
          </w:tcPr>
          <w:p w:rsidR="00013BBD" w:rsidRPr="00013BBD" w:rsidRDefault="00013BBD" w:rsidP="00C53F06">
            <w:pPr>
              <w:spacing w:before="240" w:after="240"/>
              <w:ind w:left="-80"/>
            </w:pPr>
          </w:p>
        </w:tc>
      </w:tr>
      <w:tr w:rsidR="00013BBD" w:rsidTr="00013BBD">
        <w:trPr>
          <w:trHeight w:val="755"/>
        </w:trPr>
        <w:tc>
          <w:tcPr>
            <w:tcW w:w="630" w:type="dxa"/>
            <w:tcMar>
              <w:top w:w="100" w:type="dxa"/>
              <w:left w:w="100" w:type="dxa"/>
              <w:bottom w:w="100" w:type="dxa"/>
              <w:right w:w="100" w:type="dxa"/>
            </w:tcMar>
          </w:tcPr>
          <w:p w:rsidR="00013BBD" w:rsidRDefault="00013BBD" w:rsidP="00C53F06">
            <w:pPr>
              <w:spacing w:before="240" w:after="240"/>
              <w:ind w:left="-80"/>
              <w:jc w:val="center"/>
            </w:pPr>
          </w:p>
        </w:tc>
        <w:tc>
          <w:tcPr>
            <w:tcW w:w="1860" w:type="dxa"/>
            <w:tcMar>
              <w:top w:w="100" w:type="dxa"/>
              <w:left w:w="100" w:type="dxa"/>
              <w:bottom w:w="100" w:type="dxa"/>
              <w:right w:w="100" w:type="dxa"/>
            </w:tcMar>
          </w:tcPr>
          <w:p w:rsidR="00013BBD" w:rsidRDefault="00013BBD" w:rsidP="00013BBD">
            <w:pPr>
              <w:spacing w:before="240" w:after="240"/>
              <w:ind w:left="-80"/>
            </w:pPr>
            <w:r>
              <w:t>202</w:t>
            </w:r>
            <w:r>
              <w:rPr>
                <w:rFonts w:hint="eastAsia"/>
              </w:rPr>
              <w:t>3</w:t>
            </w:r>
          </w:p>
        </w:tc>
        <w:tc>
          <w:tcPr>
            <w:tcW w:w="1410" w:type="dxa"/>
            <w:tcMar>
              <w:top w:w="100" w:type="dxa"/>
              <w:left w:w="100" w:type="dxa"/>
              <w:bottom w:w="100" w:type="dxa"/>
              <w:right w:w="100" w:type="dxa"/>
            </w:tcMar>
          </w:tcPr>
          <w:p w:rsidR="00013BBD" w:rsidRPr="00013BBD" w:rsidRDefault="00013BBD" w:rsidP="00C53F06">
            <w:pPr>
              <w:spacing w:before="240" w:after="240"/>
              <w:ind w:left="-80"/>
            </w:pPr>
            <w:r w:rsidRPr="00013BBD">
              <w:t>Future planning</w:t>
            </w:r>
          </w:p>
        </w:tc>
        <w:tc>
          <w:tcPr>
            <w:tcW w:w="2415" w:type="dxa"/>
            <w:tcMar>
              <w:top w:w="100" w:type="dxa"/>
              <w:left w:w="100" w:type="dxa"/>
              <w:bottom w:w="100" w:type="dxa"/>
              <w:right w:w="100" w:type="dxa"/>
            </w:tcMar>
          </w:tcPr>
          <w:p w:rsidR="00013BBD" w:rsidRDefault="00013BBD" w:rsidP="00013BBD">
            <w:pPr>
              <w:spacing w:before="240" w:after="240"/>
              <w:ind w:left="-80"/>
              <w:jc w:val="center"/>
            </w:pPr>
            <w:r w:rsidRPr="00013BBD">
              <w:t>DAO fundraising and lending</w:t>
            </w:r>
          </w:p>
        </w:tc>
        <w:tc>
          <w:tcPr>
            <w:tcW w:w="2685" w:type="dxa"/>
            <w:tcMar>
              <w:top w:w="100" w:type="dxa"/>
              <w:left w:w="100" w:type="dxa"/>
              <w:bottom w:w="100" w:type="dxa"/>
              <w:right w:w="100" w:type="dxa"/>
            </w:tcMar>
          </w:tcPr>
          <w:p w:rsidR="00013BBD" w:rsidRPr="00013BBD" w:rsidRDefault="00013BBD" w:rsidP="00C53F06">
            <w:pPr>
              <w:spacing w:before="240" w:after="240"/>
              <w:ind w:left="-80"/>
            </w:pPr>
          </w:p>
        </w:tc>
      </w:tr>
    </w:tbl>
    <w:p w:rsidR="00B77D0A" w:rsidRPr="00B77D0A" w:rsidRDefault="00B77D0A" w:rsidP="00B77D0A"/>
    <w:sectPr w:rsidR="00B77D0A" w:rsidRPr="00B77D0A">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4DFF" w:rsidRDefault="00CD4DFF">
      <w:pPr>
        <w:spacing w:line="240" w:lineRule="auto"/>
      </w:pPr>
      <w:r>
        <w:separator/>
      </w:r>
    </w:p>
  </w:endnote>
  <w:endnote w:type="continuationSeparator" w:id="0">
    <w:p w:rsidR="00CD4DFF" w:rsidRDefault="00CD4D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4DFF" w:rsidRDefault="00CD4DFF">
      <w:pPr>
        <w:spacing w:line="240" w:lineRule="auto"/>
      </w:pPr>
      <w:r>
        <w:separator/>
      </w:r>
    </w:p>
  </w:footnote>
  <w:footnote w:type="continuationSeparator" w:id="0">
    <w:p w:rsidR="00CD4DFF" w:rsidRDefault="00CD4DF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3836" w:rsidRDefault="00003836"/>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003836"/>
    <w:rsid w:val="00003836"/>
    <w:rsid w:val="00013BBD"/>
    <w:rsid w:val="00023EE5"/>
    <w:rsid w:val="00291700"/>
    <w:rsid w:val="003233E4"/>
    <w:rsid w:val="00353964"/>
    <w:rsid w:val="003E7154"/>
    <w:rsid w:val="005C5EAB"/>
    <w:rsid w:val="00A70BFC"/>
    <w:rsid w:val="00B77D0A"/>
    <w:rsid w:val="00BF0A56"/>
    <w:rsid w:val="00CD4DFF"/>
    <w:rsid w:val="00DA7BBF"/>
    <w:rsid w:val="00EF69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sz w:val="22"/>
        <w:szCs w:val="22"/>
        <w:lang w:val="en-US" w:eastAsia="zh-C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HTML">
    <w:name w:val="HTML Preformatted"/>
    <w:basedOn w:val="a"/>
    <w:link w:val="HTMLChar"/>
    <w:uiPriority w:val="99"/>
    <w:semiHidden/>
    <w:unhideWhenUsed/>
    <w:rsid w:val="00013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eastAsia="宋体" w:hAnsi="宋体" w:cs="宋体"/>
      <w:sz w:val="24"/>
      <w:szCs w:val="24"/>
    </w:rPr>
  </w:style>
  <w:style w:type="character" w:customStyle="1" w:styleId="HTMLChar">
    <w:name w:val="HTML 预设格式 Char"/>
    <w:basedOn w:val="a0"/>
    <w:link w:val="HTML"/>
    <w:uiPriority w:val="99"/>
    <w:semiHidden/>
    <w:rsid w:val="00013BBD"/>
    <w:rPr>
      <w:rFonts w:ascii="宋体" w:eastAsia="宋体" w:hAnsi="宋体" w:cs="宋体"/>
      <w:sz w:val="24"/>
      <w:szCs w:val="24"/>
    </w:rPr>
  </w:style>
  <w:style w:type="character" w:customStyle="1" w:styleId="y2iqfc">
    <w:name w:val="y2iqfc"/>
    <w:basedOn w:val="a0"/>
    <w:rsid w:val="00013BB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sz w:val="22"/>
        <w:szCs w:val="22"/>
        <w:lang w:val="en-US" w:eastAsia="zh-C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HTML">
    <w:name w:val="HTML Preformatted"/>
    <w:basedOn w:val="a"/>
    <w:link w:val="HTMLChar"/>
    <w:uiPriority w:val="99"/>
    <w:semiHidden/>
    <w:unhideWhenUsed/>
    <w:rsid w:val="00013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eastAsia="宋体" w:hAnsi="宋体" w:cs="宋体"/>
      <w:sz w:val="24"/>
      <w:szCs w:val="24"/>
    </w:rPr>
  </w:style>
  <w:style w:type="character" w:customStyle="1" w:styleId="HTMLChar">
    <w:name w:val="HTML 预设格式 Char"/>
    <w:basedOn w:val="a0"/>
    <w:link w:val="HTML"/>
    <w:uiPriority w:val="99"/>
    <w:semiHidden/>
    <w:rsid w:val="00013BBD"/>
    <w:rPr>
      <w:rFonts w:ascii="宋体" w:eastAsia="宋体" w:hAnsi="宋体" w:cs="宋体"/>
      <w:sz w:val="24"/>
      <w:szCs w:val="24"/>
    </w:rPr>
  </w:style>
  <w:style w:type="character" w:customStyle="1" w:styleId="y2iqfc">
    <w:name w:val="y2iqfc"/>
    <w:basedOn w:val="a0"/>
    <w:rsid w:val="00013B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579502">
      <w:bodyDiv w:val="1"/>
      <w:marLeft w:val="0"/>
      <w:marRight w:val="0"/>
      <w:marTop w:val="0"/>
      <w:marBottom w:val="0"/>
      <w:divBdr>
        <w:top w:val="none" w:sz="0" w:space="0" w:color="auto"/>
        <w:left w:val="none" w:sz="0" w:space="0" w:color="auto"/>
        <w:bottom w:val="none" w:sz="0" w:space="0" w:color="auto"/>
        <w:right w:val="none" w:sz="0" w:space="0" w:color="auto"/>
      </w:divBdr>
    </w:div>
    <w:div w:id="1129400409">
      <w:bodyDiv w:val="1"/>
      <w:marLeft w:val="0"/>
      <w:marRight w:val="0"/>
      <w:marTop w:val="0"/>
      <w:marBottom w:val="0"/>
      <w:divBdr>
        <w:top w:val="none" w:sz="0" w:space="0" w:color="auto"/>
        <w:left w:val="none" w:sz="0" w:space="0" w:color="auto"/>
        <w:bottom w:val="none" w:sz="0" w:space="0" w:color="auto"/>
        <w:right w:val="none" w:sz="0" w:space="0" w:color="auto"/>
      </w:divBdr>
    </w:div>
    <w:div w:id="15983656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836</Words>
  <Characters>4771</Characters>
  <Application>Microsoft Office Word</Application>
  <DocSecurity>0</DocSecurity>
  <Lines>39</Lines>
  <Paragraphs>11</Paragraphs>
  <ScaleCrop>false</ScaleCrop>
  <Company/>
  <LinksUpToDate>false</LinksUpToDate>
  <CharactersWithSpaces>5596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xtzj</cp:lastModifiedBy>
  <cp:revision>15</cp:revision>
  <dcterms:created xsi:type="dcterms:W3CDTF">2022-01-11T02:36:00Z</dcterms:created>
  <dcterms:modified xsi:type="dcterms:W3CDTF">2022-06-19T02:27:00Z</dcterms:modified>
</cp:coreProperties>
</file>