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836" w:rsidRDefault="005C5EAB">
      <w:pPr>
        <w:shd w:val="clear" w:color="auto" w:fill="FFFFFF"/>
        <w:spacing w:after="220" w:line="411" w:lineRule="auto"/>
        <w:ind w:firstLine="420"/>
        <w:jc w:val="center"/>
        <w:rPr>
          <w:b/>
          <w:color w:val="333333"/>
          <w:sz w:val="41"/>
          <w:szCs w:val="41"/>
          <w:highlight w:val="white"/>
        </w:rPr>
      </w:pPr>
      <w:r>
        <w:rPr>
          <w:b/>
          <w:color w:val="333333"/>
          <w:sz w:val="41"/>
          <w:szCs w:val="41"/>
          <w:highlight w:val="white"/>
        </w:rPr>
        <w:t>Stake Finance DAO</w:t>
      </w:r>
    </w:p>
    <w:p w:rsidR="00003836" w:rsidRDefault="005C5EAB">
      <w:pPr>
        <w:shd w:val="clear" w:color="auto" w:fill="FFFFFF"/>
        <w:spacing w:after="220" w:line="411" w:lineRule="auto"/>
        <w:ind w:firstLine="420"/>
        <w:jc w:val="center"/>
        <w:rPr>
          <w:b/>
          <w:color w:val="333333"/>
          <w:sz w:val="41"/>
          <w:szCs w:val="41"/>
        </w:rPr>
      </w:pPr>
      <w:r>
        <w:rPr>
          <w:rFonts w:ascii="Arial Unicode MS" w:eastAsia="Arial Unicode MS" w:hAnsi="Arial Unicode MS" w:cs="Arial Unicode MS"/>
          <w:b/>
          <w:color w:val="333333"/>
          <w:sz w:val="41"/>
          <w:szCs w:val="41"/>
          <w:highlight w:val="white"/>
        </w:rPr>
        <w:t>软件规格说明书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（1）引言：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在区块链蓬勃发展的当今，新技术新理念层出不穷。DAO的出现是区块链技术浪潮下社会发展的新趋势，同时，随着越来越多的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公链采用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POS共识机制，原生代币的质押也成为刚需，于是，DAO与POS质押相结合是必然的选择，我们可以称之为Stake Finance DAO或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StaFi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DAO。</w:t>
      </w:r>
    </w:p>
    <w:p w:rsidR="00003836" w:rsidRDefault="005C5EAB">
      <w:pPr>
        <w:shd w:val="clear" w:color="auto" w:fill="FFFFFF"/>
        <w:spacing w:before="240" w:after="240" w:line="411" w:lineRule="auto"/>
        <w:ind w:firstLine="48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为了方便开发人员和用户更好的理解《Stake Finance DAO》的设计思想和理念，经过前期的可行性研究和需求分析，并与程序员进行了较为深入地探讨和分析之后，提出了这份软件规格说明书。</w:t>
      </w:r>
    </w:p>
    <w:p w:rsidR="00003836" w:rsidRDefault="005C5EAB">
      <w:pPr>
        <w:shd w:val="clear" w:color="auto" w:fill="FFFFFF"/>
        <w:spacing w:before="240" w:after="240" w:line="411" w:lineRule="auto"/>
        <w:ind w:firstLine="48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此文档为系统分析员工作的阶段性总结，并提供项目经理、设计人员和开发人员参考。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（2）任务概述：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任务目标：建立一个可以社区自治并为节点提供质押流动性的DAO，能为moonbeam的生态带来更高的用户黏度，能为moonbeam的贡献者带来更丰厚的回报，能为moonbeam的节点带来更充沛的流动性，打破节点的垄断地位，为节点间的竞争带来更有利的平衡，使生态的发展更活跃、更持久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运行环境：链上智能合约基于moonbeam network和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moonriver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network的EVM运行，链上交易基于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ZENLink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的SWAP；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链下定时器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基于JAVA Quartz触发链上接口。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条件限制：受限于团队知识水平、技术能力和开发经验；受限于moonbeam预编译文件的接口开放能力；受限于EVM对触发定时事件的支持。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（3）数据描述：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数据存储：所有数据均存储于moonbeam链上，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链下仅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存储用于接口触发的少量辅助数据。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数据字典：时限【30天、60天、180天、360天、720天】；手续费比例【20、30】；需求类型【委托人、收集人、验证人】；票据类型【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、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】。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系统接口：引用预编译接口文件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StakingInterface.sol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、引用已审计接口文件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Openzeppelin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（4）功能需求：主要包括功能划分和功能描述。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功能划分：Pool模块、Faucet模块、治理模块、SWAP。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功能描述：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1、Pool模块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开启Pool：达到启动条件开启Pool的质押;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用户质押：用户抵押Token（MOVR或GLMR）并铸造所有权凭证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；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空投权益：满足空投条件，铸造权益凭证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并空投给相应用户；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分配收益：分配收集人租赁Token获得的质押收益；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赎回质押：用户申请赎回抵押在Pool的Token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2、Faucet模块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ab/>
        <w:t>设置收集人：委托人类型的Faucet需要设置质押的收集人，收集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人类型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的Faucet无须设置，默认为合约地址;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租赁Token：使用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从Pool中获取Token质押到收集人，并设定租赁时限;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回收Token：租赁到期后，自动回收被租赁的Token返还给Pool。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3、治理模块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发布提案：拥有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并满足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定时限的用户，可以发布DAO的治理提案;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治理投票：拥有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并满足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一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定时限的用户，使用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对提案进行表决。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4、SWAP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  <w:t>Token交易：用户和收集人可以进行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ECToken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与USDT的兑换交易。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（5）性能需求：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智能合约性能主要受moonbeam自身TPS的制约，考虑到优化和治理，将时间时限、人数上限等条件设计成可变参数供治理调节。为保证合约的顺利执行，以及最大程度的去中心化，特设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定链下机制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触发特定合约接口，比如分红接口和启动接口。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（6）运行需求：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用户界面：基于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StaFi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DAO智能合约通过web3js开发DAPP。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故障处理：合约故障主要来自于合约漏洞、设计失误、链上拥堵以及其他未知因素，提供一套对上述问题的预处理方案，保障合约的正常运行和及时处理。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（7）其他需求：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安全性：引入第三方智能合约审计机构进行合约审计、测试。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可移植性：可将该智能合约应用于其他支持EVM的公链。</w:t>
      </w:r>
    </w:p>
    <w:p w:rsidR="00003836" w:rsidRDefault="005C5EAB">
      <w:pPr>
        <w:shd w:val="clear" w:color="auto" w:fill="FFFFFF"/>
        <w:spacing w:after="220" w:line="411" w:lineRule="auto"/>
        <w:ind w:firstLine="42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（8</w:t>
      </w:r>
      <w:r w:rsidR="003233E4">
        <w:rPr>
          <w:rFonts w:ascii="Arial Unicode MS" w:eastAsia="Arial Unicode MS" w:hAnsi="Arial Unicode MS" w:cs="Arial Unicode MS"/>
          <w:color w:val="333333"/>
          <w:sz w:val="21"/>
          <w:szCs w:val="21"/>
        </w:rPr>
        <w:t>）路线图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：</w:t>
      </w:r>
      <w:bookmarkStart w:id="0" w:name="_GoBack"/>
      <w:bookmarkEnd w:id="0"/>
    </w:p>
    <w:p w:rsidR="00003836" w:rsidRDefault="00003836"/>
    <w:tbl>
      <w:tblPr>
        <w:tblStyle w:val="a5"/>
        <w:tblW w:w="8713" w:type="dxa"/>
        <w:tblInd w:w="149" w:type="dxa"/>
        <w:tblBorders>
          <w:top w:val="single" w:sz="12" w:space="0" w:color="000000"/>
          <w:left w:val="single" w:sz="12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306"/>
        <w:gridCol w:w="1559"/>
        <w:gridCol w:w="3119"/>
        <w:gridCol w:w="2099"/>
      </w:tblGrid>
      <w:tr w:rsidR="003233E4" w:rsidTr="003233E4">
        <w:trPr>
          <w:trHeight w:val="950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 w:line="360" w:lineRule="auto"/>
              <w:ind w:left="-8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序号</w:t>
            </w:r>
          </w:p>
        </w:tc>
        <w:tc>
          <w:tcPr>
            <w:tcW w:w="1306" w:type="dxa"/>
          </w:tcPr>
          <w:p w:rsidR="003233E4" w:rsidRDefault="003233E4">
            <w:pPr>
              <w:spacing w:before="240" w:after="240" w:line="360" w:lineRule="auto"/>
              <w:ind w:left="-80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时间节点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 w:line="360" w:lineRule="auto"/>
              <w:ind w:left="-8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项目阶段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 w:line="360" w:lineRule="auto"/>
              <w:ind w:left="-8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完成内容</w:t>
            </w:r>
          </w:p>
        </w:tc>
        <w:tc>
          <w:tcPr>
            <w:tcW w:w="2099" w:type="dxa"/>
          </w:tcPr>
          <w:p w:rsidR="003233E4" w:rsidRDefault="003233E4" w:rsidP="00E44F9E">
            <w:pPr>
              <w:spacing w:before="240" w:after="240" w:line="360" w:lineRule="auto"/>
              <w:ind w:left="-8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里程碑</w:t>
            </w:r>
          </w:p>
        </w:tc>
      </w:tr>
      <w:tr w:rsidR="003233E4" w:rsidTr="003233E4">
        <w:trPr>
          <w:trHeight w:val="1310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t>1</w:t>
            </w:r>
          </w:p>
        </w:tc>
        <w:tc>
          <w:tcPr>
            <w:tcW w:w="1306" w:type="dxa"/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2022.2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/>
              </w:rPr>
              <w:t>需求调研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DA7BBF" w:rsidP="00A70BFC">
            <w:pPr>
              <w:spacing w:before="240" w:after="240"/>
              <w:ind w:left="-80"/>
              <w:jc w:val="center"/>
            </w:pPr>
            <w:r>
              <w:t>需求点分析</w:t>
            </w:r>
          </w:p>
          <w:p w:rsidR="00DA7BBF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可行性分析</w:t>
            </w:r>
          </w:p>
          <w:p w:rsidR="00DA7BBF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未来发展分析</w:t>
            </w:r>
          </w:p>
        </w:tc>
        <w:tc>
          <w:tcPr>
            <w:tcW w:w="2099" w:type="dxa"/>
          </w:tcPr>
          <w:p w:rsidR="003233E4" w:rsidRDefault="00EF6933" w:rsidP="00E44F9E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/>
              </w:rPr>
              <w:t>组织进行</w:t>
            </w:r>
            <w:r w:rsidR="003233E4">
              <w:rPr>
                <w:rFonts w:ascii="Arial Unicode MS" w:eastAsia="Arial Unicode MS" w:hAnsi="Arial Unicode MS" w:cs="Arial Unicode MS"/>
              </w:rPr>
              <w:t>需求评审</w:t>
            </w:r>
          </w:p>
        </w:tc>
      </w:tr>
      <w:tr w:rsidR="003233E4" w:rsidTr="003233E4">
        <w:trPr>
          <w:trHeight w:val="755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t>2</w:t>
            </w:r>
          </w:p>
        </w:tc>
        <w:tc>
          <w:tcPr>
            <w:tcW w:w="1306" w:type="dxa"/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2022.5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/>
              </w:rPr>
              <w:t>设计开发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DA7BBF" w:rsidP="00A70BFC">
            <w:pPr>
              <w:spacing w:before="240" w:after="240"/>
              <w:ind w:left="-80"/>
              <w:jc w:val="center"/>
            </w:pPr>
            <w:r>
              <w:t>系统架构设计</w:t>
            </w:r>
          </w:p>
          <w:p w:rsidR="00DA7BBF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功能模块开发</w:t>
            </w:r>
          </w:p>
        </w:tc>
        <w:tc>
          <w:tcPr>
            <w:tcW w:w="2099" w:type="dxa"/>
          </w:tcPr>
          <w:p w:rsidR="003233E4" w:rsidRDefault="003233E4" w:rsidP="00E44F9E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/>
              </w:rPr>
              <w:t>组织进行系统设计评审</w:t>
            </w:r>
          </w:p>
        </w:tc>
      </w:tr>
      <w:tr w:rsidR="003233E4" w:rsidTr="003233E4">
        <w:trPr>
          <w:trHeight w:val="755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t>3</w:t>
            </w:r>
          </w:p>
        </w:tc>
        <w:tc>
          <w:tcPr>
            <w:tcW w:w="1306" w:type="dxa"/>
          </w:tcPr>
          <w:p w:rsidR="003233E4" w:rsidRDefault="003233E4" w:rsidP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2022.7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 w:hint="eastAsia"/>
              </w:rPr>
              <w:t>测试</w:t>
            </w:r>
            <w:r>
              <w:rPr>
                <w:rFonts w:ascii="Arial Unicode MS" w:eastAsia="Arial Unicode MS" w:hAnsi="Arial Unicode MS" w:cs="Arial Unicode MS"/>
              </w:rPr>
              <w:t>验证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BBF" w:rsidRDefault="00DA7BBF" w:rsidP="00DA7BBF">
            <w:pPr>
              <w:spacing w:before="240" w:after="240"/>
              <w:ind w:left="-80"/>
              <w:jc w:val="center"/>
            </w:pPr>
            <w:r>
              <w:t>Alpha</w:t>
            </w:r>
            <w:r>
              <w:t>测试网部署</w:t>
            </w:r>
          </w:p>
          <w:p w:rsidR="00DA7BBF" w:rsidRDefault="00BF0A56" w:rsidP="00DA7BBF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系统</w:t>
            </w:r>
            <w:r w:rsidR="00DA7BBF">
              <w:rPr>
                <w:rFonts w:hint="eastAsia"/>
              </w:rPr>
              <w:t>功能测试</w:t>
            </w:r>
          </w:p>
          <w:p w:rsidR="00DA7BBF" w:rsidRDefault="00BF0A56" w:rsidP="00DA7BBF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测试</w:t>
            </w:r>
            <w:r w:rsidR="00DA7BBF">
              <w:rPr>
                <w:rFonts w:hint="eastAsia"/>
              </w:rPr>
              <w:t>优化</w:t>
            </w:r>
          </w:p>
        </w:tc>
        <w:tc>
          <w:tcPr>
            <w:tcW w:w="2099" w:type="dxa"/>
          </w:tcPr>
          <w:p w:rsidR="003233E4" w:rsidRDefault="00EF6933" w:rsidP="00E44F9E">
            <w:pPr>
              <w:spacing w:before="240" w:after="240"/>
              <w:ind w:left="-80"/>
            </w:pPr>
            <w:r>
              <w:rPr>
                <w:rFonts w:ascii="Arial Unicode MS" w:eastAsia="Arial Unicode MS" w:hAnsi="Arial Unicode MS" w:cs="Arial Unicode MS"/>
              </w:rPr>
              <w:t>组织进行</w:t>
            </w:r>
            <w:r w:rsidR="003233E4">
              <w:rPr>
                <w:rFonts w:ascii="Arial Unicode MS" w:eastAsia="Arial Unicode MS" w:hAnsi="Arial Unicode MS" w:cs="Arial Unicode MS"/>
              </w:rPr>
              <w:t>上线评审</w:t>
            </w:r>
          </w:p>
        </w:tc>
      </w:tr>
      <w:tr w:rsidR="003233E4" w:rsidTr="003233E4">
        <w:trPr>
          <w:trHeight w:val="755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06" w:type="dxa"/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2022.7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代码审计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DA7BBF" w:rsidP="00A70BFC">
            <w:pPr>
              <w:spacing w:before="240" w:after="240"/>
              <w:ind w:left="-80"/>
              <w:jc w:val="center"/>
            </w:pPr>
            <w:r>
              <w:t>第三方机构审计</w:t>
            </w:r>
          </w:p>
          <w:p w:rsidR="00BF0A56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漏洞</w:t>
            </w:r>
            <w:r w:rsidR="00BF0A56">
              <w:rPr>
                <w:rFonts w:hint="eastAsia"/>
              </w:rPr>
              <w:t>修复</w:t>
            </w:r>
          </w:p>
          <w:p w:rsidR="00DA7BBF" w:rsidRDefault="00BF0A56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审计优化</w:t>
            </w:r>
          </w:p>
        </w:tc>
        <w:tc>
          <w:tcPr>
            <w:tcW w:w="2099" w:type="dxa"/>
          </w:tcPr>
          <w:p w:rsidR="003233E4" w:rsidRDefault="003233E4" w:rsidP="00E44F9E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审计报告</w:t>
            </w:r>
          </w:p>
        </w:tc>
      </w:tr>
      <w:tr w:rsidR="003233E4" w:rsidTr="003233E4">
        <w:trPr>
          <w:trHeight w:val="755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06" w:type="dxa"/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2022.8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正式发布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A56" w:rsidRDefault="00DA7BBF" w:rsidP="00A70BFC">
            <w:pPr>
              <w:spacing w:before="240" w:after="240"/>
              <w:ind w:left="-80"/>
              <w:jc w:val="center"/>
            </w:pPr>
            <w:r>
              <w:t>发布上线</w:t>
            </w:r>
            <w:proofErr w:type="spellStart"/>
            <w:r w:rsidR="00BF0A56">
              <w:t>moonriver</w:t>
            </w:r>
            <w:proofErr w:type="spellEnd"/>
            <w:r w:rsidR="00BF0A56">
              <w:t>网络</w:t>
            </w:r>
          </w:p>
          <w:p w:rsidR="00BF0A56" w:rsidRDefault="00BF0A56" w:rsidP="00A70BFC">
            <w:pPr>
              <w:spacing w:before="240" w:after="240"/>
              <w:ind w:left="-80"/>
              <w:jc w:val="center"/>
            </w:pPr>
            <w:r>
              <w:t>发布上线</w:t>
            </w:r>
            <w:r w:rsidR="00DA7BBF">
              <w:t>moonbeam</w:t>
            </w:r>
            <w:r w:rsidR="00DA7BBF">
              <w:t>网络</w:t>
            </w:r>
          </w:p>
          <w:p w:rsidR="003233E4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lastRenderedPageBreak/>
              <w:t>建立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交易对</w:t>
            </w:r>
          </w:p>
        </w:tc>
        <w:tc>
          <w:tcPr>
            <w:tcW w:w="2099" w:type="dxa"/>
          </w:tcPr>
          <w:p w:rsidR="003233E4" w:rsidRDefault="003233E4" w:rsidP="00E44F9E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</w:p>
        </w:tc>
      </w:tr>
      <w:tr w:rsidR="003233E4" w:rsidTr="003233E4">
        <w:trPr>
          <w:trHeight w:val="755"/>
        </w:trPr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06" w:type="dxa"/>
          </w:tcPr>
          <w:p w:rsidR="003233E4" w:rsidRDefault="003233E4" w:rsidP="0076576E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</w:t>
            </w:r>
            <w:r w:rsidR="0076576E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3233E4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未来规划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3E4" w:rsidRDefault="00DA7BBF" w:rsidP="00A70BFC">
            <w:pPr>
              <w:spacing w:before="240" w:after="240"/>
              <w:ind w:left="-80"/>
              <w:jc w:val="center"/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募资、借贷</w:t>
            </w:r>
          </w:p>
        </w:tc>
        <w:tc>
          <w:tcPr>
            <w:tcW w:w="2099" w:type="dxa"/>
          </w:tcPr>
          <w:p w:rsidR="003233E4" w:rsidRDefault="003233E4" w:rsidP="00E44F9E">
            <w:pPr>
              <w:spacing w:before="240" w:after="240"/>
              <w:ind w:left="-8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B77D0A" w:rsidRDefault="00B77D0A"/>
    <w:sectPr w:rsidR="00B77D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2A4" w:rsidRDefault="00C912A4">
      <w:pPr>
        <w:spacing w:line="240" w:lineRule="auto"/>
      </w:pPr>
      <w:r>
        <w:separator/>
      </w:r>
    </w:p>
  </w:endnote>
  <w:endnote w:type="continuationSeparator" w:id="0">
    <w:p w:rsidR="00C912A4" w:rsidRDefault="00C91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2A4" w:rsidRDefault="00C912A4">
      <w:pPr>
        <w:spacing w:line="240" w:lineRule="auto"/>
      </w:pPr>
      <w:r>
        <w:separator/>
      </w:r>
    </w:p>
  </w:footnote>
  <w:footnote w:type="continuationSeparator" w:id="0">
    <w:p w:rsidR="00C912A4" w:rsidRDefault="00C91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836" w:rsidRDefault="0000383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03836"/>
    <w:rsid w:val="00003836"/>
    <w:rsid w:val="00047074"/>
    <w:rsid w:val="00291700"/>
    <w:rsid w:val="003233E4"/>
    <w:rsid w:val="00353964"/>
    <w:rsid w:val="005C5EAB"/>
    <w:rsid w:val="006001DB"/>
    <w:rsid w:val="0076576E"/>
    <w:rsid w:val="00A70BFC"/>
    <w:rsid w:val="00B77D0A"/>
    <w:rsid w:val="00BF0A56"/>
    <w:rsid w:val="00C912A4"/>
    <w:rsid w:val="00DA7BBF"/>
    <w:rsid w:val="00E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xtzj</cp:lastModifiedBy>
  <cp:revision>15</cp:revision>
  <dcterms:created xsi:type="dcterms:W3CDTF">2022-01-11T02:36:00Z</dcterms:created>
  <dcterms:modified xsi:type="dcterms:W3CDTF">2022-06-19T02:28:00Z</dcterms:modified>
</cp:coreProperties>
</file>