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FB6BA" w14:textId="44A70F42" w:rsidR="00BA66C7" w:rsidRPr="002F4339" w:rsidRDefault="003E517A" w:rsidP="00832AB6">
      <w:pPr>
        <w:pStyle w:val="Title"/>
        <w:rPr>
          <w:sz w:val="24"/>
          <w:szCs w:val="24"/>
        </w:rPr>
      </w:pPr>
      <w:r>
        <w:rPr>
          <w:sz w:val="24"/>
          <w:szCs w:val="24"/>
        </w:rPr>
        <w:t>Learning Knowledge Graph Paths with BERT</w:t>
      </w:r>
    </w:p>
    <w:p w14:paraId="3BE29E05" w14:textId="5EB914AF" w:rsidR="00832AB6" w:rsidRDefault="00832AB6" w:rsidP="00832AB6">
      <w:pPr>
        <w:jc w:val="center"/>
      </w:pPr>
      <w:r w:rsidRPr="002F4339">
        <w:t>Proposed by Jason Youn</w:t>
      </w:r>
    </w:p>
    <w:p w14:paraId="7D5B59A8" w14:textId="77777777" w:rsidR="003B7D51" w:rsidRPr="002F4339" w:rsidRDefault="003B7D51" w:rsidP="00832AB6">
      <w:pPr>
        <w:jc w:val="center"/>
      </w:pPr>
    </w:p>
    <w:p w14:paraId="43FE7019" w14:textId="163219AB" w:rsidR="003F7A4E" w:rsidRDefault="006D2D53" w:rsidP="002036E0">
      <w:pPr>
        <w:pStyle w:val="Heading1"/>
      </w:pPr>
      <w:r>
        <w:t>Overall</w:t>
      </w:r>
      <w:r w:rsidR="003F7A4E" w:rsidRPr="003F7A4E">
        <w:t xml:space="preserve"> Aim</w:t>
      </w:r>
    </w:p>
    <w:p w14:paraId="234E0D06" w14:textId="562AE828" w:rsidR="00D71708" w:rsidRDefault="00961F7D" w:rsidP="00EF597F">
      <w:r>
        <w:t xml:space="preserve">The goal of this project is to develop a novel approach for training a language representation model from a knowledge graph (KG) to produce state-of-the-art results for a wide range of KG-related tasks, such as </w:t>
      </w:r>
      <w:r w:rsidRPr="00D71708">
        <w:t>triple classification</w:t>
      </w:r>
      <w:r>
        <w:t>, link prediction, and relation prediction.</w:t>
      </w:r>
    </w:p>
    <w:p w14:paraId="0B6318BC" w14:textId="756026C9" w:rsidR="003F7A4E" w:rsidRDefault="003F7A4E" w:rsidP="002036E0">
      <w:pPr>
        <w:pStyle w:val="Heading1"/>
      </w:pPr>
      <w:r w:rsidRPr="003F7A4E">
        <w:t>Background</w:t>
      </w:r>
      <w:r w:rsidR="00AA3F5E">
        <w:t xml:space="preserve"> and Challenges</w:t>
      </w:r>
    </w:p>
    <w:p w14:paraId="657DFBA0" w14:textId="1F03D444" w:rsidR="003F1010" w:rsidRDefault="00596155" w:rsidP="00C12531">
      <w:r>
        <w:t>Recently, many data are reported using large-scale KGs (</w:t>
      </w:r>
      <w:r w:rsidRPr="00E5152C">
        <w:rPr>
          <w:i/>
          <w:iCs/>
        </w:rPr>
        <w:t>e.g.</w:t>
      </w:r>
      <w:r w:rsidRPr="00931894">
        <w:t xml:space="preserve"> </w:t>
      </w:r>
      <w:r>
        <w:t>FreeBase</w:t>
      </w:r>
      <w:r>
        <w:fldChar w:fldCharType="begin" w:fldLock="1"/>
      </w:r>
      <w:r w:rsidR="000141B7">
        <w:instrText>ADDIN CSL_CITATION {"citationItems":[{"id":"ITEM-1","itemData":{"author":[{"dropping-particle":"","family":"Bollacker","given":"Kurt","non-dropping-particle":"","parse-names":false,"suffix":""},{"dropping-particle":"","family":"Evans","given":"Colin","non-dropping-particle":"","parse-names":false,"suffix":""},{"dropping-particle":"","family":"Paritosh","given":"Praveen","non-dropping-particle":"","parse-names":false,"suffix":""},{"dropping-particle":"","family":"Sturge","given":"Tim","non-dropping-particle":"","parse-names":false,"suffix":""},{"dropping-particle":"","family":"Taylor","given":"Jamie","non-dropping-particle":"","parse-names":false,"suffix":""}],"container-title":"Proceedings of the 2008 ACM SIGMOD international conference on Management of data","id":"ITEM-1","issued":{"date-parts":[["2008"]]},"page":"1247-1250","title":"Freebase: a collaboratively created graph database for structuring human knowledge","type":"paper-conference"},"uris":["http://www.mendeley.com/documents/?uuid=a5dc7548-5ebd-419e-99be-7d254f066e7d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>
        <w:fldChar w:fldCharType="separate"/>
      </w:r>
      <w:r w:rsidRPr="00596155">
        <w:rPr>
          <w:noProof/>
          <w:vertAlign w:val="superscript"/>
        </w:rPr>
        <w:t>1</w:t>
      </w:r>
      <w:r>
        <w:fldChar w:fldCharType="end"/>
      </w:r>
      <w:r>
        <w:t>, YAGO</w:t>
      </w:r>
      <w:r>
        <w:fldChar w:fldCharType="begin" w:fldLock="1"/>
      </w:r>
      <w:r w:rsidR="000141B7">
        <w:instrText>ADDIN CSL_CITATION {"citationItems":[{"id":"ITEM-1","itemData":{"author":[{"dropping-particle":"","family":"Suchanek","given":"Fabian M","non-dropping-particle":"","parse-names":false,"suffix":""},{"dropping-particle":"","family":"Kasneci","given":"Gjergji","non-dropping-particle":"","parse-names":false,"suffix":""},{"dropping-particle":"","family":"Weikum","given":"Gerhard","non-dropping-particle":"","parse-names":false,"suffix":""}],"container-title":"Proceedings of the 16th international conference on World Wide Web","id":"ITEM-1","issued":{"date-parts":[["2007"]]},"page":"697-706","title":"Yago: a core of semantic knowledge","type":"paper-conference"},"uris":["http://www.mendeley.com/documents/?uuid=3d5a1f8b-b7a9-45bc-abcf-465ab05054c7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</w:r>
      <w:r>
        <w:fldChar w:fldCharType="separate"/>
      </w:r>
      <w:r w:rsidRPr="00596155">
        <w:rPr>
          <w:noProof/>
          <w:vertAlign w:val="superscript"/>
        </w:rPr>
        <w:t>2</w:t>
      </w:r>
      <w:r>
        <w:fldChar w:fldCharType="end"/>
      </w:r>
      <w:r>
        <w:t>, and WordNet</w:t>
      </w:r>
      <w:r>
        <w:fldChar w:fldCharType="begin" w:fldLock="1"/>
      </w:r>
      <w:r w:rsidR="000141B7">
        <w:instrText>ADDIN CSL_CITATION {"citationItems":[{"id":"ITEM-1","itemData":{"author":[{"dropping-particle":"","family":"Miller","given":"George A","non-dropping-particle":"","parse-names":false,"suffix":""}],"container-title":"Communications of the ACM","id":"ITEM-1","issue":"11","issued":{"date-parts":[["1995"]]},"page":"39-41","publisher":"ACM New York, NY, USA","title":"WordNet: a lexical database for English","type":"article-journal","volume":"38"},"uris":["http://www.mendeley.com/documents/?uuid=9b6b612c-2ad1-4305-8e71-8750c6081726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</w:r>
      <w:r>
        <w:fldChar w:fldCharType="separate"/>
      </w:r>
      <w:r w:rsidRPr="00596155">
        <w:rPr>
          <w:noProof/>
          <w:vertAlign w:val="superscript"/>
        </w:rPr>
        <w:t>3</w:t>
      </w:r>
      <w:r>
        <w:fldChar w:fldCharType="end"/>
      </w:r>
      <w:r>
        <w:t>) due to their advantages in</w:t>
      </w:r>
      <w:r w:rsidRPr="0078407C">
        <w:t xml:space="preserve"> identify</w:t>
      </w:r>
      <w:r>
        <w:t>ing</w:t>
      </w:r>
      <w:r w:rsidRPr="0078407C">
        <w:t xml:space="preserve"> patterns among data</w:t>
      </w:r>
      <w:r>
        <w:t xml:space="preserve"> </w:t>
      </w:r>
      <w:r w:rsidRPr="0078407C">
        <w:t>and utiliz</w:t>
      </w:r>
      <w:r>
        <w:t>ing</w:t>
      </w:r>
      <w:r w:rsidRPr="0078407C">
        <w:t xml:space="preserve"> the massive information content they carry to gain insights into the mechanisms of action, associations, and testable hypotheses</w:t>
      </w:r>
      <w:r>
        <w:fldChar w:fldCharType="begin" w:fldLock="1"/>
      </w:r>
      <w:r w:rsidR="000141B7">
        <w:instrText>ADDIN CSL_CITATION {"citationItems":[{"id":"ITEM-1","itemData":{"author":[{"dropping-particle":"","family":"Li","given":"Yixue","non-dropping-particle":"","parse-names":false,"suffix":""},{"dropping-particle":"","family":"Chen","given":"Luonan","non-dropping-particle":"","parse-names":false,"suffix":""}],"container-title":"Genomics, proteomics &amp; bioinformatics","id":"ITEM-1","issue":"5","issued":{"date-parts":[["2014"]]},"page":"187","publisher":"Elsevier","title":"Big biological data: challenges and opportunities","type":"article-journal","volume":"12"},"uris":["http://www.mendeley.com/documents/?uuid=78703262-5e8a-4d07-b65a-298807f51e20"]},{"id":"ITEM-2","itemData":{"author":[{"dropping-particle":"","family":"Silvescu","given":"Adrian","non-dropping-particle":"","parse-names":false,"suffix":""},{"dropping-particle":"","family":"Caragea","given":"Doina","non-dropping-particle":"","parse-names":false,"suffix":""},{"dropping-particle":"","family":"Atramentov","given":"Anna","non-dropping-particle":"","parse-names":false,"suffix":""}],"container-title":"Artificial Intelligence Research Laboratory Department of Computer Science, Iowa State University","id":"ITEM-2","issued":{"date-parts":[["2012"]]},"publisher":"Citeseer","title":"Graph databases","type":"article-journal"},"uris":["http://www.mendeley.com/documents/?uuid=500f94e8-cb14-465d-a198-cdc7800f290b"]}],"mendeley":{"formattedCitation":"&lt;sup&gt;4,5&lt;/sup&gt;","plainTextFormattedCitation":"4,5","previouslyFormattedCitation":"&lt;sup&gt;4,5&lt;/sup&gt;"},"properties":{"noteIndex":0},"schema":"https://github.com/citation-style-language/schema/raw/master/csl-citation.json"}</w:instrText>
      </w:r>
      <w:r>
        <w:fldChar w:fldCharType="separate"/>
      </w:r>
      <w:r w:rsidRPr="00596155">
        <w:rPr>
          <w:noProof/>
          <w:vertAlign w:val="superscript"/>
        </w:rPr>
        <w:t>4,5</w:t>
      </w:r>
      <w:r>
        <w:fldChar w:fldCharType="end"/>
      </w:r>
      <w:r w:rsidR="001B1EF4">
        <w:t>.</w:t>
      </w:r>
      <w:r w:rsidR="006E496C">
        <w:t xml:space="preserve"> </w:t>
      </w:r>
      <w:r w:rsidR="001B1EF4">
        <w:t xml:space="preserve">However, </w:t>
      </w:r>
      <w:r w:rsidR="000141B7">
        <w:t>since KGs are often incomplete</w:t>
      </w:r>
      <w:r w:rsidR="000141B7">
        <w:fldChar w:fldCharType="begin" w:fldLock="1"/>
      </w:r>
      <w:r w:rsidR="00B85203">
        <w:instrText>ADDIN CSL_CITATION {"citationItems":[{"id":"ITEM-1","itemData":{"author":[{"dropping-particle":"","family":"West","given":"Robert","non-dropping-particle":"","parse-names":false,"suffix":""},{"dropping-particle":"","family":"Gabrilovich","given":"Evgeniy","non-dropping-particle":"","parse-names":false,"suffix":""},{"dropping-particle":"","family":"Murphy","given":"Kevin","non-dropping-particle":"","parse-names":false,"suffix":""},{"dropping-particle":"","family":"Sun","given":"Shaohua","non-dropping-particle":"","parse-names":false,"suffix":""},{"dropping-particle":"","family":"Gupta","given":"Rahul","non-dropping-particle":"","parse-names":false,"suffix":""},{"dropping-particle":"","family":"Lin","given":"Dekang","non-dropping-particle":"","parse-names":false,"suffix":""}],"container-title":"Proceedings of the 23rd international conference on World wide web","id":"ITEM-1","issued":{"date-parts":[["2014"]]},"page":"515-526","title":"Knowledge base completion via search-based question answering","type":"paper-conference"},"uris":["http://www.mendeley.com/documents/?uuid=c1755b63-2e51-4c4c-b4a6-160f21e4f279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</w:r>
      <w:r w:rsidR="000141B7">
        <w:fldChar w:fldCharType="separate"/>
      </w:r>
      <w:r w:rsidR="000141B7" w:rsidRPr="000141B7">
        <w:rPr>
          <w:noProof/>
          <w:vertAlign w:val="superscript"/>
        </w:rPr>
        <w:t>6</w:t>
      </w:r>
      <w:r w:rsidR="000141B7">
        <w:fldChar w:fldCharType="end"/>
      </w:r>
      <w:r w:rsidR="000141B7">
        <w:t>, a fundamental problem is to predict relations between the entities based on existing triples in the KG.</w:t>
      </w:r>
      <w:r w:rsidR="008F6B61">
        <w:t xml:space="preserve"> </w:t>
      </w:r>
      <w:r w:rsidR="008F6B61">
        <w:rPr>
          <w:lang w:eastAsia="ko-KR"/>
        </w:rPr>
        <w:t xml:space="preserve">Recently, </w:t>
      </w:r>
      <w:r w:rsidR="008F6B61">
        <w:rPr>
          <w:lang w:eastAsia="ko-KR"/>
        </w:rPr>
        <w:t>KG-BERT</w:t>
      </w:r>
      <w:r w:rsidR="008F6B61">
        <w:fldChar w:fldCharType="begin" w:fldLock="1"/>
      </w:r>
      <w:r w:rsidR="002F460A">
        <w:rPr>
          <w:lang w:eastAsia="ko-KR"/>
        </w:rPr>
        <w:instrText>ADDIN CSL_CITATION {"citationItems":[{"id":"ITEM-1","itemData":{"author":[{"dropping-particle":"","family":"Yao","given":"Liang","non-dropping-particle":"","parse-names":false,"suffix":""},{"dropping-particle":"","family":"Mao","given":"Chengsheng","non-dropping-particle":"","parse-names":false,"suffix":""},{"dropping-particle":"","family":"Luo","given":"Yuan","non-dropping-particle":"","parse-names":false,"suffix":""}],"container-title":"arXiv preprint arXiv:1909.03193","id":"ITEM-1","issued":{"date-parts":[["2019"]]},"title":"KG-BERT: BERT for knowledge graph completion","type":"article-journal"},"uris":["http://www.mendeley.com/documents/?uuid=016f5433-ff68-426d-b562-38dbbc2d5c47"]}],"mendeley":{"formattedCitation":"&lt;sup&gt;7&lt;/sup&gt;","plainTextFormattedCitation":"7","previouslyFormattedCitation":"&lt;sup&gt;9&lt;/sup&gt;"},"properties":{"noteIndex":0},"schema":"https://github.com/citation-style-language/schema/raw/master/csl-citation.json"}</w:instrText>
      </w:r>
      <w:r w:rsidR="008F6B61">
        <w:fldChar w:fldCharType="separate"/>
      </w:r>
      <w:r w:rsidR="002F460A" w:rsidRPr="002F460A">
        <w:rPr>
          <w:noProof/>
          <w:vertAlign w:val="superscript"/>
          <w:lang w:eastAsia="ko-KR"/>
        </w:rPr>
        <w:t>7</w:t>
      </w:r>
      <w:r w:rsidR="008F6B61">
        <w:fldChar w:fldCharType="end"/>
      </w:r>
      <w:r w:rsidR="00DC4BFA">
        <w:rPr>
          <w:lang w:eastAsia="ko-KR"/>
        </w:rPr>
        <w:t xml:space="preserve"> represented triples as text sequences an</w:t>
      </w:r>
      <w:r w:rsidR="00DC4BFA">
        <w:t xml:space="preserve">d used </w:t>
      </w:r>
      <w:r w:rsidR="008F6B61">
        <w:rPr>
          <w:lang w:eastAsia="ko-KR"/>
        </w:rPr>
        <w:t>BERT</w:t>
      </w:r>
      <w:r w:rsidR="008F6B61">
        <w:fldChar w:fldCharType="begin" w:fldLock="1"/>
      </w:r>
      <w:r w:rsidR="002F460A">
        <w:rPr>
          <w:lang w:eastAsia="ko-KR"/>
        </w:rPr>
        <w:instrText>ADDIN CSL_CITATION {"citationItems":[{"id":"ITEM-1","itemData":{"author":[{"dropping-particle":"","family":"Devlin","given":"Jacob","non-dropping-particle":"","parse-names":false,"suffix":""},{"dropping-particle":"","family":"Chang","given":"Ming-Wei","non-dropping-particle":"","parse-names":false,"suffix":""},{"dropping-particle":"","family":"Lee","given":"Kenton","non-dropping-particle":"","parse-names":false,"suffix":""},{"dropping-particle":"","family":"Toutanova","given":"Kristina","non-dropping-particle":"","parse-names":false,"suffix":""}],"container-title":"arXiv preprint arXiv:1810.04805","id":"ITEM-1","issued":{"date-parts":[["2018"]]},"title":"Bert: Pre-training of deep bidirectional transformers for language understanding","type":"article-journal"},"uris":["http://www.mendeley.com/documents/?uuid=b4dfbdc8-b243-40bb-b192-55458550e9f0"]}],"mendeley":{"formattedCitation":"&lt;sup&gt;8&lt;/sup&gt;","plainTextFormattedCitation":"8","previouslyFormattedCitation":"&lt;sup&gt;11&lt;/sup&gt;"},"properties":{"noteIndex":0},"schema":"https://github.com/citation-style-language/schema/raw/master/csl-citation.json"}</w:instrText>
      </w:r>
      <w:r w:rsidR="008F6B61">
        <w:fldChar w:fldCharType="separate"/>
      </w:r>
      <w:r w:rsidR="002F460A" w:rsidRPr="002F460A">
        <w:rPr>
          <w:noProof/>
          <w:vertAlign w:val="superscript"/>
        </w:rPr>
        <w:t>8</w:t>
      </w:r>
      <w:r w:rsidR="008F6B61">
        <w:fldChar w:fldCharType="end"/>
      </w:r>
      <w:r w:rsidR="00C5247D">
        <w:t xml:space="preserve">, </w:t>
      </w:r>
      <w:r w:rsidR="00C5247D">
        <w:t>a language representation model utilizing the attention mechanisms</w:t>
      </w:r>
      <w:r w:rsidR="00C5247D">
        <w:fldChar w:fldCharType="begin" w:fldLock="1"/>
      </w:r>
      <w:r w:rsidR="002F460A">
        <w:instrText>ADDIN CSL_CITATION {"citationItems":[{"id":"ITEM-1","itemData":{"author":[{"dropping-particle":"","family":"Bahdanau","given":"Dzmitry","non-dropping-particle":"","parse-names":false,"suffix":""},{"dropping-particle":"","family":"Cho","given":"Kyunghyun","non-dropping-particle":"","parse-names":false,"suffix":""},{"dropping-particle":"","family":"Bengio","given":"Yoshua","non-dropping-particle":"","parse-names":false,"suffix":""}],"container-title":"arXiv preprint arXiv:1409.0473","id":"ITEM-1","issued":{"date-parts":[["2014"]]},"title":"Neural machine translation by jointly learning to align and translate","type":"article-journal"},"uris":["http://www.mendeley.com/documents/?uuid=fb4accfb-9e34-4d68-9abe-bc8ffd370065"]},{"id":"ITEM-2","itemData":{"author":[{"dropping-particle":"","family":"Luong","given":"Minh-Thang","non-dropping-particle":"","parse-names":false,"suffix":""},{"dropping-particle":"","family":"Pham","given":"Hieu","non-dropping-particle":"","parse-names":false,"suffix":""},{"dropping-particle":"","family":"Manning","given":"Christopher D","non-dropping-particle":"","parse-names":false,"suffix":""}],"container-title":"arXiv preprint arXiv:1508.04025","id":"ITEM-2","issued":{"date-parts":[["2015"]]},"title":"Effective approaches to attention-based neural machine translation","type":"article-journal"},"uris":["http://www.mendeley.com/documents/?uuid=25647c80-4423-4087-a46a-dacf9a96ec90"]}],"mendeley":{"formattedCitation":"&lt;sup&gt;9,10&lt;/sup&gt;","plainTextFormattedCitation":"9,10","previouslyFormattedCitation":"&lt;sup&gt;12,13&lt;/sup&gt;"},"properties":{"noteIndex":0},"schema":"https://github.com/citation-style-language/schema/raw/master/csl-citation.json"}</w:instrText>
      </w:r>
      <w:r w:rsidR="00C5247D">
        <w:fldChar w:fldCharType="separate"/>
      </w:r>
      <w:r w:rsidR="002F460A" w:rsidRPr="002F460A">
        <w:rPr>
          <w:noProof/>
          <w:vertAlign w:val="superscript"/>
        </w:rPr>
        <w:t>9,10</w:t>
      </w:r>
      <w:r w:rsidR="00C5247D">
        <w:fldChar w:fldCharType="end"/>
      </w:r>
      <w:r w:rsidR="00C5247D">
        <w:t xml:space="preserve">, </w:t>
      </w:r>
      <w:r w:rsidR="00DC4BFA">
        <w:t xml:space="preserve">to learn scoring function for relation prediction. </w:t>
      </w:r>
      <w:r w:rsidR="002F460A">
        <w:rPr>
          <w:lang w:eastAsia="ko-KR"/>
        </w:rPr>
        <w:t>BERTRL</w:t>
      </w:r>
      <w:r w:rsidR="002F460A">
        <w:fldChar w:fldCharType="begin" w:fldLock="1"/>
      </w:r>
      <w:r w:rsidR="002F460A">
        <w:rPr>
          <w:lang w:eastAsia="ko-KR"/>
        </w:rPr>
        <w:instrText>ADDIN CSL_CITATION {"citationItems":[{"id":"ITEM-1","itemData":{"author":[{"dropping-particle":"","family":"Zha","given":"Hanwen","non-dropping-particle":"","parse-names":false,"suffix":""},{"dropping-particle":"","family":"Chen","given":"Zhiyu","non-dropping-particle":"","parse-names":false,"suffix":""},{"dropping-particle":"","family":"Yan","given":"Xifeng","non-dropping-particle":"","parse-names":false,"suffix":""}],"container-title":"arXiv preprint arXiv:2103.07102","id":"ITEM-1","issued":{"date-parts":[["2021"]]},"title":"Inductive Relation Prediction by BERT","type":"article-journal"},"uris":["http://www.mendeley.com/documents/?uuid=a1459b0b-dc27-42b0-9cac-522a9318a8f3"]}],"mendeley":{"formattedCitation":"&lt;sup&gt;11&lt;/sup&gt;","plainTextFormattedCitation":"11","previouslyFormattedCitation":"&lt;sup&gt;10&lt;/sup&gt;"},"properties":{"noteIndex":0},"schema":"https://github.com/citation-style-language/schema/raw/master/csl-citation.json"}</w:instrText>
      </w:r>
      <w:r w:rsidR="002F460A">
        <w:fldChar w:fldCharType="separate"/>
      </w:r>
      <w:r w:rsidR="002F460A" w:rsidRPr="002F460A">
        <w:rPr>
          <w:noProof/>
          <w:vertAlign w:val="superscript"/>
          <w:lang w:eastAsia="ko-KR"/>
        </w:rPr>
        <w:t>11</w:t>
      </w:r>
      <w:r w:rsidR="002F460A">
        <w:fldChar w:fldCharType="end"/>
      </w:r>
      <w:r w:rsidR="002F460A">
        <w:rPr>
          <w:lang w:eastAsia="ko-KR"/>
        </w:rPr>
        <w:t xml:space="preserve"> further increased the performance by incorporating local path information </w:t>
      </w:r>
      <w:r w:rsidR="002F460A">
        <w:t xml:space="preserve">when fine-tuning BERT. </w:t>
      </w:r>
      <w:r w:rsidR="007572ED">
        <w:t xml:space="preserve">However, </w:t>
      </w:r>
      <w:r w:rsidR="002F460A">
        <w:t>both</w:t>
      </w:r>
      <w:r w:rsidR="007572ED">
        <w:t xml:space="preserve"> methods </w:t>
      </w:r>
      <w:r w:rsidR="002F460A">
        <w:t>simply use the pre-trained BERT trained on free-text like BooksCorpus</w:t>
      </w:r>
      <w:r w:rsidR="002F460A">
        <w:fldChar w:fldCharType="begin" w:fldLock="1"/>
      </w:r>
      <w:r w:rsidR="002F460A">
        <w:instrText>ADDIN CSL_CITATION {"citationItems":[{"id":"ITEM-1","itemData":{"author":[{"dropping-particle":"","family":"Zhu","given":"Yukun","non-dropping-particle":"","parse-names":false,"suffix":""},{"dropping-particle":"","family":"Kiros","given":"Ryan","non-dropping-particle":"","parse-names":false,"suffix":""},{"dropping-particle":"","family":"Zemel","given":"Rich","non-dropping-particle":"","parse-names":false,"suffix":""},{"dropping-particle":"","family":"Salakhutdinov","given":"Ruslan","non-dropping-particle":"","parse-names":false,"suffix":""},{"dropping-particle":"","family":"Urtasun","given":"Raquel","non-dropping-particle":"","parse-names":false,"suffix":""},{"dropping-particle":"","family":"Torralba","given":"Antonio","non-dropping-particle":"","parse-names":false,"suffix":""},{"dropping-particle":"","family":"Fidler","given":"Sanja","non-dropping-particle":"","parse-names":false,"suffix":""}],"container-title":"Proceedings of the IEEE international conference on computer vision","id":"ITEM-1","issued":{"date-parts":[["2015"]]},"page":"19-27","title":"Aligning books and movies: Towards story-like visual explanations by watching movies and reading books","type":"paper-conference"},"uris":["http://www.mendeley.com/documents/?uuid=ff2f8d2d-c753-4661-8a32-6457390e90c5"]}],"mendeley":{"formattedCitation":"&lt;sup&gt;12&lt;/sup&gt;","plainTextFormattedCitation":"12"},"properties":{"noteIndex":0},"schema":"https://github.com/citation-style-language/schema/raw/master/csl-citation.json"}</w:instrText>
      </w:r>
      <w:r w:rsidR="002F460A">
        <w:fldChar w:fldCharType="separate"/>
      </w:r>
      <w:r w:rsidR="002F460A" w:rsidRPr="002F460A">
        <w:rPr>
          <w:noProof/>
          <w:vertAlign w:val="superscript"/>
        </w:rPr>
        <w:t>12</w:t>
      </w:r>
      <w:r w:rsidR="002F460A">
        <w:fldChar w:fldCharType="end"/>
      </w:r>
      <w:r w:rsidR="002F460A">
        <w:t xml:space="preserve"> and English Wikipedia. </w:t>
      </w:r>
      <w:r w:rsidR="008072EC">
        <w:t>T</w:t>
      </w:r>
      <w:r w:rsidR="001D0BAB" w:rsidRPr="003D2585">
        <w:t xml:space="preserve">here </w:t>
      </w:r>
      <w:r w:rsidR="001D0BAB">
        <w:t>still is room for improvement by pre-training BERT with KG</w:t>
      </w:r>
      <w:r w:rsidR="00FC010F">
        <w:t xml:space="preserve"> and learning </w:t>
      </w:r>
      <w:r w:rsidR="00BE5E53">
        <w:t xml:space="preserve">from </w:t>
      </w:r>
      <w:r w:rsidR="00FC010F">
        <w:t xml:space="preserve">the paths </w:t>
      </w:r>
      <w:r w:rsidR="00BE5E53">
        <w:t>in the KG</w:t>
      </w:r>
      <w:r w:rsidR="00FC010F">
        <w:t>.</w:t>
      </w:r>
    </w:p>
    <w:p w14:paraId="078B2592" w14:textId="432FD696" w:rsidR="00DB48A5" w:rsidRDefault="003F7A4E" w:rsidP="00D17789">
      <w:pPr>
        <w:pStyle w:val="Heading1"/>
        <w:rPr>
          <w:lang w:eastAsia="ko-KR"/>
        </w:rPr>
      </w:pPr>
      <w:r w:rsidRPr="003F7A4E">
        <w:rPr>
          <w:lang w:eastAsia="ko-KR"/>
        </w:rPr>
        <w:t>Significance and Impact</w:t>
      </w:r>
    </w:p>
    <w:p w14:paraId="40A03937" w14:textId="36794F47" w:rsidR="00D41D46" w:rsidRDefault="00C70331" w:rsidP="00931894">
      <w:pPr>
        <w:rPr>
          <w:lang w:eastAsia="ko-KR"/>
        </w:rPr>
      </w:pPr>
      <w:r>
        <w:rPr>
          <w:lang w:eastAsia="ko-KR"/>
        </w:rPr>
        <w:t>By</w:t>
      </w:r>
      <w:r w:rsidR="003A7D9F">
        <w:rPr>
          <w:lang w:eastAsia="ko-KR"/>
        </w:rPr>
        <w:t xml:space="preserve"> developing a full training scheme (both pre-training and fine-tuning) for BERT which</w:t>
      </w:r>
      <w:r w:rsidR="000528B0">
        <w:rPr>
          <w:lang w:eastAsia="ko-KR"/>
        </w:rPr>
        <w:t xml:space="preserve"> </w:t>
      </w:r>
      <w:r w:rsidR="003A7D9F">
        <w:rPr>
          <w:lang w:eastAsia="ko-KR"/>
        </w:rPr>
        <w:t>utilizes</w:t>
      </w:r>
      <w:r w:rsidR="000528B0">
        <w:rPr>
          <w:lang w:eastAsia="ko-KR"/>
        </w:rPr>
        <w:t xml:space="preserve"> the path information in the KG, we hypothesize that the performance of the</w:t>
      </w:r>
      <w:r w:rsidR="00D111D7">
        <w:rPr>
          <w:lang w:eastAsia="ko-KR"/>
        </w:rPr>
        <w:t xml:space="preserve"> KG-related</w:t>
      </w:r>
      <w:r w:rsidR="000528B0">
        <w:rPr>
          <w:lang w:eastAsia="ko-KR"/>
        </w:rPr>
        <w:t xml:space="preserve"> downstream tasks will improv</w:t>
      </w:r>
      <w:r w:rsidR="007A3AED">
        <w:rPr>
          <w:lang w:eastAsia="ko-KR"/>
        </w:rPr>
        <w:t>e</w:t>
      </w:r>
      <w:r w:rsidR="000528B0">
        <w:rPr>
          <w:lang w:eastAsia="ko-KR"/>
        </w:rPr>
        <w:t>.</w:t>
      </w:r>
      <w:r w:rsidR="00D23DC1">
        <w:rPr>
          <w:lang w:eastAsia="ko-KR"/>
        </w:rPr>
        <w:t xml:space="preserve"> Moreover, the proposed method will be an explainable model </w:t>
      </w:r>
      <w:r w:rsidR="005121D2">
        <w:rPr>
          <w:lang w:eastAsia="ko-KR"/>
        </w:rPr>
        <w:t xml:space="preserve">in </w:t>
      </w:r>
      <w:r w:rsidR="00D23DC1">
        <w:rPr>
          <w:lang w:eastAsia="ko-KR"/>
        </w:rPr>
        <w:t xml:space="preserve">which </w:t>
      </w:r>
      <w:r w:rsidR="00D23DC1">
        <w:rPr>
          <w:lang w:eastAsia="ko-KR"/>
        </w:rPr>
        <w:t>users gain insight into why a prediction was made by analyzing the path</w:t>
      </w:r>
      <w:r w:rsidR="00FD7D29">
        <w:rPr>
          <w:lang w:eastAsia="ko-KR"/>
        </w:rPr>
        <w:t>s</w:t>
      </w:r>
      <w:r w:rsidR="00D23DC1">
        <w:rPr>
          <w:lang w:eastAsia="ko-KR"/>
        </w:rPr>
        <w:t xml:space="preserve"> used for inference</w:t>
      </w:r>
      <w:r w:rsidR="00FD7D29">
        <w:rPr>
          <w:lang w:eastAsia="ko-KR"/>
        </w:rPr>
        <w:t>.</w:t>
      </w:r>
      <w:r w:rsidR="006A7913">
        <w:rPr>
          <w:lang w:eastAsia="ko-KR"/>
        </w:rPr>
        <w:t xml:space="preserve"> We also</w:t>
      </w:r>
      <w:r w:rsidR="000B0D45">
        <w:rPr>
          <w:lang w:eastAsia="ko-KR"/>
        </w:rPr>
        <w:t xml:space="preserve"> expect that the training speed will be faster with far fewer parameters since the input to BERT will be significantly smaller (512 tokens in original BERT as opposed to &lt;128 expected tokens in our approach).</w:t>
      </w:r>
      <w:r w:rsidR="00D46BA6">
        <w:t xml:space="preserve"> </w:t>
      </w:r>
    </w:p>
    <w:p w14:paraId="1F406CB8" w14:textId="51BD4CAC" w:rsidR="003F7A4E" w:rsidRDefault="003F7A4E" w:rsidP="002036E0">
      <w:pPr>
        <w:pStyle w:val="Heading1"/>
      </w:pPr>
      <w:r w:rsidRPr="003F7A4E">
        <w:t xml:space="preserve">Relevance to </w:t>
      </w:r>
      <w:r w:rsidR="00CD0483">
        <w:t>Other Projects</w:t>
      </w:r>
    </w:p>
    <w:p w14:paraId="7C4905A3" w14:textId="586683D5" w:rsidR="00BD0A52" w:rsidRPr="00BD0A52" w:rsidRDefault="00BD0A52" w:rsidP="00BD0A52">
      <w:r w:rsidRPr="00BD0A52">
        <w:rPr>
          <w:b/>
          <w:bCs/>
        </w:rPr>
        <w:t>Relevance to KIDS:</w:t>
      </w:r>
      <w:r w:rsidRPr="00BD0A52">
        <w:t xml:space="preserve"> </w:t>
      </w:r>
      <w:r w:rsidR="00C53FA8" w:rsidRPr="00BD0A52">
        <w:t>The proposed system can be swapped into the KIDS to serve as a hypothesis generator</w:t>
      </w:r>
      <w:r w:rsidR="00FB765D" w:rsidRPr="00BD0A52">
        <w:t xml:space="preserve"> (HG)</w:t>
      </w:r>
      <w:r w:rsidR="00C53FA8" w:rsidRPr="00BD0A52">
        <w:t xml:space="preserve">. </w:t>
      </w:r>
      <w:r w:rsidR="00FB765D" w:rsidRPr="00BD0A52">
        <w:t>We hypothesize that the proposed system provides an improved hit</w:t>
      </w:r>
      <w:r w:rsidR="00E03F32">
        <w:t xml:space="preserve"> </w:t>
      </w:r>
      <w:r w:rsidR="00FB765D" w:rsidRPr="00BD0A52">
        <w:t>rate compared to the original PRA-MLP</w:t>
      </w:r>
      <w:r w:rsidR="001148E8" w:rsidRPr="00BD0A52">
        <w:t>-</w:t>
      </w:r>
      <w:r w:rsidR="00FB765D" w:rsidRPr="00BD0A52">
        <w:t>based HG.</w:t>
      </w:r>
    </w:p>
    <w:p w14:paraId="6CD0F9D9" w14:textId="7F727F91" w:rsidR="00BD0A52" w:rsidRPr="000A6424" w:rsidRDefault="00BD0A52" w:rsidP="000A6424">
      <w:r w:rsidRPr="00BD0A52">
        <w:rPr>
          <w:b/>
          <w:bCs/>
        </w:rPr>
        <w:t>Relevance to AIFS:</w:t>
      </w:r>
      <w:r w:rsidRPr="00BD0A52">
        <w:t xml:space="preserve"> The proposed system can be applied to the automatically curated knowledge</w:t>
      </w:r>
      <w:r>
        <w:t xml:space="preserve"> </w:t>
      </w:r>
      <w:r w:rsidRPr="00BD0A52">
        <w:t>base of food and chemical compound information for making</w:t>
      </w:r>
      <w:r>
        <w:t xml:space="preserve"> a</w:t>
      </w:r>
      <w:r w:rsidR="00A3722D">
        <w:t>n explainable</w:t>
      </w:r>
      <w:r>
        <w:t xml:space="preserve"> </w:t>
      </w:r>
      <w:r w:rsidRPr="00BD0A52">
        <w:t>predictor of health effects from food chemical composition</w:t>
      </w:r>
      <w:r>
        <w:t>.</w:t>
      </w:r>
    </w:p>
    <w:p w14:paraId="295880E1" w14:textId="68972698" w:rsidR="003F7A4E" w:rsidRDefault="003F7A4E" w:rsidP="002036E0">
      <w:pPr>
        <w:pStyle w:val="Heading1"/>
      </w:pPr>
      <w:r w:rsidRPr="003F7A4E">
        <w:lastRenderedPageBreak/>
        <w:t>Approach and Success Metric</w:t>
      </w:r>
    </w:p>
    <w:p w14:paraId="09B07EF2" w14:textId="43555591" w:rsidR="00FB765D" w:rsidRPr="00D45D48" w:rsidRDefault="00832AB6" w:rsidP="00FB765D">
      <w:pPr>
        <w:rPr>
          <w:b/>
          <w:bCs/>
          <w:u w:val="single"/>
        </w:rPr>
      </w:pPr>
      <w:r w:rsidRPr="00D45D48">
        <w:rPr>
          <w:b/>
          <w:bCs/>
          <w:u w:val="single"/>
        </w:rPr>
        <w:t>Specific aim 1. Develop a novel</w:t>
      </w:r>
      <w:r w:rsidR="00A26AB9" w:rsidRPr="00D45D48">
        <w:rPr>
          <w:b/>
          <w:bCs/>
          <w:u w:val="single"/>
        </w:rPr>
        <w:t xml:space="preserve"> BERT </w:t>
      </w:r>
      <w:r w:rsidRPr="00D45D48">
        <w:rPr>
          <w:b/>
          <w:bCs/>
          <w:u w:val="single"/>
        </w:rPr>
        <w:t xml:space="preserve">pre-training </w:t>
      </w:r>
      <w:r w:rsidR="005224CD" w:rsidRPr="00D45D48">
        <w:rPr>
          <w:b/>
          <w:bCs/>
          <w:u w:val="single"/>
        </w:rPr>
        <w:t xml:space="preserve">process </w:t>
      </w:r>
      <w:r w:rsidR="00A26AB9" w:rsidRPr="00D45D48">
        <w:rPr>
          <w:b/>
          <w:bCs/>
          <w:u w:val="single"/>
        </w:rPr>
        <w:t xml:space="preserve">given </w:t>
      </w:r>
      <w:r w:rsidR="005224CD" w:rsidRPr="00D45D48">
        <w:rPr>
          <w:b/>
          <w:bCs/>
          <w:u w:val="single"/>
        </w:rPr>
        <w:t>a KG</w:t>
      </w:r>
      <w:r w:rsidR="00A26AB9" w:rsidRPr="00D45D48">
        <w:rPr>
          <w:b/>
          <w:bCs/>
          <w:u w:val="single"/>
        </w:rPr>
        <w:t xml:space="preserve"> as input</w:t>
      </w:r>
      <w:r w:rsidR="005224CD" w:rsidRPr="00D45D48">
        <w:rPr>
          <w:b/>
          <w:bCs/>
          <w:u w:val="single"/>
        </w:rPr>
        <w:t>.</w:t>
      </w:r>
    </w:p>
    <w:p w14:paraId="25D0A537" w14:textId="4E6EB791" w:rsidR="002E3139" w:rsidRDefault="005224CD" w:rsidP="00C047E7">
      <w:r w:rsidRPr="00D45D48">
        <w:rPr>
          <w:b/>
          <w:bCs/>
        </w:rPr>
        <w:t>Approach:</w:t>
      </w:r>
      <w:r w:rsidR="00C047E7">
        <w:t xml:space="preserve"> </w:t>
      </w:r>
      <w:r w:rsidR="00C357FC">
        <w:t>The system first generates paths of bounded lengths from the KG (</w:t>
      </w:r>
      <w:r w:rsidR="00C357FC" w:rsidRPr="00C357FC">
        <w:rPr>
          <w:b/>
          <w:bCs/>
        </w:rPr>
        <w:t>Figure 1</w:t>
      </w:r>
      <w:r w:rsidR="00C357FC">
        <w:t>).</w:t>
      </w:r>
      <w:r w:rsidR="002E3139">
        <w:t xml:space="preserve"> We then feed pairs of paths as input for pre-training the BERT. </w:t>
      </w:r>
      <w:r w:rsidR="002E3139">
        <w:t>If these two paths can be connected to form a single valid path, we predict True for the Valid Path Prediction (VPP) task, and False otherwise. Masked Language Model (MLM) task is the same as the original BERT implementation</w:t>
      </w:r>
      <w:r w:rsidR="00E64420">
        <w:t xml:space="preserve"> (</w:t>
      </w:r>
      <w:r w:rsidR="00E64420" w:rsidRPr="00E64420">
        <w:rPr>
          <w:b/>
          <w:bCs/>
        </w:rPr>
        <w:t>Figure 2</w:t>
      </w:r>
      <w:r w:rsidR="00E64420">
        <w:t>)</w:t>
      </w:r>
      <w:r w:rsidR="002E3139">
        <w:t>.</w:t>
      </w:r>
      <w:r w:rsidR="009E7D39">
        <w:t xml:space="preserve"> Also, we propose using the type embeddings in addition to the segment and position embeddings (</w:t>
      </w:r>
      <w:r w:rsidR="009E7D39" w:rsidRPr="009E7D39">
        <w:rPr>
          <w:b/>
          <w:bCs/>
        </w:rPr>
        <w:t>Figure 4</w:t>
      </w:r>
      <w:r w:rsidR="009E7D39">
        <w:t>)</w:t>
      </w:r>
      <w:r w:rsidR="00143830">
        <w:t xml:space="preserve"> </w:t>
      </w:r>
      <w:r w:rsidR="00143830">
        <w:t>which denote the type of each token. Note there exists two separate type embeddings for the forward and inverse relation.</w:t>
      </w:r>
    </w:p>
    <w:p w14:paraId="55F289E1" w14:textId="331F6130" w:rsidR="00FB765D" w:rsidRPr="008D4182" w:rsidRDefault="005224CD" w:rsidP="00D45D48">
      <w:r w:rsidRPr="00D45D48">
        <w:rPr>
          <w:b/>
          <w:bCs/>
        </w:rPr>
        <w:t>Success metrics</w:t>
      </w:r>
      <w:r w:rsidR="00FE7FB5" w:rsidRPr="00D45D48">
        <w:rPr>
          <w:b/>
          <w:bCs/>
        </w:rPr>
        <w:t>:</w:t>
      </w:r>
      <w:r w:rsidR="004C3DFD">
        <w:t xml:space="preserve"> </w:t>
      </w:r>
      <w:r w:rsidR="001D5ACC">
        <w:t>The training time of original BERT trained on the document-level corpus (</w:t>
      </w:r>
      <w:proofErr w:type="gramStart"/>
      <w:r w:rsidR="001D5ACC" w:rsidRPr="001D5ACC">
        <w:rPr>
          <w:i/>
          <w:iCs/>
        </w:rPr>
        <w:t>e.g.</w:t>
      </w:r>
      <w:proofErr w:type="gramEnd"/>
      <w:r w:rsidR="001D5ACC">
        <w:t xml:space="preserve"> Wikipedia, </w:t>
      </w:r>
      <w:proofErr w:type="spellStart"/>
      <w:r w:rsidR="001D5ACC">
        <w:t>BooksCorpus</w:t>
      </w:r>
      <w:proofErr w:type="spellEnd"/>
      <w:r w:rsidR="001D5ACC">
        <w:t>, etc.) will be compared with that of our KG-based proposed system.</w:t>
      </w:r>
      <w:r w:rsidR="008D4182">
        <w:t xml:space="preserve"> Also, the number of parameters in the model will be compared to BERT</w:t>
      </w:r>
      <w:r w:rsidR="008D4182" w:rsidRPr="008D4182">
        <w:rPr>
          <w:vertAlign w:val="subscript"/>
        </w:rPr>
        <w:t>BASE</w:t>
      </w:r>
      <w:r w:rsidR="008D4182">
        <w:t xml:space="preserve"> and BERT</w:t>
      </w:r>
      <w:r w:rsidR="008D4182" w:rsidRPr="008D4182">
        <w:rPr>
          <w:vertAlign w:val="subscript"/>
        </w:rPr>
        <w:t>LARGE</w:t>
      </w:r>
      <w:r w:rsidR="008D4182">
        <w:t>.</w:t>
      </w:r>
    </w:p>
    <w:p w14:paraId="7A43881C" w14:textId="33D22E52" w:rsidR="00FB2FB7" w:rsidRPr="00D45D48" w:rsidRDefault="005224CD" w:rsidP="00FB2FB7">
      <w:pPr>
        <w:rPr>
          <w:b/>
          <w:bCs/>
          <w:u w:val="single"/>
        </w:rPr>
      </w:pPr>
      <w:r w:rsidRPr="00D45D48">
        <w:rPr>
          <w:b/>
          <w:bCs/>
          <w:u w:val="single"/>
        </w:rPr>
        <w:t>Specific a</w:t>
      </w:r>
      <w:r w:rsidR="00FB2FB7" w:rsidRPr="00D45D48">
        <w:rPr>
          <w:b/>
          <w:bCs/>
          <w:u w:val="single"/>
        </w:rPr>
        <w:t xml:space="preserve">im 2. </w:t>
      </w:r>
      <w:r w:rsidRPr="00D45D48">
        <w:rPr>
          <w:b/>
          <w:bCs/>
          <w:u w:val="single"/>
        </w:rPr>
        <w:t>Fine-tune the KG pre-trained BERT for various downstream KG-re</w:t>
      </w:r>
      <w:r w:rsidR="00A26AB9" w:rsidRPr="00D45D48">
        <w:rPr>
          <w:b/>
          <w:bCs/>
          <w:u w:val="single"/>
        </w:rPr>
        <w:t>la</w:t>
      </w:r>
      <w:r w:rsidRPr="00D45D48">
        <w:rPr>
          <w:b/>
          <w:bCs/>
          <w:u w:val="single"/>
        </w:rPr>
        <w:t>ted tasks.</w:t>
      </w:r>
    </w:p>
    <w:p w14:paraId="18CBD654" w14:textId="2D30CA50" w:rsidR="005E4C76" w:rsidRPr="00100AC2" w:rsidRDefault="005E4C76" w:rsidP="0023076C">
      <w:r w:rsidRPr="004C3DFD">
        <w:rPr>
          <w:b/>
          <w:bCs/>
        </w:rPr>
        <w:t>Approach:</w:t>
      </w:r>
      <w:r w:rsidR="00100AC2">
        <w:t xml:space="preserve"> </w:t>
      </w:r>
      <w:r w:rsidR="0093433A">
        <w:t xml:space="preserve">Using the </w:t>
      </w:r>
      <w:r w:rsidR="0023076C">
        <w:t xml:space="preserve">KG pre-trained </w:t>
      </w:r>
      <w:r w:rsidR="0093433A">
        <w:t xml:space="preserve">BERT </w:t>
      </w:r>
      <w:r w:rsidR="0023076C">
        <w:t xml:space="preserve">from the previous step, fine-tune the proposed system </w:t>
      </w:r>
      <w:r w:rsidR="00100AC2">
        <w:t>for triple classification, link prediction, and relation prediction tasks</w:t>
      </w:r>
      <w:r w:rsidR="00A04D52">
        <w:t xml:space="preserve"> (</w:t>
      </w:r>
      <w:r w:rsidR="00A04D52" w:rsidRPr="00F73240">
        <w:rPr>
          <w:b/>
          <w:bCs/>
        </w:rPr>
        <w:t xml:space="preserve">Figure </w:t>
      </w:r>
      <w:r w:rsidR="00F73240" w:rsidRPr="00F73240">
        <w:rPr>
          <w:b/>
          <w:bCs/>
        </w:rPr>
        <w:t>3</w:t>
      </w:r>
      <w:r w:rsidR="00F73240">
        <w:t xml:space="preserve"> shows the link prediction as an example</w:t>
      </w:r>
      <w:r w:rsidR="00A04D52">
        <w:t>).</w:t>
      </w:r>
      <w:r w:rsidR="003506CC">
        <w:t xml:space="preserve"> </w:t>
      </w:r>
      <w:r w:rsidR="000753CD">
        <w:t>For fine-tuning, w</w:t>
      </w:r>
      <w:r w:rsidR="000753CD">
        <w:t>e use the paths</w:t>
      </w:r>
      <w:r w:rsidR="008E2432">
        <w:t xml:space="preserve"> identified by PRA</w:t>
      </w:r>
      <w:r w:rsidR="000753CD">
        <w:t xml:space="preserve"> that connect the target entities for reasoning the question triple. This is similar to the question-answering task in the original BERT implementation.</w:t>
      </w:r>
    </w:p>
    <w:p w14:paraId="5EEA0524" w14:textId="13F44F1A" w:rsidR="005E4C76" w:rsidRPr="00B14D76" w:rsidRDefault="005E4C76" w:rsidP="004C3DFD">
      <w:r w:rsidRPr="004C3DFD">
        <w:rPr>
          <w:b/>
          <w:bCs/>
        </w:rPr>
        <w:t>Success metrics:</w:t>
      </w:r>
      <w:r w:rsidR="00B14D76">
        <w:t xml:space="preserve"> </w:t>
      </w:r>
      <w:r w:rsidR="00B14D76" w:rsidRPr="00B14D76">
        <w:t xml:space="preserve">Models will be trained </w:t>
      </w:r>
      <w:r w:rsidR="00B14D76">
        <w:t xml:space="preserve">and tested on common benchmark datasets for </w:t>
      </w:r>
      <w:r w:rsidR="00CA704A">
        <w:t xml:space="preserve">a </w:t>
      </w:r>
      <w:r w:rsidR="00B14D76">
        <w:t>fair comparison with other state-of-the-art models</w:t>
      </w:r>
      <w:r w:rsidR="00B14D76" w:rsidRPr="00B14D76">
        <w:t xml:space="preserve">. </w:t>
      </w:r>
      <w:r w:rsidR="00B14D76">
        <w:t>Triple classification will use the datasets WN11 and FB13 with accuracy used for reporting the results. Link prediction will use the datasets WN18RR, FB15k-237, and UMLS with Mean Rank (MR) and Hits@10 used for reporting the results. Finally, relation prediction will use the dataset FB15k with MR and Hits@1 used for reporting the results.</w:t>
      </w:r>
    </w:p>
    <w:p w14:paraId="1BA655E0" w14:textId="404DC4AD" w:rsidR="0097216D" w:rsidRPr="003506CC" w:rsidRDefault="00B14D76" w:rsidP="000902B3">
      <w:pPr>
        <w:rPr>
          <w:b/>
          <w:bCs/>
          <w:u w:val="single"/>
        </w:rPr>
      </w:pPr>
      <w:r w:rsidRPr="003506CC">
        <w:rPr>
          <w:b/>
          <w:bCs/>
          <w:u w:val="single"/>
        </w:rPr>
        <w:t xml:space="preserve">Specific aim 3. </w:t>
      </w:r>
      <w:r w:rsidR="003506CC" w:rsidRPr="003506CC">
        <w:rPr>
          <w:b/>
          <w:bCs/>
          <w:u w:val="single"/>
        </w:rPr>
        <w:t>Application to the KIDS and AIFS project.</w:t>
      </w:r>
    </w:p>
    <w:p w14:paraId="0685B0A6" w14:textId="2F8B46BB" w:rsidR="0067598E" w:rsidRDefault="003506CC" w:rsidP="0067598E">
      <w:r w:rsidRPr="0067598E">
        <w:rPr>
          <w:b/>
          <w:bCs/>
        </w:rPr>
        <w:t>Approach:</w:t>
      </w:r>
      <w:r w:rsidR="0067598E">
        <w:t xml:space="preserve"> We will apply the proposed system to the KIDS and AIFS project and compare </w:t>
      </w:r>
      <w:r w:rsidR="00535759">
        <w:t xml:space="preserve">it </w:t>
      </w:r>
      <w:r w:rsidR="0067598E">
        <w:t xml:space="preserve">with other methods. For the KIDS, the proposed system will act as a hypothesis generator for generating higher hit-rate hypotheses. For the AIFS project, the proposed system will be used as a </w:t>
      </w:r>
      <w:r w:rsidR="0067598E" w:rsidRPr="00BD0A52">
        <w:t>predictor of health effects from food chemical composition</w:t>
      </w:r>
      <w:r w:rsidR="0067598E">
        <w:t>.</w:t>
      </w:r>
    </w:p>
    <w:p w14:paraId="5AFCB3C6" w14:textId="31B03BE7" w:rsidR="003506CC" w:rsidRPr="000902B3" w:rsidRDefault="0067598E" w:rsidP="000902B3">
      <w:r w:rsidRPr="0067598E">
        <w:rPr>
          <w:b/>
          <w:bCs/>
        </w:rPr>
        <w:t>Success metrics:</w:t>
      </w:r>
      <w:r>
        <w:t xml:space="preserve"> Existing metrics from each project will be used to analyze the performance benefit of the proposed system.</w:t>
      </w:r>
    </w:p>
    <w:p w14:paraId="7B443892" w14:textId="524B3CF0" w:rsidR="003F7A4E" w:rsidRDefault="003F7A4E" w:rsidP="002036E0">
      <w:pPr>
        <w:pStyle w:val="Heading1"/>
      </w:pPr>
      <w:r w:rsidRPr="003F7A4E">
        <w:t>Deliverables</w:t>
      </w:r>
    </w:p>
    <w:p w14:paraId="58FDA644" w14:textId="0ECE39E9" w:rsidR="009A72C4" w:rsidRDefault="00FB2FB7" w:rsidP="00FB2FB7">
      <w:pPr>
        <w:sectPr w:rsidR="009A72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The deliverables will be a software package written with Python, </w:t>
      </w:r>
      <w:r w:rsidRPr="00FB2FB7">
        <w:t>Tensor2Tensor</w:t>
      </w:r>
      <w:r>
        <w:t xml:space="preserve"> library</w:t>
      </w:r>
      <w:r w:rsidR="00BF02D5">
        <w:fldChar w:fldCharType="begin" w:fldLock="1"/>
      </w:r>
      <w:r w:rsidR="002F460A">
        <w:instrText>ADDIN CSL_CITATION {"citationItems":[{"id":"ITEM-1","itemData":{"author":[{"dropping-particle":"","family":"Vaswani","given":"Ashish","non-dropping-particle":"","parse-names":false,"suffix":""},{"dropping-particle":"","family":"Bengio","given":"Samy","non-dropping-particle":"","parse-names":false,"suffix":""},{"dropping-particle":"","family":"Brevdo","given":"Eugene","non-dropping-particle":"","parse-names":false,"suffix":""},{"dropping-particle":"","family":"Chollet","given":"Francois","non-dropping-particle":"","parse-names":false,"suffix":""},{"dropping-particle":"","family":"Gomez","given":"Aidan N","non-dropping-particle":"","parse-names":false,"suffix":""},{"dropping-particle":"","family":"Gouws","given":"Stephan","non-dropping-particle":"","parse-names":false,"suffix":""},{"dropping-particle":"","family":"Jones","given":"Llion","non-dropping-particle":"","parse-names":false,"suffix":""},{"dropping-particle":"","family":"Kaiser","given":"Łukasz","non-dropping-particle":"","parse-names":false,"suffix":""},{"dropping-particle":"","family":"Kalchbrenner","given":"Nal","non-dropping-particle":"","parse-names":false,"suffix":""},{"dropping-particle":"","family":"Parmar","given":"Niki","non-dropping-particle":"","parse-names":false,"suffix":""},{"dropping-particle":"","family":"others","given":"","non-dropping-particle":"","parse-names":false,"suffix":""}],"container-title":"arXiv preprint arXiv:1803.07416","id":"ITEM-1","issued":{"date-parts":[["2018"]]},"title":"Tensor2tensor for neural machine translation","type":"article-journal"},"uris":["http://www.mendeley.com/documents/?uuid=f7ffd2f1-3dab-4dee-bbb4-d93bf24f147f"]}],"mendeley":{"formattedCitation":"&lt;sup&gt;15&lt;/sup&gt;","plainTextFormattedCitation":"15","previouslyFormattedCitation":"&lt;sup&gt;18&lt;/sup&gt;"},"properties":{"noteIndex":0},"schema":"https://github.com/citation-style-language/schema/raw/master/csl-citation.json"}</w:instrText>
      </w:r>
      <w:r w:rsidR="00BF02D5">
        <w:fldChar w:fldCharType="separate"/>
      </w:r>
      <w:r w:rsidR="002F460A" w:rsidRPr="002F460A">
        <w:rPr>
          <w:noProof/>
          <w:vertAlign w:val="superscript"/>
        </w:rPr>
        <w:t>15</w:t>
      </w:r>
      <w:r w:rsidR="00BF02D5">
        <w:fldChar w:fldCharType="end"/>
      </w:r>
      <w:r>
        <w:t xml:space="preserve">, </w:t>
      </w:r>
      <w:proofErr w:type="spellStart"/>
      <w:r>
        <w:t>PyTorch</w:t>
      </w:r>
      <w:proofErr w:type="spellEnd"/>
      <w:r>
        <w:t xml:space="preserve"> (or TensorFlow). All source code will be deposited in </w:t>
      </w:r>
      <w:proofErr w:type="spellStart"/>
      <w:r>
        <w:t>Github</w:t>
      </w:r>
      <w:proofErr w:type="spellEnd"/>
      <w:r>
        <w:t xml:space="preserve"> with proper documentation</w:t>
      </w:r>
      <w:r w:rsidR="00A45164">
        <w:t xml:space="preserve"> </w:t>
      </w:r>
      <w:r w:rsidR="00A45164">
        <w:lastRenderedPageBreak/>
        <w:t>for public access</w:t>
      </w:r>
      <w:r>
        <w:t>.</w:t>
      </w:r>
      <w:r w:rsidR="00A45164">
        <w:t xml:space="preserve"> Optionally, an interactive website or docker will be provided for the interested user to play with their own data.</w:t>
      </w:r>
    </w:p>
    <w:p w14:paraId="028400E3" w14:textId="07AC3F48" w:rsidR="009A72C4" w:rsidRDefault="009A72C4" w:rsidP="00FB2FB7">
      <w:pPr>
        <w:pStyle w:val="Heading1"/>
      </w:pPr>
      <w:r>
        <w:lastRenderedPageBreak/>
        <w:t>Timeline</w:t>
      </w:r>
    </w:p>
    <w:tbl>
      <w:tblPr>
        <w:tblStyle w:val="TableGrid"/>
        <w:tblW w:w="12865" w:type="dxa"/>
        <w:jc w:val="center"/>
        <w:tblLook w:val="04A0" w:firstRow="1" w:lastRow="0" w:firstColumn="1" w:lastColumn="0" w:noHBand="0" w:noVBand="1"/>
      </w:tblPr>
      <w:tblGrid>
        <w:gridCol w:w="895"/>
        <w:gridCol w:w="315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2E6491" w14:paraId="7AC6F425" w14:textId="77777777" w:rsidTr="00654AF0">
        <w:trPr>
          <w:jc w:val="center"/>
        </w:trPr>
        <w:tc>
          <w:tcPr>
            <w:tcW w:w="895" w:type="dxa"/>
            <w:vAlign w:val="center"/>
          </w:tcPr>
          <w:p w14:paraId="22333CA1" w14:textId="77777777" w:rsidR="002E6491" w:rsidRPr="004A390D" w:rsidRDefault="002E6491" w:rsidP="002E6491">
            <w:pPr>
              <w:jc w:val="center"/>
              <w:rPr>
                <w:b/>
                <w:bCs/>
              </w:rPr>
            </w:pPr>
          </w:p>
        </w:tc>
        <w:tc>
          <w:tcPr>
            <w:tcW w:w="3150" w:type="dxa"/>
            <w:vAlign w:val="center"/>
          </w:tcPr>
          <w:p w14:paraId="22A9BCF7" w14:textId="77777777" w:rsidR="002E6491" w:rsidRDefault="002E6491" w:rsidP="002E6491">
            <w:pPr>
              <w:jc w:val="center"/>
            </w:pPr>
          </w:p>
        </w:tc>
        <w:tc>
          <w:tcPr>
            <w:tcW w:w="882" w:type="dxa"/>
            <w:gridSpan w:val="2"/>
            <w:shd w:val="clear" w:color="auto" w:fill="auto"/>
            <w:vAlign w:val="center"/>
          </w:tcPr>
          <w:p w14:paraId="28D7947F" w14:textId="69BA0D46" w:rsidR="002E6491" w:rsidRDefault="002E6491" w:rsidP="002E6491">
            <w:pPr>
              <w:jc w:val="center"/>
            </w:pPr>
            <w:r>
              <w:t>Apr</w:t>
            </w:r>
          </w:p>
        </w:tc>
        <w:tc>
          <w:tcPr>
            <w:tcW w:w="1764" w:type="dxa"/>
            <w:gridSpan w:val="4"/>
            <w:shd w:val="clear" w:color="auto" w:fill="auto"/>
            <w:vAlign w:val="center"/>
          </w:tcPr>
          <w:p w14:paraId="601392E2" w14:textId="461DDB47" w:rsidR="002E6491" w:rsidRDefault="002E6491" w:rsidP="002E6491">
            <w:pPr>
              <w:jc w:val="center"/>
            </w:pPr>
            <w:r>
              <w:t>May</w:t>
            </w:r>
          </w:p>
        </w:tc>
        <w:tc>
          <w:tcPr>
            <w:tcW w:w="1764" w:type="dxa"/>
            <w:gridSpan w:val="4"/>
            <w:vAlign w:val="center"/>
          </w:tcPr>
          <w:p w14:paraId="76216F55" w14:textId="0DD4B38A" w:rsidR="002E6491" w:rsidRDefault="002E6491" w:rsidP="002E6491">
            <w:pPr>
              <w:jc w:val="center"/>
            </w:pPr>
            <w:r>
              <w:t>June</w:t>
            </w:r>
          </w:p>
        </w:tc>
        <w:tc>
          <w:tcPr>
            <w:tcW w:w="1764" w:type="dxa"/>
            <w:gridSpan w:val="4"/>
            <w:vAlign w:val="center"/>
          </w:tcPr>
          <w:p w14:paraId="26062093" w14:textId="1B1D7883" w:rsidR="002E6491" w:rsidRDefault="002E6491" w:rsidP="002E6491">
            <w:pPr>
              <w:jc w:val="center"/>
            </w:pPr>
            <w:r>
              <w:t>July</w:t>
            </w:r>
          </w:p>
        </w:tc>
        <w:tc>
          <w:tcPr>
            <w:tcW w:w="1764" w:type="dxa"/>
            <w:gridSpan w:val="4"/>
            <w:vAlign w:val="center"/>
          </w:tcPr>
          <w:p w14:paraId="14D758AC" w14:textId="209C6C3E" w:rsidR="002E6491" w:rsidRDefault="002E6491" w:rsidP="002E6491">
            <w:pPr>
              <w:jc w:val="center"/>
            </w:pPr>
            <w:r>
              <w:t>August</w:t>
            </w:r>
          </w:p>
        </w:tc>
        <w:tc>
          <w:tcPr>
            <w:tcW w:w="882" w:type="dxa"/>
            <w:gridSpan w:val="2"/>
            <w:vAlign w:val="center"/>
          </w:tcPr>
          <w:p w14:paraId="2F44BB01" w14:textId="5467DBAE" w:rsidR="002E6491" w:rsidRDefault="002E6491" w:rsidP="002E6491">
            <w:pPr>
              <w:jc w:val="center"/>
            </w:pPr>
            <w:r>
              <w:t>Sep</w:t>
            </w:r>
          </w:p>
        </w:tc>
      </w:tr>
      <w:tr w:rsidR="002E6491" w14:paraId="67C6A774" w14:textId="7C1F066A" w:rsidTr="002E6491">
        <w:trPr>
          <w:jc w:val="center"/>
        </w:trPr>
        <w:tc>
          <w:tcPr>
            <w:tcW w:w="895" w:type="dxa"/>
            <w:vMerge w:val="restart"/>
            <w:vAlign w:val="center"/>
          </w:tcPr>
          <w:p w14:paraId="41179E3F" w14:textId="6E33D7BC" w:rsidR="002E6491" w:rsidRPr="004A390D" w:rsidRDefault="002E6491" w:rsidP="002E6491">
            <w:pPr>
              <w:jc w:val="center"/>
              <w:rPr>
                <w:b/>
                <w:bCs/>
              </w:rPr>
            </w:pPr>
            <w:r w:rsidRPr="004A390D">
              <w:rPr>
                <w:b/>
                <w:bCs/>
              </w:rPr>
              <w:t>Aim 1.</w:t>
            </w:r>
          </w:p>
        </w:tc>
        <w:tc>
          <w:tcPr>
            <w:tcW w:w="3150" w:type="dxa"/>
            <w:vAlign w:val="center"/>
          </w:tcPr>
          <w:p w14:paraId="7DA4C28E" w14:textId="11BADBA7" w:rsidR="002E6491" w:rsidRDefault="002E6491" w:rsidP="002E6491">
            <w:pPr>
              <w:jc w:val="center"/>
            </w:pPr>
            <w:r>
              <w:t>Code study &amp; brainstorming</w:t>
            </w: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630B186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2C84A38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DDD302E" w14:textId="2D633A82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4C8AA43" w14:textId="3E959074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4553C61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39E31BC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58AD565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0CD6388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11433C4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5B6B5FB4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4143714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535D986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48AD22B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351A1BF4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45AF261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6B5476D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5892FCD4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265BFB8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4884427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4D4610B6" w14:textId="77777777" w:rsidR="002E6491" w:rsidRDefault="002E6491" w:rsidP="002E6491">
            <w:pPr>
              <w:jc w:val="center"/>
            </w:pPr>
          </w:p>
        </w:tc>
      </w:tr>
      <w:tr w:rsidR="002E6491" w14:paraId="013D85D2" w14:textId="13FBE7DE" w:rsidTr="002E6491">
        <w:trPr>
          <w:jc w:val="center"/>
        </w:trPr>
        <w:tc>
          <w:tcPr>
            <w:tcW w:w="895" w:type="dxa"/>
            <w:vMerge/>
            <w:vAlign w:val="center"/>
          </w:tcPr>
          <w:p w14:paraId="2BEABE36" w14:textId="77777777" w:rsidR="002E6491" w:rsidRDefault="002E6491" w:rsidP="002E6491">
            <w:pPr>
              <w:jc w:val="center"/>
            </w:pPr>
          </w:p>
        </w:tc>
        <w:tc>
          <w:tcPr>
            <w:tcW w:w="3150" w:type="dxa"/>
            <w:vAlign w:val="center"/>
          </w:tcPr>
          <w:p w14:paraId="4B12EF25" w14:textId="12122024" w:rsidR="002E6491" w:rsidRDefault="002E6491" w:rsidP="002E6491">
            <w:pPr>
              <w:jc w:val="center"/>
            </w:pPr>
            <w:r>
              <w:t>Development</w:t>
            </w:r>
          </w:p>
        </w:tc>
        <w:tc>
          <w:tcPr>
            <w:tcW w:w="441" w:type="dxa"/>
            <w:vAlign w:val="center"/>
          </w:tcPr>
          <w:p w14:paraId="6F93399F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2C0EC651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12FE3DCD" w14:textId="68D41AA3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306D4EC3" w14:textId="3AF33978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29A3C59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ADEFD5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7AA4FF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BC9C01E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5DC2A8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571DAF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B1A8A5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3A9F5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7FFEE7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06B98CF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AD1E75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1A39EB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F44CE78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157E1EC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ED380B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1FAE9A5" w14:textId="77777777" w:rsidR="002E6491" w:rsidRDefault="002E6491" w:rsidP="002E6491">
            <w:pPr>
              <w:jc w:val="center"/>
            </w:pPr>
          </w:p>
        </w:tc>
      </w:tr>
      <w:tr w:rsidR="002E6491" w14:paraId="34F8869A" w14:textId="51E2290B" w:rsidTr="002E6491">
        <w:trPr>
          <w:jc w:val="center"/>
        </w:trPr>
        <w:tc>
          <w:tcPr>
            <w:tcW w:w="895" w:type="dxa"/>
            <w:vMerge/>
            <w:vAlign w:val="center"/>
          </w:tcPr>
          <w:p w14:paraId="195FD1D1" w14:textId="77777777" w:rsidR="002E6491" w:rsidRDefault="002E6491" w:rsidP="002E6491">
            <w:pPr>
              <w:jc w:val="center"/>
            </w:pPr>
          </w:p>
        </w:tc>
        <w:tc>
          <w:tcPr>
            <w:tcW w:w="3150" w:type="dxa"/>
            <w:vAlign w:val="center"/>
          </w:tcPr>
          <w:p w14:paraId="30437F9D" w14:textId="050BBE5D" w:rsidR="002E6491" w:rsidRDefault="002E6491" w:rsidP="002E6491">
            <w:pPr>
              <w:jc w:val="center"/>
            </w:pPr>
            <w:r>
              <w:t>Evaluation</w:t>
            </w:r>
          </w:p>
        </w:tc>
        <w:tc>
          <w:tcPr>
            <w:tcW w:w="441" w:type="dxa"/>
            <w:vAlign w:val="center"/>
          </w:tcPr>
          <w:p w14:paraId="40AB47D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6224658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F36F8CA" w14:textId="4DDAE8DE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88377F7" w14:textId="179D403C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9BB787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2809223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01720EE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FB301AD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153F51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CEE048D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231762F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E8F9E5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6BA9BC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FF794F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81A6F8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935061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834D91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3C207FF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DC7BCC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C4D7D7C" w14:textId="77777777" w:rsidR="002E6491" w:rsidRDefault="002E6491" w:rsidP="002E6491">
            <w:pPr>
              <w:jc w:val="center"/>
            </w:pPr>
          </w:p>
        </w:tc>
      </w:tr>
      <w:tr w:rsidR="002E6491" w14:paraId="64B6DB45" w14:textId="73D3ECDD" w:rsidTr="002E6491">
        <w:trPr>
          <w:jc w:val="center"/>
        </w:trPr>
        <w:tc>
          <w:tcPr>
            <w:tcW w:w="895" w:type="dxa"/>
            <w:vMerge/>
            <w:vAlign w:val="center"/>
          </w:tcPr>
          <w:p w14:paraId="1C7F9E29" w14:textId="77777777" w:rsidR="002E6491" w:rsidRDefault="002E6491" w:rsidP="002E6491">
            <w:pPr>
              <w:jc w:val="center"/>
            </w:pPr>
          </w:p>
        </w:tc>
        <w:tc>
          <w:tcPr>
            <w:tcW w:w="3150" w:type="dxa"/>
            <w:vAlign w:val="center"/>
          </w:tcPr>
          <w:p w14:paraId="3D508408" w14:textId="283CB483" w:rsidR="002E6491" w:rsidRDefault="002E6491" w:rsidP="002E6491">
            <w:pPr>
              <w:jc w:val="center"/>
            </w:pPr>
            <w:r>
              <w:t>Documentation</w:t>
            </w:r>
          </w:p>
        </w:tc>
        <w:tc>
          <w:tcPr>
            <w:tcW w:w="441" w:type="dxa"/>
            <w:vAlign w:val="center"/>
          </w:tcPr>
          <w:p w14:paraId="45A419F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12C2ED71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665B9FF" w14:textId="29573CC4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4E608B0" w14:textId="5D6AB33C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618B12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C5145E4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4F3070E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2A628C0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1A2268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4AD084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D23293D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8F1F1C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4D48F31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986445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EF8628C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9E95D64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396754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8EEB8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8DEDF1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32CD01" w14:textId="77777777" w:rsidR="002E6491" w:rsidRDefault="002E6491" w:rsidP="002E6491">
            <w:pPr>
              <w:jc w:val="center"/>
            </w:pPr>
          </w:p>
        </w:tc>
      </w:tr>
      <w:tr w:rsidR="002E6491" w14:paraId="2738A4B2" w14:textId="4BEF566F" w:rsidTr="002E6491">
        <w:trPr>
          <w:jc w:val="center"/>
        </w:trPr>
        <w:tc>
          <w:tcPr>
            <w:tcW w:w="895" w:type="dxa"/>
            <w:vMerge w:val="restart"/>
            <w:vAlign w:val="center"/>
          </w:tcPr>
          <w:p w14:paraId="3846C3E4" w14:textId="0E228B07" w:rsidR="002E6491" w:rsidRPr="004A390D" w:rsidRDefault="002E6491" w:rsidP="002E6491">
            <w:pPr>
              <w:jc w:val="center"/>
              <w:rPr>
                <w:b/>
                <w:bCs/>
              </w:rPr>
            </w:pPr>
            <w:r w:rsidRPr="004A390D">
              <w:rPr>
                <w:b/>
                <w:bCs/>
              </w:rPr>
              <w:t>Aim 2.</w:t>
            </w:r>
          </w:p>
        </w:tc>
        <w:tc>
          <w:tcPr>
            <w:tcW w:w="3150" w:type="dxa"/>
            <w:vAlign w:val="center"/>
          </w:tcPr>
          <w:p w14:paraId="671CFED2" w14:textId="7040B379" w:rsidR="002E6491" w:rsidRDefault="002E6491" w:rsidP="002E6491">
            <w:pPr>
              <w:jc w:val="center"/>
            </w:pPr>
            <w:r>
              <w:t>Development</w:t>
            </w:r>
          </w:p>
        </w:tc>
        <w:tc>
          <w:tcPr>
            <w:tcW w:w="441" w:type="dxa"/>
            <w:vAlign w:val="center"/>
          </w:tcPr>
          <w:p w14:paraId="5DA864B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553D55F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7E6D449" w14:textId="5B1BD16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E68A7B6" w14:textId="77EFF551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DA8747E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289ABFD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97D4D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9CC097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339465F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5F1863A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45B332D1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06B1442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9909044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9FB637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C2368C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5777C0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9F628D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3AEED8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D263C1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D3CD92" w14:textId="77777777" w:rsidR="002E6491" w:rsidRDefault="002E6491" w:rsidP="002E6491">
            <w:pPr>
              <w:jc w:val="center"/>
            </w:pPr>
          </w:p>
        </w:tc>
      </w:tr>
      <w:tr w:rsidR="002E6491" w14:paraId="6F7FD0CF" w14:textId="53822D6F" w:rsidTr="002E6491">
        <w:trPr>
          <w:jc w:val="center"/>
        </w:trPr>
        <w:tc>
          <w:tcPr>
            <w:tcW w:w="895" w:type="dxa"/>
            <w:vMerge/>
            <w:vAlign w:val="center"/>
          </w:tcPr>
          <w:p w14:paraId="5D342501" w14:textId="77777777" w:rsidR="002E6491" w:rsidRDefault="002E6491" w:rsidP="002E6491">
            <w:pPr>
              <w:jc w:val="center"/>
            </w:pPr>
          </w:p>
        </w:tc>
        <w:tc>
          <w:tcPr>
            <w:tcW w:w="3150" w:type="dxa"/>
            <w:vAlign w:val="center"/>
          </w:tcPr>
          <w:p w14:paraId="2E28FB70" w14:textId="48ED43C1" w:rsidR="002E6491" w:rsidRDefault="002E6491" w:rsidP="002E6491">
            <w:pPr>
              <w:jc w:val="center"/>
            </w:pPr>
            <w:r>
              <w:t>Evaluation</w:t>
            </w:r>
          </w:p>
        </w:tc>
        <w:tc>
          <w:tcPr>
            <w:tcW w:w="441" w:type="dxa"/>
            <w:vAlign w:val="center"/>
          </w:tcPr>
          <w:p w14:paraId="7F229BE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6F89D871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8D4D4AE" w14:textId="2D173CF2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42CB88" w14:textId="04625DB1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C581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AB7C1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C348B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FC9FC6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2E41C5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41FD5D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45ADD8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CF1C17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0197ACE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32D0D60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0AEFE7F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65FF1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C7CDD48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A594CE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FF4F29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415DB88" w14:textId="77777777" w:rsidR="002E6491" w:rsidRDefault="002E6491" w:rsidP="002E6491">
            <w:pPr>
              <w:jc w:val="center"/>
            </w:pPr>
          </w:p>
        </w:tc>
      </w:tr>
      <w:tr w:rsidR="002E6491" w14:paraId="77957DE1" w14:textId="1593D2F1" w:rsidTr="002E6491">
        <w:trPr>
          <w:jc w:val="center"/>
        </w:trPr>
        <w:tc>
          <w:tcPr>
            <w:tcW w:w="895" w:type="dxa"/>
            <w:vMerge/>
            <w:vAlign w:val="center"/>
          </w:tcPr>
          <w:p w14:paraId="2571652B" w14:textId="77777777" w:rsidR="002E6491" w:rsidRDefault="002E6491" w:rsidP="002E6491">
            <w:pPr>
              <w:jc w:val="center"/>
            </w:pPr>
          </w:p>
        </w:tc>
        <w:tc>
          <w:tcPr>
            <w:tcW w:w="3150" w:type="dxa"/>
            <w:vAlign w:val="center"/>
          </w:tcPr>
          <w:p w14:paraId="6B47B290" w14:textId="3D1E758C" w:rsidR="002E6491" w:rsidRDefault="002E6491" w:rsidP="002E6491">
            <w:pPr>
              <w:jc w:val="center"/>
            </w:pPr>
            <w:r>
              <w:t>Documentation</w:t>
            </w:r>
          </w:p>
        </w:tc>
        <w:tc>
          <w:tcPr>
            <w:tcW w:w="441" w:type="dxa"/>
            <w:vAlign w:val="center"/>
          </w:tcPr>
          <w:p w14:paraId="6A0B8A0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652605BD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3FB07B" w14:textId="164160AA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89A2B09" w14:textId="74FF28DF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DF707E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8F5F6CF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F0A6C9F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F5C85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913440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326015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0E01A8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8625388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2B8FE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3B6DCC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03F01AD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D420A43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5BD7DD8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A178A2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F3214E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310158E" w14:textId="77777777" w:rsidR="002E6491" w:rsidRDefault="002E6491" w:rsidP="002E6491">
            <w:pPr>
              <w:jc w:val="center"/>
            </w:pPr>
          </w:p>
        </w:tc>
      </w:tr>
      <w:tr w:rsidR="002E6491" w14:paraId="65377618" w14:textId="77777777" w:rsidTr="002E6491">
        <w:trPr>
          <w:jc w:val="center"/>
        </w:trPr>
        <w:tc>
          <w:tcPr>
            <w:tcW w:w="895" w:type="dxa"/>
            <w:vAlign w:val="center"/>
          </w:tcPr>
          <w:p w14:paraId="6B46024E" w14:textId="77777777" w:rsidR="002E6491" w:rsidRDefault="002E6491" w:rsidP="002E6491">
            <w:pPr>
              <w:jc w:val="center"/>
            </w:pPr>
          </w:p>
        </w:tc>
        <w:tc>
          <w:tcPr>
            <w:tcW w:w="3150" w:type="dxa"/>
            <w:vAlign w:val="center"/>
          </w:tcPr>
          <w:p w14:paraId="77D36298" w14:textId="7BC4F02C" w:rsidR="002E6491" w:rsidRDefault="002E6491" w:rsidP="002E6491">
            <w:pPr>
              <w:jc w:val="center"/>
            </w:pPr>
            <w:r>
              <w:t>Manuscript</w:t>
            </w:r>
          </w:p>
        </w:tc>
        <w:tc>
          <w:tcPr>
            <w:tcW w:w="441" w:type="dxa"/>
            <w:vAlign w:val="center"/>
          </w:tcPr>
          <w:p w14:paraId="037A5B2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0806C8D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753E7B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8ED9B9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E75F11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DAE593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A181B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2FA81E1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F556F41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99D44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7715C18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2E6D65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CB8B3D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4D85E2D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5BA1D61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6A9EFFD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70CA43AE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1A93633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35242AC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D48678" w14:textId="77777777" w:rsidR="002E6491" w:rsidRDefault="002E6491" w:rsidP="002E6491">
            <w:pPr>
              <w:jc w:val="center"/>
            </w:pPr>
          </w:p>
        </w:tc>
      </w:tr>
      <w:tr w:rsidR="002E6491" w14:paraId="06706921" w14:textId="7B17D6A7" w:rsidTr="002E6491">
        <w:trPr>
          <w:jc w:val="center"/>
        </w:trPr>
        <w:tc>
          <w:tcPr>
            <w:tcW w:w="895" w:type="dxa"/>
            <w:vMerge w:val="restart"/>
            <w:vAlign w:val="center"/>
          </w:tcPr>
          <w:p w14:paraId="64872EBF" w14:textId="4638CC22" w:rsidR="002E6491" w:rsidRPr="004A390D" w:rsidRDefault="002E6491" w:rsidP="002E6491">
            <w:pPr>
              <w:jc w:val="center"/>
              <w:rPr>
                <w:b/>
                <w:bCs/>
              </w:rPr>
            </w:pPr>
            <w:r w:rsidRPr="004A390D">
              <w:rPr>
                <w:b/>
                <w:bCs/>
              </w:rPr>
              <w:t>Aim 3.</w:t>
            </w:r>
          </w:p>
        </w:tc>
        <w:tc>
          <w:tcPr>
            <w:tcW w:w="3150" w:type="dxa"/>
            <w:vAlign w:val="center"/>
          </w:tcPr>
          <w:p w14:paraId="31194D6C" w14:textId="4E134640" w:rsidR="002E6491" w:rsidRDefault="002E6491" w:rsidP="002E6491">
            <w:pPr>
              <w:jc w:val="center"/>
            </w:pPr>
            <w:r>
              <w:t>Development</w:t>
            </w:r>
          </w:p>
        </w:tc>
        <w:tc>
          <w:tcPr>
            <w:tcW w:w="441" w:type="dxa"/>
            <w:vAlign w:val="center"/>
          </w:tcPr>
          <w:p w14:paraId="563089E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50BCDFE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2BC01A0" w14:textId="7EB71566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197255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E80B97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B573CD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CC578DE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EBAAD0C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8D7B61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C2FFC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3DBFA7E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925954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DBC484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70ED6FD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F5A9C5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2CE6A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8B2BEB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3F5AF3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3551144C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5C92BE5A" w14:textId="77777777" w:rsidR="002E6491" w:rsidRDefault="002E6491" w:rsidP="002E6491">
            <w:pPr>
              <w:jc w:val="center"/>
            </w:pPr>
          </w:p>
        </w:tc>
      </w:tr>
      <w:tr w:rsidR="002E6491" w14:paraId="1E500FD6" w14:textId="049D5BF0" w:rsidTr="002E6491">
        <w:trPr>
          <w:jc w:val="center"/>
        </w:trPr>
        <w:tc>
          <w:tcPr>
            <w:tcW w:w="895" w:type="dxa"/>
            <w:vMerge/>
            <w:vAlign w:val="center"/>
          </w:tcPr>
          <w:p w14:paraId="32E2C74D" w14:textId="77777777" w:rsidR="002E6491" w:rsidRDefault="002E6491" w:rsidP="002E6491">
            <w:pPr>
              <w:jc w:val="center"/>
            </w:pPr>
          </w:p>
        </w:tc>
        <w:tc>
          <w:tcPr>
            <w:tcW w:w="3150" w:type="dxa"/>
            <w:vAlign w:val="center"/>
          </w:tcPr>
          <w:p w14:paraId="410496D6" w14:textId="2D46BCA9" w:rsidR="002E6491" w:rsidRDefault="002E6491" w:rsidP="002E6491">
            <w:pPr>
              <w:jc w:val="center"/>
            </w:pPr>
            <w:r>
              <w:t>Evaluation</w:t>
            </w:r>
          </w:p>
        </w:tc>
        <w:tc>
          <w:tcPr>
            <w:tcW w:w="441" w:type="dxa"/>
            <w:vAlign w:val="center"/>
          </w:tcPr>
          <w:p w14:paraId="4C871810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vAlign w:val="center"/>
          </w:tcPr>
          <w:p w14:paraId="5266FFA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81B5C9E" w14:textId="78E70991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CBD012C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9E2E4C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06F806F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09EE995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B73C90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3F2F6F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AF94622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8046F7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D356F17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5F3A20B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E9C4DEC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D662CFA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D84F49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AB26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6EDD74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CF75206" w14:textId="77777777" w:rsidR="002E6491" w:rsidRDefault="002E6491" w:rsidP="002E6491">
            <w:pPr>
              <w:jc w:val="center"/>
            </w:pPr>
          </w:p>
        </w:tc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23DCC67A" w14:textId="77777777" w:rsidR="002E6491" w:rsidRDefault="002E6491" w:rsidP="002E6491">
            <w:pPr>
              <w:jc w:val="center"/>
            </w:pPr>
          </w:p>
        </w:tc>
      </w:tr>
    </w:tbl>
    <w:p w14:paraId="7DCC7AD5" w14:textId="77777777" w:rsidR="009A72C4" w:rsidRDefault="009A72C4">
      <w:pPr>
        <w:jc w:val="left"/>
      </w:pPr>
    </w:p>
    <w:p w14:paraId="5BAE92C9" w14:textId="77777777" w:rsidR="009A72C4" w:rsidRDefault="00820A04">
      <w:pPr>
        <w:jc w:val="left"/>
        <w:sectPr w:rsidR="009A72C4" w:rsidSect="009A72C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460AB934" w14:textId="385C6DE3" w:rsidR="003F7A4E" w:rsidRDefault="003F7A4E" w:rsidP="002036E0">
      <w:pPr>
        <w:pStyle w:val="Heading1"/>
      </w:pPr>
      <w:r w:rsidRPr="003F7A4E">
        <w:lastRenderedPageBreak/>
        <w:t>References</w:t>
      </w:r>
    </w:p>
    <w:p w14:paraId="08B9365C" w14:textId="5FF1DEC9" w:rsidR="002F460A" w:rsidRPr="002F460A" w:rsidRDefault="00AB42DF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2F460A" w:rsidRPr="002F460A">
        <w:rPr>
          <w:rFonts w:ascii="Calibri" w:hAnsi="Calibri" w:cs="Calibri"/>
          <w:noProof/>
        </w:rPr>
        <w:t>1.</w:t>
      </w:r>
      <w:r w:rsidR="002F460A" w:rsidRPr="002F460A">
        <w:rPr>
          <w:rFonts w:ascii="Calibri" w:hAnsi="Calibri" w:cs="Calibri"/>
          <w:noProof/>
        </w:rPr>
        <w:tab/>
        <w:t xml:space="preserve">Bollacker, K., Evans, C., Paritosh, P., Sturge, T. &amp; Taylor, J. Freebase: a collaboratively created graph database for structuring human knowledge. in </w:t>
      </w:r>
      <w:r w:rsidR="002F460A" w:rsidRPr="002F460A">
        <w:rPr>
          <w:rFonts w:ascii="Calibri" w:hAnsi="Calibri" w:cs="Calibri"/>
          <w:i/>
          <w:iCs/>
          <w:noProof/>
        </w:rPr>
        <w:t>Proceedings of the 2008 ACM SIGMOD international conference on Management of data</w:t>
      </w:r>
      <w:r w:rsidR="002F460A" w:rsidRPr="002F460A">
        <w:rPr>
          <w:rFonts w:ascii="Calibri" w:hAnsi="Calibri" w:cs="Calibri"/>
          <w:noProof/>
        </w:rPr>
        <w:t xml:space="preserve"> 1247–1250 (2008).</w:t>
      </w:r>
    </w:p>
    <w:p w14:paraId="44672E15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2.</w:t>
      </w:r>
      <w:r w:rsidRPr="002F460A">
        <w:rPr>
          <w:rFonts w:ascii="Calibri" w:hAnsi="Calibri" w:cs="Calibri"/>
          <w:noProof/>
        </w:rPr>
        <w:tab/>
        <w:t xml:space="preserve">Suchanek, F. M., Kasneci, G. &amp; Weikum, G. Yago: a core of semantic knowledge. in </w:t>
      </w:r>
      <w:r w:rsidRPr="002F460A">
        <w:rPr>
          <w:rFonts w:ascii="Calibri" w:hAnsi="Calibri" w:cs="Calibri"/>
          <w:i/>
          <w:iCs/>
          <w:noProof/>
        </w:rPr>
        <w:t>Proceedings of the 16th international conference on World Wide Web</w:t>
      </w:r>
      <w:r w:rsidRPr="002F460A">
        <w:rPr>
          <w:rFonts w:ascii="Calibri" w:hAnsi="Calibri" w:cs="Calibri"/>
          <w:noProof/>
        </w:rPr>
        <w:t xml:space="preserve"> 697–706 (2007).</w:t>
      </w:r>
    </w:p>
    <w:p w14:paraId="455FA59F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3.</w:t>
      </w:r>
      <w:r w:rsidRPr="002F460A">
        <w:rPr>
          <w:rFonts w:ascii="Calibri" w:hAnsi="Calibri" w:cs="Calibri"/>
          <w:noProof/>
        </w:rPr>
        <w:tab/>
        <w:t xml:space="preserve">Miller, G. A. WordNet: a lexical database for English. </w:t>
      </w:r>
      <w:r w:rsidRPr="002F460A">
        <w:rPr>
          <w:rFonts w:ascii="Calibri" w:hAnsi="Calibri" w:cs="Calibri"/>
          <w:i/>
          <w:iCs/>
          <w:noProof/>
        </w:rPr>
        <w:t>Commun. ACM</w:t>
      </w:r>
      <w:r w:rsidRPr="002F460A">
        <w:rPr>
          <w:rFonts w:ascii="Calibri" w:hAnsi="Calibri" w:cs="Calibri"/>
          <w:noProof/>
        </w:rPr>
        <w:t xml:space="preserve"> </w:t>
      </w:r>
      <w:r w:rsidRPr="002F460A">
        <w:rPr>
          <w:rFonts w:ascii="Calibri" w:hAnsi="Calibri" w:cs="Calibri"/>
          <w:b/>
          <w:bCs/>
          <w:noProof/>
        </w:rPr>
        <w:t>38</w:t>
      </w:r>
      <w:r w:rsidRPr="002F460A">
        <w:rPr>
          <w:rFonts w:ascii="Calibri" w:hAnsi="Calibri" w:cs="Calibri"/>
          <w:noProof/>
        </w:rPr>
        <w:t>, 39–41 (1995).</w:t>
      </w:r>
    </w:p>
    <w:p w14:paraId="01619996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4.</w:t>
      </w:r>
      <w:r w:rsidRPr="002F460A">
        <w:rPr>
          <w:rFonts w:ascii="Calibri" w:hAnsi="Calibri" w:cs="Calibri"/>
          <w:noProof/>
        </w:rPr>
        <w:tab/>
        <w:t xml:space="preserve">Li, Y. &amp; Chen, L. Big biological data: challenges and opportunities. </w:t>
      </w:r>
      <w:r w:rsidRPr="002F460A">
        <w:rPr>
          <w:rFonts w:ascii="Calibri" w:hAnsi="Calibri" w:cs="Calibri"/>
          <w:i/>
          <w:iCs/>
          <w:noProof/>
        </w:rPr>
        <w:t>Genomics. Proteomics Bioinformatics</w:t>
      </w:r>
      <w:r w:rsidRPr="002F460A">
        <w:rPr>
          <w:rFonts w:ascii="Calibri" w:hAnsi="Calibri" w:cs="Calibri"/>
          <w:noProof/>
        </w:rPr>
        <w:t xml:space="preserve"> </w:t>
      </w:r>
      <w:r w:rsidRPr="002F460A">
        <w:rPr>
          <w:rFonts w:ascii="Calibri" w:hAnsi="Calibri" w:cs="Calibri"/>
          <w:b/>
          <w:bCs/>
          <w:noProof/>
        </w:rPr>
        <w:t>12</w:t>
      </w:r>
      <w:r w:rsidRPr="002F460A">
        <w:rPr>
          <w:rFonts w:ascii="Calibri" w:hAnsi="Calibri" w:cs="Calibri"/>
          <w:noProof/>
        </w:rPr>
        <w:t>, 187 (2014).</w:t>
      </w:r>
    </w:p>
    <w:p w14:paraId="184DB449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5.</w:t>
      </w:r>
      <w:r w:rsidRPr="002F460A">
        <w:rPr>
          <w:rFonts w:ascii="Calibri" w:hAnsi="Calibri" w:cs="Calibri"/>
          <w:noProof/>
        </w:rPr>
        <w:tab/>
        <w:t xml:space="preserve">Silvescu, A., Caragea, D. &amp; Atramentov, A. Graph databases. </w:t>
      </w:r>
      <w:r w:rsidRPr="002F460A">
        <w:rPr>
          <w:rFonts w:ascii="Calibri" w:hAnsi="Calibri" w:cs="Calibri"/>
          <w:i/>
          <w:iCs/>
          <w:noProof/>
        </w:rPr>
        <w:t>Artif. Intell. Res. Lab. Dep. Comput. Sci. Iowa State Univ.</w:t>
      </w:r>
      <w:r w:rsidRPr="002F460A">
        <w:rPr>
          <w:rFonts w:ascii="Calibri" w:hAnsi="Calibri" w:cs="Calibri"/>
          <w:noProof/>
        </w:rPr>
        <w:t xml:space="preserve"> (2012).</w:t>
      </w:r>
    </w:p>
    <w:p w14:paraId="780A0F1D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6.</w:t>
      </w:r>
      <w:r w:rsidRPr="002F460A">
        <w:rPr>
          <w:rFonts w:ascii="Calibri" w:hAnsi="Calibri" w:cs="Calibri"/>
          <w:noProof/>
        </w:rPr>
        <w:tab/>
        <w:t xml:space="preserve">West, R. </w:t>
      </w:r>
      <w:r w:rsidRPr="002F460A">
        <w:rPr>
          <w:rFonts w:ascii="Calibri" w:hAnsi="Calibri" w:cs="Calibri"/>
          <w:i/>
          <w:iCs/>
          <w:noProof/>
        </w:rPr>
        <w:t>et al.</w:t>
      </w:r>
      <w:r w:rsidRPr="002F460A">
        <w:rPr>
          <w:rFonts w:ascii="Calibri" w:hAnsi="Calibri" w:cs="Calibri"/>
          <w:noProof/>
        </w:rPr>
        <w:t xml:space="preserve"> Knowledge base completion via search-based question answering. in </w:t>
      </w:r>
      <w:r w:rsidRPr="002F460A">
        <w:rPr>
          <w:rFonts w:ascii="Calibri" w:hAnsi="Calibri" w:cs="Calibri"/>
          <w:i/>
          <w:iCs/>
          <w:noProof/>
        </w:rPr>
        <w:t>Proceedings of the 23rd international conference on World wide web</w:t>
      </w:r>
      <w:r w:rsidRPr="002F460A">
        <w:rPr>
          <w:rFonts w:ascii="Calibri" w:hAnsi="Calibri" w:cs="Calibri"/>
          <w:noProof/>
        </w:rPr>
        <w:t xml:space="preserve"> 515–526 (2014).</w:t>
      </w:r>
    </w:p>
    <w:p w14:paraId="34F2B286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7.</w:t>
      </w:r>
      <w:r w:rsidRPr="002F460A">
        <w:rPr>
          <w:rFonts w:ascii="Calibri" w:hAnsi="Calibri" w:cs="Calibri"/>
          <w:noProof/>
        </w:rPr>
        <w:tab/>
        <w:t xml:space="preserve">Yao, L., Mao, C. &amp; Luo, Y. KG-BERT: BERT for knowledge graph completion. </w:t>
      </w:r>
      <w:r w:rsidRPr="002F460A">
        <w:rPr>
          <w:rFonts w:ascii="Calibri" w:hAnsi="Calibri" w:cs="Calibri"/>
          <w:i/>
          <w:iCs/>
          <w:noProof/>
        </w:rPr>
        <w:t>arXiv Prepr. arXiv1909.03193</w:t>
      </w:r>
      <w:r w:rsidRPr="002F460A">
        <w:rPr>
          <w:rFonts w:ascii="Calibri" w:hAnsi="Calibri" w:cs="Calibri"/>
          <w:noProof/>
        </w:rPr>
        <w:t xml:space="preserve"> (2019).</w:t>
      </w:r>
    </w:p>
    <w:p w14:paraId="5DB79EF6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8.</w:t>
      </w:r>
      <w:r w:rsidRPr="002F460A">
        <w:rPr>
          <w:rFonts w:ascii="Calibri" w:hAnsi="Calibri" w:cs="Calibri"/>
          <w:noProof/>
        </w:rPr>
        <w:tab/>
        <w:t xml:space="preserve">Devlin, J., Chang, M.-W., Lee, K. &amp; Toutanova, K. Bert: Pre-training of deep bidirectional transformers for language understanding. </w:t>
      </w:r>
      <w:r w:rsidRPr="002F460A">
        <w:rPr>
          <w:rFonts w:ascii="Calibri" w:hAnsi="Calibri" w:cs="Calibri"/>
          <w:i/>
          <w:iCs/>
          <w:noProof/>
        </w:rPr>
        <w:t>arXiv Prepr. arXiv1810.04805</w:t>
      </w:r>
      <w:r w:rsidRPr="002F460A">
        <w:rPr>
          <w:rFonts w:ascii="Calibri" w:hAnsi="Calibri" w:cs="Calibri"/>
          <w:noProof/>
        </w:rPr>
        <w:t xml:space="preserve"> (2018).</w:t>
      </w:r>
    </w:p>
    <w:p w14:paraId="685A2CDD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9.</w:t>
      </w:r>
      <w:r w:rsidRPr="002F460A">
        <w:rPr>
          <w:rFonts w:ascii="Calibri" w:hAnsi="Calibri" w:cs="Calibri"/>
          <w:noProof/>
        </w:rPr>
        <w:tab/>
        <w:t xml:space="preserve">Bahdanau, D., Cho, K. &amp; Bengio, Y. Neural machine translation by jointly learning to align and translate. </w:t>
      </w:r>
      <w:r w:rsidRPr="002F460A">
        <w:rPr>
          <w:rFonts w:ascii="Calibri" w:hAnsi="Calibri" w:cs="Calibri"/>
          <w:i/>
          <w:iCs/>
          <w:noProof/>
        </w:rPr>
        <w:t>arXiv Prepr. arXiv1409.0473</w:t>
      </w:r>
      <w:r w:rsidRPr="002F460A">
        <w:rPr>
          <w:rFonts w:ascii="Calibri" w:hAnsi="Calibri" w:cs="Calibri"/>
          <w:noProof/>
        </w:rPr>
        <w:t xml:space="preserve"> (2014).</w:t>
      </w:r>
    </w:p>
    <w:p w14:paraId="667810E5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10.</w:t>
      </w:r>
      <w:r w:rsidRPr="002F460A">
        <w:rPr>
          <w:rFonts w:ascii="Calibri" w:hAnsi="Calibri" w:cs="Calibri"/>
          <w:noProof/>
        </w:rPr>
        <w:tab/>
        <w:t xml:space="preserve">Luong, M.-T., Pham, H. &amp; Manning, C. D. Effective approaches to attention-based neural machine translation. </w:t>
      </w:r>
      <w:r w:rsidRPr="002F460A">
        <w:rPr>
          <w:rFonts w:ascii="Calibri" w:hAnsi="Calibri" w:cs="Calibri"/>
          <w:i/>
          <w:iCs/>
          <w:noProof/>
        </w:rPr>
        <w:t>arXiv Prepr. arXiv1508.04025</w:t>
      </w:r>
      <w:r w:rsidRPr="002F460A">
        <w:rPr>
          <w:rFonts w:ascii="Calibri" w:hAnsi="Calibri" w:cs="Calibri"/>
          <w:noProof/>
        </w:rPr>
        <w:t xml:space="preserve"> (2015).</w:t>
      </w:r>
    </w:p>
    <w:p w14:paraId="272D0FA3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11.</w:t>
      </w:r>
      <w:r w:rsidRPr="002F460A">
        <w:rPr>
          <w:rFonts w:ascii="Calibri" w:hAnsi="Calibri" w:cs="Calibri"/>
          <w:noProof/>
        </w:rPr>
        <w:tab/>
        <w:t xml:space="preserve">Zha, H., Chen, Z. &amp; Yan, X. Inductive Relation Prediction by BERT. </w:t>
      </w:r>
      <w:r w:rsidRPr="002F460A">
        <w:rPr>
          <w:rFonts w:ascii="Calibri" w:hAnsi="Calibri" w:cs="Calibri"/>
          <w:i/>
          <w:iCs/>
          <w:noProof/>
        </w:rPr>
        <w:t>arXiv Prepr. arXiv2103.07102</w:t>
      </w:r>
      <w:r w:rsidRPr="002F460A">
        <w:rPr>
          <w:rFonts w:ascii="Calibri" w:hAnsi="Calibri" w:cs="Calibri"/>
          <w:noProof/>
        </w:rPr>
        <w:t xml:space="preserve"> (2021).</w:t>
      </w:r>
    </w:p>
    <w:p w14:paraId="06BDB004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12.</w:t>
      </w:r>
      <w:r w:rsidRPr="002F460A">
        <w:rPr>
          <w:rFonts w:ascii="Calibri" w:hAnsi="Calibri" w:cs="Calibri"/>
          <w:noProof/>
        </w:rPr>
        <w:tab/>
        <w:t xml:space="preserve">Zhu, Y. </w:t>
      </w:r>
      <w:r w:rsidRPr="002F460A">
        <w:rPr>
          <w:rFonts w:ascii="Calibri" w:hAnsi="Calibri" w:cs="Calibri"/>
          <w:i/>
          <w:iCs/>
          <w:noProof/>
        </w:rPr>
        <w:t>et al.</w:t>
      </w:r>
      <w:r w:rsidRPr="002F460A">
        <w:rPr>
          <w:rFonts w:ascii="Calibri" w:hAnsi="Calibri" w:cs="Calibri"/>
          <w:noProof/>
        </w:rPr>
        <w:t xml:space="preserve"> Aligning books and movies: Towards story-like visual explanations by watching movies and reading books. in </w:t>
      </w:r>
      <w:r w:rsidRPr="002F460A">
        <w:rPr>
          <w:rFonts w:ascii="Calibri" w:hAnsi="Calibri" w:cs="Calibri"/>
          <w:i/>
          <w:iCs/>
          <w:noProof/>
        </w:rPr>
        <w:t>Proceedings of the IEEE international conference on computer vision</w:t>
      </w:r>
      <w:r w:rsidRPr="002F460A">
        <w:rPr>
          <w:rFonts w:ascii="Calibri" w:hAnsi="Calibri" w:cs="Calibri"/>
          <w:noProof/>
        </w:rPr>
        <w:t xml:space="preserve"> 19–27 (2015).</w:t>
      </w:r>
    </w:p>
    <w:p w14:paraId="36164E17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13.</w:t>
      </w:r>
      <w:r w:rsidRPr="002F460A">
        <w:rPr>
          <w:rFonts w:ascii="Calibri" w:hAnsi="Calibri" w:cs="Calibri"/>
          <w:noProof/>
        </w:rPr>
        <w:tab/>
        <w:t xml:space="preserve">Veličković, P. </w:t>
      </w:r>
      <w:r w:rsidRPr="002F460A">
        <w:rPr>
          <w:rFonts w:ascii="Calibri" w:hAnsi="Calibri" w:cs="Calibri"/>
          <w:i/>
          <w:iCs/>
          <w:noProof/>
        </w:rPr>
        <w:t>et al.</w:t>
      </w:r>
      <w:r w:rsidRPr="002F460A">
        <w:rPr>
          <w:rFonts w:ascii="Calibri" w:hAnsi="Calibri" w:cs="Calibri"/>
          <w:noProof/>
        </w:rPr>
        <w:t xml:space="preserve"> Graph attention networks. </w:t>
      </w:r>
      <w:r w:rsidRPr="002F460A">
        <w:rPr>
          <w:rFonts w:ascii="Calibri" w:hAnsi="Calibri" w:cs="Calibri"/>
          <w:i/>
          <w:iCs/>
          <w:noProof/>
        </w:rPr>
        <w:t>arXiv Prepr. arXiv1710.10903</w:t>
      </w:r>
      <w:r w:rsidRPr="002F460A">
        <w:rPr>
          <w:rFonts w:ascii="Calibri" w:hAnsi="Calibri" w:cs="Calibri"/>
          <w:noProof/>
        </w:rPr>
        <w:t xml:space="preserve"> (2017).</w:t>
      </w:r>
    </w:p>
    <w:p w14:paraId="10BE8A85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14.</w:t>
      </w:r>
      <w:r w:rsidRPr="002F460A">
        <w:rPr>
          <w:rFonts w:ascii="Calibri" w:hAnsi="Calibri" w:cs="Calibri"/>
          <w:noProof/>
        </w:rPr>
        <w:tab/>
        <w:t xml:space="preserve">Wang, G., Ying, R., Huang, J. &amp; Leskovec, J. Direct Multi-hop Attention based Graph Neural Network. </w:t>
      </w:r>
      <w:r w:rsidRPr="002F460A">
        <w:rPr>
          <w:rFonts w:ascii="Calibri" w:hAnsi="Calibri" w:cs="Calibri"/>
          <w:i/>
          <w:iCs/>
          <w:noProof/>
        </w:rPr>
        <w:t>arXiv Prepr. arXiv2009.14332</w:t>
      </w:r>
      <w:r w:rsidRPr="002F460A">
        <w:rPr>
          <w:rFonts w:ascii="Calibri" w:hAnsi="Calibri" w:cs="Calibri"/>
          <w:noProof/>
        </w:rPr>
        <w:t xml:space="preserve"> (2020).</w:t>
      </w:r>
    </w:p>
    <w:p w14:paraId="78D4D2B3" w14:textId="77777777" w:rsidR="002F460A" w:rsidRPr="002F460A" w:rsidRDefault="002F460A" w:rsidP="002F460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F460A">
        <w:rPr>
          <w:rFonts w:ascii="Calibri" w:hAnsi="Calibri" w:cs="Calibri"/>
          <w:noProof/>
        </w:rPr>
        <w:t>15.</w:t>
      </w:r>
      <w:r w:rsidRPr="002F460A">
        <w:rPr>
          <w:rFonts w:ascii="Calibri" w:hAnsi="Calibri" w:cs="Calibri"/>
          <w:noProof/>
        </w:rPr>
        <w:tab/>
        <w:t xml:space="preserve">Vaswani, A. </w:t>
      </w:r>
      <w:r w:rsidRPr="002F460A">
        <w:rPr>
          <w:rFonts w:ascii="Calibri" w:hAnsi="Calibri" w:cs="Calibri"/>
          <w:i/>
          <w:iCs/>
          <w:noProof/>
        </w:rPr>
        <w:t>et al.</w:t>
      </w:r>
      <w:r w:rsidRPr="002F460A">
        <w:rPr>
          <w:rFonts w:ascii="Calibri" w:hAnsi="Calibri" w:cs="Calibri"/>
          <w:noProof/>
        </w:rPr>
        <w:t xml:space="preserve"> Tensor2tensor for neural machine translation. </w:t>
      </w:r>
      <w:r w:rsidRPr="002F460A">
        <w:rPr>
          <w:rFonts w:ascii="Calibri" w:hAnsi="Calibri" w:cs="Calibri"/>
          <w:i/>
          <w:iCs/>
          <w:noProof/>
        </w:rPr>
        <w:t>arXiv Prepr. arXiv1803.07416</w:t>
      </w:r>
      <w:r w:rsidRPr="002F460A">
        <w:rPr>
          <w:rFonts w:ascii="Calibri" w:hAnsi="Calibri" w:cs="Calibri"/>
          <w:noProof/>
        </w:rPr>
        <w:t xml:space="preserve"> (2018).</w:t>
      </w:r>
    </w:p>
    <w:p w14:paraId="2703FE4B" w14:textId="43E819B1" w:rsidR="00820A04" w:rsidRDefault="00AB42DF">
      <w:pPr>
        <w:jc w:val="left"/>
      </w:pPr>
      <w:r>
        <w:fldChar w:fldCharType="end"/>
      </w:r>
      <w:r w:rsidR="00820A04">
        <w:br w:type="page"/>
      </w:r>
    </w:p>
    <w:p w14:paraId="39BB20EC" w14:textId="5891FAAE" w:rsidR="00FC4620" w:rsidRDefault="00820A04" w:rsidP="00820A04">
      <w:pPr>
        <w:pStyle w:val="Heading1"/>
      </w:pPr>
      <w:r>
        <w:lastRenderedPageBreak/>
        <w:t>Figures</w:t>
      </w:r>
    </w:p>
    <w:p w14:paraId="78469D63" w14:textId="77777777" w:rsidR="005C39A3" w:rsidRDefault="005C39A3" w:rsidP="005C39A3">
      <w:pPr>
        <w:keepNext/>
        <w:jc w:val="center"/>
      </w:pPr>
      <w:r>
        <w:rPr>
          <w:noProof/>
        </w:rPr>
        <w:drawing>
          <wp:inline distT="0" distB="0" distL="0" distR="0" wp14:anchorId="302AD16D" wp14:editId="585F977E">
            <wp:extent cx="3666226" cy="1879197"/>
            <wp:effectExtent l="0" t="0" r="0" b="698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093" cy="18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7672" w14:textId="0DB6427D" w:rsidR="003F25A1" w:rsidRDefault="005C39A3" w:rsidP="00C51EE3">
      <w:pPr>
        <w:pStyle w:val="Caption"/>
      </w:pPr>
      <w:r w:rsidRPr="001469BB">
        <w:rPr>
          <w:b/>
          <w:bCs/>
        </w:rPr>
        <w:t xml:space="preserve">Figure </w:t>
      </w:r>
      <w:r w:rsidRPr="001469BB">
        <w:rPr>
          <w:b/>
          <w:bCs/>
        </w:rPr>
        <w:fldChar w:fldCharType="begin"/>
      </w:r>
      <w:r w:rsidRPr="001469BB">
        <w:rPr>
          <w:b/>
          <w:bCs/>
        </w:rPr>
        <w:instrText xml:space="preserve"> SEQ Figure \* ARABIC </w:instrText>
      </w:r>
      <w:r w:rsidRPr="001469BB">
        <w:rPr>
          <w:b/>
          <w:bCs/>
        </w:rPr>
        <w:fldChar w:fldCharType="separate"/>
      </w:r>
      <w:r w:rsidR="00026F0C" w:rsidRPr="001469BB">
        <w:rPr>
          <w:b/>
          <w:bCs/>
          <w:noProof/>
        </w:rPr>
        <w:t>1</w:t>
      </w:r>
      <w:r w:rsidRPr="001469BB">
        <w:rPr>
          <w:b/>
          <w:bCs/>
        </w:rPr>
        <w:fldChar w:fldCharType="end"/>
      </w:r>
      <w:r w:rsidRPr="001469BB">
        <w:rPr>
          <w:b/>
          <w:bCs/>
        </w:rPr>
        <w:t>.</w:t>
      </w:r>
      <w:r w:rsidR="002928E7" w:rsidRPr="001469BB">
        <w:rPr>
          <w:b/>
          <w:bCs/>
        </w:rPr>
        <w:t xml:space="preserve"> Sample knowledge graph used for demonstration.</w:t>
      </w:r>
      <w:r>
        <w:t xml:space="preserve"> The objective of the knowledge graph completion task is to find a possible relationship (</w:t>
      </w:r>
      <w:proofErr w:type="gramStart"/>
      <w:r w:rsidRPr="005C39A3">
        <w:rPr>
          <w:i/>
          <w:iCs/>
        </w:rPr>
        <w:t>e.g.</w:t>
      </w:r>
      <w:proofErr w:type="gramEnd"/>
      <w:r>
        <w:t xml:space="preserve"> </w:t>
      </w:r>
      <w:proofErr w:type="spellStart"/>
      <w:r>
        <w:t>lives_in</w:t>
      </w:r>
      <w:proofErr w:type="spellEnd"/>
      <w:r>
        <w:t>) between the two target entities (</w:t>
      </w:r>
      <w:r w:rsidRPr="005C39A3">
        <w:rPr>
          <w:i/>
          <w:iCs/>
        </w:rPr>
        <w:t>e.g.</w:t>
      </w:r>
      <w:r>
        <w:t xml:space="preserve"> </w:t>
      </w:r>
      <w:proofErr w:type="spellStart"/>
      <w:r>
        <w:t>Ilias</w:t>
      </w:r>
      <w:proofErr w:type="spellEnd"/>
      <w:r>
        <w:t xml:space="preserve"> and Davis, CA).</w:t>
      </w:r>
    </w:p>
    <w:p w14:paraId="418A7F21" w14:textId="793BFAAA" w:rsidR="00ED415E" w:rsidRDefault="00ED415E" w:rsidP="00ED415E"/>
    <w:p w14:paraId="0F5E6A58" w14:textId="77777777" w:rsidR="00ED415E" w:rsidRDefault="00ED415E" w:rsidP="00ED415E">
      <w:pPr>
        <w:keepNext/>
        <w:jc w:val="center"/>
      </w:pPr>
      <w:r>
        <w:rPr>
          <w:noProof/>
        </w:rPr>
        <w:drawing>
          <wp:inline distT="0" distB="0" distL="0" distR="0" wp14:anchorId="1C3A6F59" wp14:editId="38311CA6">
            <wp:extent cx="4924425" cy="305074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46" cy="30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842" w14:textId="27F96D09" w:rsidR="00ED415E" w:rsidRDefault="00ED415E" w:rsidP="002E3139">
      <w:pPr>
        <w:pStyle w:val="Caption"/>
        <w:jc w:val="center"/>
      </w:pPr>
      <w:r w:rsidRPr="001469BB">
        <w:rPr>
          <w:b/>
          <w:bCs/>
        </w:rPr>
        <w:t xml:space="preserve">Figure </w:t>
      </w:r>
      <w:r w:rsidRPr="001469BB">
        <w:rPr>
          <w:b/>
          <w:bCs/>
        </w:rPr>
        <w:fldChar w:fldCharType="begin"/>
      </w:r>
      <w:r w:rsidRPr="001469BB">
        <w:rPr>
          <w:b/>
          <w:bCs/>
        </w:rPr>
        <w:instrText xml:space="preserve"> SEQ Figure \* ARABIC </w:instrText>
      </w:r>
      <w:r w:rsidRPr="001469BB">
        <w:rPr>
          <w:b/>
          <w:bCs/>
        </w:rPr>
        <w:fldChar w:fldCharType="separate"/>
      </w:r>
      <w:r w:rsidR="00026F0C" w:rsidRPr="001469BB">
        <w:rPr>
          <w:b/>
          <w:bCs/>
          <w:noProof/>
        </w:rPr>
        <w:t>2</w:t>
      </w:r>
      <w:r w:rsidRPr="001469BB">
        <w:rPr>
          <w:b/>
          <w:bCs/>
        </w:rPr>
        <w:fldChar w:fldCharType="end"/>
      </w:r>
      <w:r w:rsidRPr="001469BB">
        <w:rPr>
          <w:b/>
          <w:bCs/>
        </w:rPr>
        <w:t>. Proposed pre-training scheme.</w:t>
      </w:r>
    </w:p>
    <w:p w14:paraId="7A407043" w14:textId="151FAB7C" w:rsidR="00C51EE3" w:rsidRDefault="00C51EE3" w:rsidP="00C51EE3"/>
    <w:p w14:paraId="20BDE2E9" w14:textId="77777777" w:rsidR="00C51EE3" w:rsidRDefault="00C51EE3" w:rsidP="00C51EE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7ECE29" wp14:editId="712723C8">
            <wp:extent cx="5919335" cy="2434442"/>
            <wp:effectExtent l="0" t="0" r="5715" b="4445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35" cy="24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724F" w14:textId="7F17DD14" w:rsidR="00C51EE3" w:rsidRPr="00F3592A" w:rsidRDefault="00C51EE3" w:rsidP="00F3592A">
      <w:pPr>
        <w:pStyle w:val="Caption"/>
        <w:jc w:val="center"/>
        <w:rPr>
          <w:b/>
          <w:bCs/>
        </w:rPr>
      </w:pPr>
      <w:r w:rsidRPr="00F3592A">
        <w:rPr>
          <w:b/>
          <w:bCs/>
        </w:rPr>
        <w:t xml:space="preserve">Figure </w:t>
      </w:r>
      <w:r w:rsidRPr="00F3592A">
        <w:rPr>
          <w:b/>
          <w:bCs/>
        </w:rPr>
        <w:fldChar w:fldCharType="begin"/>
      </w:r>
      <w:r w:rsidRPr="00F3592A">
        <w:rPr>
          <w:b/>
          <w:bCs/>
        </w:rPr>
        <w:instrText xml:space="preserve"> SEQ Figure \* ARABIC </w:instrText>
      </w:r>
      <w:r w:rsidRPr="00F3592A">
        <w:rPr>
          <w:b/>
          <w:bCs/>
        </w:rPr>
        <w:fldChar w:fldCharType="separate"/>
      </w:r>
      <w:r w:rsidR="00026F0C" w:rsidRPr="00F3592A">
        <w:rPr>
          <w:b/>
          <w:bCs/>
          <w:noProof/>
        </w:rPr>
        <w:t>3</w:t>
      </w:r>
      <w:r w:rsidRPr="00F3592A">
        <w:rPr>
          <w:b/>
          <w:bCs/>
        </w:rPr>
        <w:fldChar w:fldCharType="end"/>
      </w:r>
      <w:r w:rsidRPr="00F3592A">
        <w:rPr>
          <w:b/>
          <w:bCs/>
        </w:rPr>
        <w:t>. Proposed fine-tuning scheme.</w:t>
      </w:r>
    </w:p>
    <w:p w14:paraId="46E79802" w14:textId="3DBF52CD" w:rsidR="004B5F8F" w:rsidRDefault="004B5F8F" w:rsidP="004B5F8F"/>
    <w:p w14:paraId="6244297C" w14:textId="77777777" w:rsidR="00026F0C" w:rsidRDefault="00026F0C" w:rsidP="00026F0C">
      <w:pPr>
        <w:keepNext/>
        <w:jc w:val="center"/>
      </w:pPr>
      <w:r>
        <w:rPr>
          <w:noProof/>
        </w:rPr>
        <w:drawing>
          <wp:inline distT="0" distB="0" distL="0" distR="0" wp14:anchorId="399AFDB1" wp14:editId="4ED19973">
            <wp:extent cx="5300610" cy="2446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610" cy="24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66A6" w14:textId="096B3451" w:rsidR="004B5F8F" w:rsidRPr="009E7D39" w:rsidRDefault="00026F0C" w:rsidP="009E7D39">
      <w:pPr>
        <w:pStyle w:val="Caption"/>
        <w:jc w:val="center"/>
        <w:rPr>
          <w:b/>
          <w:bCs/>
        </w:rPr>
      </w:pPr>
      <w:r w:rsidRPr="009E7D39">
        <w:rPr>
          <w:b/>
          <w:bCs/>
        </w:rPr>
        <w:t xml:space="preserve">Figure </w:t>
      </w:r>
      <w:r w:rsidRPr="009E7D39">
        <w:rPr>
          <w:b/>
          <w:bCs/>
        </w:rPr>
        <w:fldChar w:fldCharType="begin"/>
      </w:r>
      <w:r w:rsidRPr="009E7D39">
        <w:rPr>
          <w:b/>
          <w:bCs/>
        </w:rPr>
        <w:instrText xml:space="preserve"> SEQ Figure \* ARABIC </w:instrText>
      </w:r>
      <w:r w:rsidRPr="009E7D39">
        <w:rPr>
          <w:b/>
          <w:bCs/>
        </w:rPr>
        <w:fldChar w:fldCharType="separate"/>
      </w:r>
      <w:r w:rsidRPr="009E7D39">
        <w:rPr>
          <w:b/>
          <w:bCs/>
          <w:noProof/>
        </w:rPr>
        <w:t>4</w:t>
      </w:r>
      <w:r w:rsidRPr="009E7D39">
        <w:rPr>
          <w:b/>
          <w:bCs/>
        </w:rPr>
        <w:fldChar w:fldCharType="end"/>
      </w:r>
      <w:r w:rsidRPr="009E7D39">
        <w:rPr>
          <w:b/>
          <w:bCs/>
        </w:rPr>
        <w:t>.Input representation for the proposed system.</w:t>
      </w:r>
    </w:p>
    <w:sectPr w:rsidR="004B5F8F" w:rsidRPr="009E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BB6B9" w14:textId="77777777" w:rsidR="00AA1FB2" w:rsidRDefault="00AA1FB2" w:rsidP="00A45164">
      <w:pPr>
        <w:spacing w:after="0" w:line="240" w:lineRule="auto"/>
      </w:pPr>
      <w:r>
        <w:separator/>
      </w:r>
    </w:p>
  </w:endnote>
  <w:endnote w:type="continuationSeparator" w:id="0">
    <w:p w14:paraId="2D39EB38" w14:textId="77777777" w:rsidR="00AA1FB2" w:rsidRDefault="00AA1FB2" w:rsidP="00A4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EB553" w14:textId="77777777" w:rsidR="00AA1FB2" w:rsidRDefault="00AA1FB2" w:rsidP="00A45164">
      <w:pPr>
        <w:spacing w:after="0" w:line="240" w:lineRule="auto"/>
      </w:pPr>
      <w:r>
        <w:separator/>
      </w:r>
    </w:p>
  </w:footnote>
  <w:footnote w:type="continuationSeparator" w:id="0">
    <w:p w14:paraId="5A927450" w14:textId="77777777" w:rsidR="00AA1FB2" w:rsidRDefault="00AA1FB2" w:rsidP="00A45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BD3"/>
    <w:multiLevelType w:val="hybridMultilevel"/>
    <w:tmpl w:val="5F8E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1381"/>
    <w:multiLevelType w:val="hybridMultilevel"/>
    <w:tmpl w:val="9802EB64"/>
    <w:lvl w:ilvl="0" w:tplc="16E25168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3C2CBF"/>
    <w:multiLevelType w:val="hybridMultilevel"/>
    <w:tmpl w:val="427A9C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t7A0NzExMjezMDBX0lEKTi0uzszPAykwNKgFAAdLY18tAAAA"/>
  </w:docVars>
  <w:rsids>
    <w:rsidRoot w:val="00040448"/>
    <w:rsid w:val="00000158"/>
    <w:rsid w:val="000141B7"/>
    <w:rsid w:val="00026F0C"/>
    <w:rsid w:val="00037052"/>
    <w:rsid w:val="00040448"/>
    <w:rsid w:val="0004048C"/>
    <w:rsid w:val="000406B7"/>
    <w:rsid w:val="000528B0"/>
    <w:rsid w:val="00053350"/>
    <w:rsid w:val="00054F60"/>
    <w:rsid w:val="00062335"/>
    <w:rsid w:val="00066FF9"/>
    <w:rsid w:val="0007139D"/>
    <w:rsid w:val="00071E37"/>
    <w:rsid w:val="000753CD"/>
    <w:rsid w:val="000802B7"/>
    <w:rsid w:val="00085A7D"/>
    <w:rsid w:val="000902B3"/>
    <w:rsid w:val="000A233A"/>
    <w:rsid w:val="000A6424"/>
    <w:rsid w:val="000B0D45"/>
    <w:rsid w:val="000C0B81"/>
    <w:rsid w:val="000C49B1"/>
    <w:rsid w:val="000C7B5F"/>
    <w:rsid w:val="000E4928"/>
    <w:rsid w:val="000F4405"/>
    <w:rsid w:val="000F7C9D"/>
    <w:rsid w:val="00100AC2"/>
    <w:rsid w:val="001148E8"/>
    <w:rsid w:val="00122672"/>
    <w:rsid w:val="001256B5"/>
    <w:rsid w:val="00143830"/>
    <w:rsid w:val="0014620B"/>
    <w:rsid w:val="001469BB"/>
    <w:rsid w:val="001507B4"/>
    <w:rsid w:val="001518E6"/>
    <w:rsid w:val="00165AF0"/>
    <w:rsid w:val="00167125"/>
    <w:rsid w:val="00187F8C"/>
    <w:rsid w:val="001948C5"/>
    <w:rsid w:val="0019638E"/>
    <w:rsid w:val="001A049E"/>
    <w:rsid w:val="001A24A5"/>
    <w:rsid w:val="001B1EF4"/>
    <w:rsid w:val="001D0BAB"/>
    <w:rsid w:val="001D1ECC"/>
    <w:rsid w:val="001D4DDA"/>
    <w:rsid w:val="001D5ACC"/>
    <w:rsid w:val="001E072A"/>
    <w:rsid w:val="001E49AC"/>
    <w:rsid w:val="001F00BB"/>
    <w:rsid w:val="00201A65"/>
    <w:rsid w:val="002036E0"/>
    <w:rsid w:val="00214D53"/>
    <w:rsid w:val="00222C27"/>
    <w:rsid w:val="0023076C"/>
    <w:rsid w:val="00234DB9"/>
    <w:rsid w:val="00237854"/>
    <w:rsid w:val="002461C5"/>
    <w:rsid w:val="0025066B"/>
    <w:rsid w:val="002535F1"/>
    <w:rsid w:val="002871FA"/>
    <w:rsid w:val="002928E7"/>
    <w:rsid w:val="00297778"/>
    <w:rsid w:val="002A2078"/>
    <w:rsid w:val="002B29A5"/>
    <w:rsid w:val="002D2F6D"/>
    <w:rsid w:val="002D6341"/>
    <w:rsid w:val="002E3139"/>
    <w:rsid w:val="002E6491"/>
    <w:rsid w:val="002F40FE"/>
    <w:rsid w:val="002F4339"/>
    <w:rsid w:val="002F460A"/>
    <w:rsid w:val="0031264B"/>
    <w:rsid w:val="0031288D"/>
    <w:rsid w:val="003135FD"/>
    <w:rsid w:val="00331254"/>
    <w:rsid w:val="00343115"/>
    <w:rsid w:val="003446C1"/>
    <w:rsid w:val="003506CC"/>
    <w:rsid w:val="00364E46"/>
    <w:rsid w:val="00370C3F"/>
    <w:rsid w:val="003800FB"/>
    <w:rsid w:val="00393EE7"/>
    <w:rsid w:val="003A1AAF"/>
    <w:rsid w:val="003A661D"/>
    <w:rsid w:val="003A7D9F"/>
    <w:rsid w:val="003B7D51"/>
    <w:rsid w:val="003C3C3B"/>
    <w:rsid w:val="003D2585"/>
    <w:rsid w:val="003D6A08"/>
    <w:rsid w:val="003E517A"/>
    <w:rsid w:val="003F1010"/>
    <w:rsid w:val="003F25A1"/>
    <w:rsid w:val="003F7A4E"/>
    <w:rsid w:val="003F7C43"/>
    <w:rsid w:val="004156C5"/>
    <w:rsid w:val="004265F6"/>
    <w:rsid w:val="00437372"/>
    <w:rsid w:val="004429C6"/>
    <w:rsid w:val="00444301"/>
    <w:rsid w:val="004618CC"/>
    <w:rsid w:val="00462141"/>
    <w:rsid w:val="00493A89"/>
    <w:rsid w:val="00496AAF"/>
    <w:rsid w:val="004A390D"/>
    <w:rsid w:val="004A3A99"/>
    <w:rsid w:val="004A4DAC"/>
    <w:rsid w:val="004A7A49"/>
    <w:rsid w:val="004B5F8F"/>
    <w:rsid w:val="004C3DFD"/>
    <w:rsid w:val="004C63B4"/>
    <w:rsid w:val="004D072D"/>
    <w:rsid w:val="004F323A"/>
    <w:rsid w:val="004F3DB6"/>
    <w:rsid w:val="00506180"/>
    <w:rsid w:val="005121D2"/>
    <w:rsid w:val="00517687"/>
    <w:rsid w:val="00517BAE"/>
    <w:rsid w:val="005224CD"/>
    <w:rsid w:val="00533724"/>
    <w:rsid w:val="00535759"/>
    <w:rsid w:val="005411A6"/>
    <w:rsid w:val="00541269"/>
    <w:rsid w:val="00551A70"/>
    <w:rsid w:val="00557955"/>
    <w:rsid w:val="005711D0"/>
    <w:rsid w:val="00580239"/>
    <w:rsid w:val="005815BE"/>
    <w:rsid w:val="00582192"/>
    <w:rsid w:val="0059610C"/>
    <w:rsid w:val="00596155"/>
    <w:rsid w:val="005A16FE"/>
    <w:rsid w:val="005C1A24"/>
    <w:rsid w:val="005C39A3"/>
    <w:rsid w:val="005C4CDB"/>
    <w:rsid w:val="005D3E69"/>
    <w:rsid w:val="005E4C76"/>
    <w:rsid w:val="005E50A3"/>
    <w:rsid w:val="005E53CF"/>
    <w:rsid w:val="005F4A8B"/>
    <w:rsid w:val="005F56F1"/>
    <w:rsid w:val="00600440"/>
    <w:rsid w:val="0060093B"/>
    <w:rsid w:val="00610969"/>
    <w:rsid w:val="00617518"/>
    <w:rsid w:val="006228D9"/>
    <w:rsid w:val="00632549"/>
    <w:rsid w:val="006329F4"/>
    <w:rsid w:val="00647F76"/>
    <w:rsid w:val="00660585"/>
    <w:rsid w:val="0067077C"/>
    <w:rsid w:val="0067598E"/>
    <w:rsid w:val="00692493"/>
    <w:rsid w:val="006A7913"/>
    <w:rsid w:val="006D24E8"/>
    <w:rsid w:val="006D2D53"/>
    <w:rsid w:val="006D4876"/>
    <w:rsid w:val="006E496C"/>
    <w:rsid w:val="006E4C75"/>
    <w:rsid w:val="006E7441"/>
    <w:rsid w:val="00704D4E"/>
    <w:rsid w:val="0071117D"/>
    <w:rsid w:val="007130CF"/>
    <w:rsid w:val="0071314A"/>
    <w:rsid w:val="00721158"/>
    <w:rsid w:val="007309E1"/>
    <w:rsid w:val="00733273"/>
    <w:rsid w:val="007342D0"/>
    <w:rsid w:val="0074727B"/>
    <w:rsid w:val="007503F4"/>
    <w:rsid w:val="00755E1A"/>
    <w:rsid w:val="007572ED"/>
    <w:rsid w:val="00763196"/>
    <w:rsid w:val="007638CD"/>
    <w:rsid w:val="0077365D"/>
    <w:rsid w:val="007757FD"/>
    <w:rsid w:val="0078407C"/>
    <w:rsid w:val="00794BE1"/>
    <w:rsid w:val="00797C06"/>
    <w:rsid w:val="007A094F"/>
    <w:rsid w:val="007A17EB"/>
    <w:rsid w:val="007A3AED"/>
    <w:rsid w:val="007A4BB2"/>
    <w:rsid w:val="007A4FA6"/>
    <w:rsid w:val="007B3248"/>
    <w:rsid w:val="007C3FFB"/>
    <w:rsid w:val="007C506B"/>
    <w:rsid w:val="007D3158"/>
    <w:rsid w:val="007D69C1"/>
    <w:rsid w:val="007E03EB"/>
    <w:rsid w:val="007F1004"/>
    <w:rsid w:val="007F6A77"/>
    <w:rsid w:val="007F7F4A"/>
    <w:rsid w:val="008072EC"/>
    <w:rsid w:val="008127D3"/>
    <w:rsid w:val="008138F2"/>
    <w:rsid w:val="00820A04"/>
    <w:rsid w:val="008315A5"/>
    <w:rsid w:val="00832AB6"/>
    <w:rsid w:val="00843D56"/>
    <w:rsid w:val="008512A5"/>
    <w:rsid w:val="00852146"/>
    <w:rsid w:val="00857B67"/>
    <w:rsid w:val="0086180B"/>
    <w:rsid w:val="008642D1"/>
    <w:rsid w:val="00864A72"/>
    <w:rsid w:val="00867EA8"/>
    <w:rsid w:val="00871E49"/>
    <w:rsid w:val="0087717F"/>
    <w:rsid w:val="008853D6"/>
    <w:rsid w:val="008950D0"/>
    <w:rsid w:val="008D20C0"/>
    <w:rsid w:val="008D4182"/>
    <w:rsid w:val="008D4434"/>
    <w:rsid w:val="008E2432"/>
    <w:rsid w:val="008E3703"/>
    <w:rsid w:val="008F2761"/>
    <w:rsid w:val="008F6B61"/>
    <w:rsid w:val="008F7D3F"/>
    <w:rsid w:val="00931894"/>
    <w:rsid w:val="0093433A"/>
    <w:rsid w:val="00946B03"/>
    <w:rsid w:val="0095341C"/>
    <w:rsid w:val="009545A7"/>
    <w:rsid w:val="00961F7D"/>
    <w:rsid w:val="0097216D"/>
    <w:rsid w:val="00976344"/>
    <w:rsid w:val="00977F1E"/>
    <w:rsid w:val="0098693B"/>
    <w:rsid w:val="009964F2"/>
    <w:rsid w:val="009A72C4"/>
    <w:rsid w:val="009B4372"/>
    <w:rsid w:val="009D368F"/>
    <w:rsid w:val="009E12C0"/>
    <w:rsid w:val="009E1AFA"/>
    <w:rsid w:val="009E48E1"/>
    <w:rsid w:val="009E5F72"/>
    <w:rsid w:val="009E7D39"/>
    <w:rsid w:val="009F4023"/>
    <w:rsid w:val="009F4E1F"/>
    <w:rsid w:val="00A04D52"/>
    <w:rsid w:val="00A12634"/>
    <w:rsid w:val="00A12E75"/>
    <w:rsid w:val="00A14F28"/>
    <w:rsid w:val="00A26AB9"/>
    <w:rsid w:val="00A35CD6"/>
    <w:rsid w:val="00A3722D"/>
    <w:rsid w:val="00A45164"/>
    <w:rsid w:val="00A724AB"/>
    <w:rsid w:val="00A816D2"/>
    <w:rsid w:val="00A83D3B"/>
    <w:rsid w:val="00A91BF7"/>
    <w:rsid w:val="00AA1FB2"/>
    <w:rsid w:val="00AA3F5E"/>
    <w:rsid w:val="00AA57CD"/>
    <w:rsid w:val="00AB0407"/>
    <w:rsid w:val="00AB2B7E"/>
    <w:rsid w:val="00AB42DF"/>
    <w:rsid w:val="00AC02CC"/>
    <w:rsid w:val="00AC31B3"/>
    <w:rsid w:val="00AE6540"/>
    <w:rsid w:val="00AE671D"/>
    <w:rsid w:val="00AF0114"/>
    <w:rsid w:val="00AF1F39"/>
    <w:rsid w:val="00B04563"/>
    <w:rsid w:val="00B14D76"/>
    <w:rsid w:val="00B2601D"/>
    <w:rsid w:val="00B51A06"/>
    <w:rsid w:val="00B54D40"/>
    <w:rsid w:val="00B62CB2"/>
    <w:rsid w:val="00B677C0"/>
    <w:rsid w:val="00B704CD"/>
    <w:rsid w:val="00B75289"/>
    <w:rsid w:val="00B75CE6"/>
    <w:rsid w:val="00B85203"/>
    <w:rsid w:val="00B969F2"/>
    <w:rsid w:val="00BA66C7"/>
    <w:rsid w:val="00BA7C7A"/>
    <w:rsid w:val="00BC18D9"/>
    <w:rsid w:val="00BC379A"/>
    <w:rsid w:val="00BD0A52"/>
    <w:rsid w:val="00BD3A48"/>
    <w:rsid w:val="00BE5E53"/>
    <w:rsid w:val="00BF02D5"/>
    <w:rsid w:val="00BF2B60"/>
    <w:rsid w:val="00BF4E0F"/>
    <w:rsid w:val="00C03BD4"/>
    <w:rsid w:val="00C03FF8"/>
    <w:rsid w:val="00C047E7"/>
    <w:rsid w:val="00C05F07"/>
    <w:rsid w:val="00C12531"/>
    <w:rsid w:val="00C1325A"/>
    <w:rsid w:val="00C21E69"/>
    <w:rsid w:val="00C26E59"/>
    <w:rsid w:val="00C322E8"/>
    <w:rsid w:val="00C357FC"/>
    <w:rsid w:val="00C36472"/>
    <w:rsid w:val="00C41B9D"/>
    <w:rsid w:val="00C51EE3"/>
    <w:rsid w:val="00C5247D"/>
    <w:rsid w:val="00C52CB5"/>
    <w:rsid w:val="00C52FBF"/>
    <w:rsid w:val="00C53FA8"/>
    <w:rsid w:val="00C70331"/>
    <w:rsid w:val="00C80574"/>
    <w:rsid w:val="00C959E7"/>
    <w:rsid w:val="00CA704A"/>
    <w:rsid w:val="00CB467C"/>
    <w:rsid w:val="00CB504A"/>
    <w:rsid w:val="00CD0483"/>
    <w:rsid w:val="00CD2CD9"/>
    <w:rsid w:val="00CD5FB2"/>
    <w:rsid w:val="00CD7838"/>
    <w:rsid w:val="00CE0CEE"/>
    <w:rsid w:val="00CE0FB7"/>
    <w:rsid w:val="00CF3E6D"/>
    <w:rsid w:val="00CF4366"/>
    <w:rsid w:val="00D019A8"/>
    <w:rsid w:val="00D063BD"/>
    <w:rsid w:val="00D111D7"/>
    <w:rsid w:val="00D17789"/>
    <w:rsid w:val="00D23DC1"/>
    <w:rsid w:val="00D26949"/>
    <w:rsid w:val="00D406C9"/>
    <w:rsid w:val="00D41D46"/>
    <w:rsid w:val="00D44BCC"/>
    <w:rsid w:val="00D45D48"/>
    <w:rsid w:val="00D46BA6"/>
    <w:rsid w:val="00D523F6"/>
    <w:rsid w:val="00D55DF5"/>
    <w:rsid w:val="00D702A5"/>
    <w:rsid w:val="00D71708"/>
    <w:rsid w:val="00D75EBB"/>
    <w:rsid w:val="00D8002F"/>
    <w:rsid w:val="00D94CC7"/>
    <w:rsid w:val="00D9679B"/>
    <w:rsid w:val="00DB0D01"/>
    <w:rsid w:val="00DB3957"/>
    <w:rsid w:val="00DB48A5"/>
    <w:rsid w:val="00DC4BFA"/>
    <w:rsid w:val="00DD5C6C"/>
    <w:rsid w:val="00DE3B40"/>
    <w:rsid w:val="00DE5828"/>
    <w:rsid w:val="00DF4770"/>
    <w:rsid w:val="00E03F32"/>
    <w:rsid w:val="00E06E55"/>
    <w:rsid w:val="00E1015B"/>
    <w:rsid w:val="00E13AFE"/>
    <w:rsid w:val="00E156DE"/>
    <w:rsid w:val="00E32719"/>
    <w:rsid w:val="00E33D1E"/>
    <w:rsid w:val="00E5152C"/>
    <w:rsid w:val="00E64420"/>
    <w:rsid w:val="00E717FC"/>
    <w:rsid w:val="00E83247"/>
    <w:rsid w:val="00E854C0"/>
    <w:rsid w:val="00EB1E7C"/>
    <w:rsid w:val="00EB69F2"/>
    <w:rsid w:val="00EC4224"/>
    <w:rsid w:val="00ED415E"/>
    <w:rsid w:val="00EE2C32"/>
    <w:rsid w:val="00EE338A"/>
    <w:rsid w:val="00EE5AF3"/>
    <w:rsid w:val="00EF597F"/>
    <w:rsid w:val="00EF650B"/>
    <w:rsid w:val="00EF6D4D"/>
    <w:rsid w:val="00F06B83"/>
    <w:rsid w:val="00F229EF"/>
    <w:rsid w:val="00F3592A"/>
    <w:rsid w:val="00F5020D"/>
    <w:rsid w:val="00F511EB"/>
    <w:rsid w:val="00F5668E"/>
    <w:rsid w:val="00F61688"/>
    <w:rsid w:val="00F65BE0"/>
    <w:rsid w:val="00F666D5"/>
    <w:rsid w:val="00F73240"/>
    <w:rsid w:val="00F7373C"/>
    <w:rsid w:val="00F8142D"/>
    <w:rsid w:val="00F8473A"/>
    <w:rsid w:val="00FB2FB7"/>
    <w:rsid w:val="00FB72B8"/>
    <w:rsid w:val="00FB765D"/>
    <w:rsid w:val="00FC010F"/>
    <w:rsid w:val="00FC3377"/>
    <w:rsid w:val="00FC4620"/>
    <w:rsid w:val="00FC5F3E"/>
    <w:rsid w:val="00FD7D29"/>
    <w:rsid w:val="00FE2793"/>
    <w:rsid w:val="00FE7FB5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87DA8"/>
  <w15:chartTrackingRefBased/>
  <w15:docId w15:val="{35129E97-5E8B-4184-BEEB-D6D9FB6A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E0"/>
    <w:pPr>
      <w:jc w:val="both"/>
    </w:pPr>
    <w:rPr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F7A4E"/>
    <w:pPr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A4E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2AB6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32AB6"/>
    <w:rPr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C0B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B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B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B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B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5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16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5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164"/>
    <w:rPr>
      <w:sz w:val="24"/>
      <w:szCs w:val="24"/>
    </w:rPr>
  </w:style>
  <w:style w:type="table" w:styleId="TableGrid">
    <w:name w:val="Table Grid"/>
    <w:basedOn w:val="TableNormal"/>
    <w:uiPriority w:val="39"/>
    <w:rsid w:val="009A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1EE3"/>
    <w:pPr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F1557-0089-40D3-9CDE-F78D031D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7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Jaesung Youn</dc:creator>
  <cp:keywords/>
  <dc:description/>
  <cp:lastModifiedBy>Jaesung Youn</cp:lastModifiedBy>
  <cp:revision>382</cp:revision>
  <dcterms:created xsi:type="dcterms:W3CDTF">2021-01-07T07:42:00Z</dcterms:created>
  <dcterms:modified xsi:type="dcterms:W3CDTF">2021-04-05T23:33:00Z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http://www.zotero.org/styles/nature</vt:lpwstr>
  </property>
  <property fmtid="{D5CDD505-2E9C-101B-9397-08002B2CF9AE}" pid="4" name="Mendeley Unique User Id_1">
    <vt:lpwstr>7a2c948d-78fa-326d-9683-0adb3fb5bb92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