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before="400" w:line="360" w:lineRule="auto"/>
        <w:ind w:left="-15" w:firstLine="0"/>
        <w:contextualSpacing w:val="0"/>
        <w:rPr>
          <w:rFonts w:ascii="Times New Roman" w:cs="Times New Roman" w:eastAsia="Times New Roman" w:hAnsi="Times New Roman"/>
          <w:b w:val="1"/>
          <w:color w:val="666666"/>
          <w:sz w:val="28"/>
          <w:szCs w:val="28"/>
        </w:rPr>
      </w:pPr>
      <w:r w:rsidDel="00000000" w:rsidR="00000000" w:rsidRPr="00000000">
        <w:rPr>
          <w:rFonts w:ascii="Times New Roman" w:cs="Times New Roman" w:eastAsia="Times New Roman" w:hAnsi="Times New Roman"/>
          <w:b w:val="1"/>
          <w:color w:val="666666"/>
          <w:sz w:val="28"/>
          <w:szCs w:val="28"/>
          <w:rtl w:val="0"/>
        </w:rPr>
        <w:t xml:space="preserve">MÔ TẢ</w:t>
      </w:r>
    </w:p>
    <w:p w:rsidR="00000000" w:rsidDel="00000000" w:rsidP="00000000" w:rsidRDefault="00000000" w:rsidRPr="00000000">
      <w:pPr>
        <w:spacing w:before="400" w:line="360" w:lineRule="auto"/>
        <w:ind w:left="-1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666666"/>
          <w:sz w:val="28"/>
          <w:szCs w:val="28"/>
          <w:rtl w:val="0"/>
        </w:rPr>
        <w:t xml:space="preserve">NGHIỆP VỤ MỞ NHÀ PHÂN PHỐI</w:t>
      </w:r>
      <w:r w:rsidDel="00000000" w:rsidR="00000000" w:rsidRPr="00000000">
        <w:rPr>
          <w:rtl w:val="0"/>
        </w:rPr>
      </w:r>
    </w:p>
    <w:tbl>
      <w:tblPr>
        <w:tblStyle w:val="Table1"/>
        <w:tblW w:w="9525.0" w:type="dxa"/>
        <w:jc w:val="left"/>
        <w:tblInd w:w="63.0" w:type="dxa"/>
        <w:tblLayout w:type="fixed"/>
        <w:tblLook w:val="0000"/>
      </w:tblPr>
      <w:tblGrid>
        <w:gridCol w:w="1875"/>
        <w:gridCol w:w="3870"/>
        <w:gridCol w:w="3780"/>
        <w:tblGridChange w:id="0">
          <w:tblGrid>
            <w:gridCol w:w="1875"/>
            <w:gridCol w:w="3870"/>
            <w:gridCol w:w="3780"/>
          </w:tblGrid>
        </w:tblGridChange>
      </w:tblGrid>
      <w:tr>
        <w:trPr>
          <w:trHeight w:val="520" w:hRule="atLeast"/>
        </w:trPr>
        <w:tc>
          <w:tcPr>
            <w:vMerge w:val="restart"/>
            <w:tcBorders>
              <w:top w:color="000000" w:space="0" w:sz="4" w:val="single"/>
              <w:left w:color="000000" w:space="0" w:sz="4" w:val="single"/>
              <w:bottom w:color="000000" w:space="0" w:sz="4" w:val="single"/>
              <w:right w:color="000000" w:space="0" w:sz="4" w:val="single"/>
            </w:tcBorders>
            <w:shd w:fill="bfbfbf" w:val="clear"/>
            <w:tcMar>
              <w:left w:w="108.0" w:type="dxa"/>
              <w:right w:w="108.0" w:type="dxa"/>
            </w:tcMar>
            <w:vAlign w:val="top"/>
          </w:tcPr>
          <w:p w:rsidR="00000000" w:rsidDel="00000000" w:rsidP="00000000" w:rsidRDefault="00000000" w:rsidRPr="00000000">
            <w:pPr>
              <w:spacing w:after="120" w:before="120" w:line="276" w:lineRule="auto"/>
              <w:ind w:left="1260" w:hanging="1155"/>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Tên Use Case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bfbfbf" w:val="clear"/>
            <w:tcMar>
              <w:left w:w="108.0" w:type="dxa"/>
              <w:right w:w="108.0" w:type="dxa"/>
            </w:tcMar>
            <w:vAlign w:val="top"/>
          </w:tcPr>
          <w:p w:rsidR="00000000" w:rsidDel="00000000" w:rsidP="00000000" w:rsidRDefault="00000000" w:rsidRPr="00000000">
            <w:pPr>
              <w:spacing w:after="120" w:before="120" w:line="276" w:lineRule="auto"/>
              <w:ind w:left="1260" w:hanging="11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Kí hợp đồng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left w:w="108.0" w:type="dxa"/>
              <w:right w:w="108.0" w:type="dxa"/>
            </w:tcMar>
            <w:vAlign w:val="top"/>
          </w:tcPr>
          <w:p w:rsidR="00000000" w:rsidDel="00000000" w:rsidP="00000000" w:rsidRDefault="00000000" w:rsidRPr="00000000">
            <w:pPr>
              <w:spacing w:after="120" w:before="120" w:line="276" w:lineRule="auto"/>
              <w:ind w:left="1260" w:hanging="11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Mã số: UCNV-MNPP-1</w:t>
            </w:r>
            <w:r w:rsidDel="00000000" w:rsidR="00000000" w:rsidRPr="00000000">
              <w:rPr>
                <w:rtl w:val="0"/>
              </w:rPr>
            </w:r>
          </w:p>
        </w:tc>
      </w:tr>
      <w:tr>
        <w:trPr>
          <w:trHeight w:val="420" w:hRule="atLeast"/>
        </w:trPr>
        <w:tc>
          <w:tcPr>
            <w:vMerge w:val="continue"/>
            <w:tcBorders>
              <w:top w:color="000000" w:space="0" w:sz="4" w:val="single"/>
              <w:left w:color="000000" w:space="0" w:sz="4" w:val="single"/>
              <w:bottom w:color="000000" w:space="0" w:sz="4" w:val="single"/>
              <w:right w:color="000000" w:space="0" w:sz="4" w:val="single"/>
            </w:tcBorders>
            <w:shd w:fill="bfbfbf" w:val="clear"/>
            <w:tcMar>
              <w:left w:w="108.0" w:type="dxa"/>
              <w:right w:w="108.0" w:type="dxa"/>
            </w:tcMar>
            <w:vAlign w:val="top"/>
          </w:tcPr>
          <w:p w:rsidR="00000000" w:rsidDel="00000000" w:rsidP="00000000" w:rsidRDefault="00000000" w:rsidRPr="00000000">
            <w:pPr>
              <w:widowControl w:val="0"/>
              <w:ind w:left="1260" w:firstLine="0"/>
              <w:contextualSpacing w:val="0"/>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bfbfbf" w:val="clear"/>
            <w:tcMar>
              <w:left w:w="108.0" w:type="dxa"/>
              <w:right w:w="108.0" w:type="dxa"/>
            </w:tcMar>
            <w:vAlign w:val="top"/>
          </w:tcPr>
          <w:p w:rsidR="00000000" w:rsidDel="00000000" w:rsidP="00000000" w:rsidRDefault="00000000" w:rsidRPr="00000000">
            <w:pPr>
              <w:spacing w:after="200" w:line="276" w:lineRule="auto"/>
              <w:ind w:left="1260" w:firstLine="0"/>
              <w:contextualSpacing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left w:w="108.0" w:type="dxa"/>
              <w:right w:w="108.0" w:type="dxa"/>
            </w:tcMar>
            <w:vAlign w:val="top"/>
          </w:tcPr>
          <w:p w:rsidR="00000000" w:rsidDel="00000000" w:rsidP="00000000" w:rsidRDefault="00000000" w:rsidRPr="00000000">
            <w:pPr>
              <w:spacing w:after="120" w:before="120" w:line="276" w:lineRule="auto"/>
              <w:ind w:left="1260" w:hanging="11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Tham chiếu [1]: Kí hợp đồng</w:t>
            </w:r>
            <w:r w:rsidDel="00000000" w:rsidR="00000000" w:rsidRPr="00000000">
              <w:rPr>
                <w:rtl w:val="0"/>
              </w:rPr>
            </w:r>
          </w:p>
        </w:tc>
      </w:tr>
      <w:tr>
        <w:tc>
          <w:tcPr>
            <w:tcBorders>
              <w:top w:color="000000"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pPr>
              <w:spacing w:after="120" w:before="120" w:line="276" w:lineRule="auto"/>
              <w:ind w:left="1260" w:hanging="1155"/>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Mô tả</w:t>
            </w:r>
            <w:r w:rsidDel="00000000" w:rsidR="00000000" w:rsidRPr="00000000">
              <w:rPr>
                <w:rtl w:val="0"/>
              </w:rPr>
            </w:r>
          </w:p>
        </w:tc>
        <w:tc>
          <w:tcPr>
            <w:gridSpan w:val="2"/>
            <w:tcBorders>
              <w:top w:color="000000"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pPr>
              <w:spacing w:after="120" w:before="120" w:line="276" w:lineRule="auto"/>
              <w:ind w:left="13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UC bắt đầu có nhà phân phối ký hợp đồng.</w:t>
            </w:r>
            <w:r w:rsidDel="00000000" w:rsidR="00000000" w:rsidRPr="00000000">
              <w:rPr>
                <w:rtl w:val="0"/>
              </w:rPr>
            </w:r>
          </w:p>
        </w:tc>
      </w:tr>
      <w:tr>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pPr>
              <w:spacing w:after="120" w:before="120" w:line="276" w:lineRule="auto"/>
              <w:ind w:left="1260" w:hanging="1155"/>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Dòng cơ bản</w:t>
            </w:r>
            <w:r w:rsidDel="00000000" w:rsidR="00000000" w:rsidRPr="00000000">
              <w:rPr>
                <w:rtl w:val="0"/>
              </w:rPr>
            </w:r>
          </w:p>
        </w:tc>
        <w:tc>
          <w:tcPr>
            <w:gridSpan w:val="2"/>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pPr>
              <w:numPr>
                <w:ilvl w:val="0"/>
                <w:numId w:val="1"/>
              </w:numPr>
              <w:spacing w:after="120" w:before="120" w:line="276" w:lineRule="auto"/>
              <w:ind w:left="315" w:hanging="27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và đối tác liên lạc đưa ra thời gian, địa điểm thảo luận tìm cơ hội hợp tác.</w:t>
            </w:r>
          </w:p>
          <w:p w:rsidR="00000000" w:rsidDel="00000000" w:rsidP="00000000" w:rsidRDefault="00000000" w:rsidRPr="00000000">
            <w:pPr>
              <w:numPr>
                <w:ilvl w:val="0"/>
                <w:numId w:val="1"/>
              </w:numPr>
              <w:spacing w:after="120" w:before="120" w:line="276" w:lineRule="auto"/>
              <w:ind w:left="315" w:hanging="27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khi đối tác đồng ý, nhân viên lập hợp đồng làm nhà phân phối của công ty.</w:t>
            </w:r>
          </w:p>
          <w:p w:rsidR="00000000" w:rsidDel="00000000" w:rsidP="00000000" w:rsidRDefault="00000000" w:rsidRPr="00000000">
            <w:pPr>
              <w:numPr>
                <w:ilvl w:val="0"/>
                <w:numId w:val="1"/>
              </w:numPr>
              <w:spacing w:after="120" w:before="120" w:line="276" w:lineRule="auto"/>
              <w:ind w:left="315" w:hanging="27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Nhà phân phối cung cấp thông tin.</w:t>
            </w:r>
          </w:p>
          <w:p w:rsidR="00000000" w:rsidDel="00000000" w:rsidP="00000000" w:rsidRDefault="00000000" w:rsidRPr="00000000">
            <w:pPr>
              <w:numPr>
                <w:ilvl w:val="0"/>
                <w:numId w:val="1"/>
              </w:numPr>
              <w:spacing w:after="120" w:before="120" w:line="276" w:lineRule="auto"/>
              <w:ind w:left="315" w:hanging="27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ghi nhận thông tin nhà phân phối.</w:t>
            </w:r>
          </w:p>
          <w:p w:rsidR="00000000" w:rsidDel="00000000" w:rsidP="00000000" w:rsidRDefault="00000000" w:rsidRPr="00000000">
            <w:pPr>
              <w:numPr>
                <w:ilvl w:val="0"/>
                <w:numId w:val="1"/>
              </w:numPr>
              <w:spacing w:after="120" w:before="120" w:line="276" w:lineRule="auto"/>
              <w:ind w:left="315" w:hanging="27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 bên ký hợp đồng.</w:t>
            </w:r>
            <w:r w:rsidDel="00000000" w:rsidR="00000000" w:rsidRPr="00000000">
              <w:rPr>
                <w:rtl w:val="0"/>
              </w:rPr>
            </w:r>
          </w:p>
        </w:tc>
      </w:tr>
      <w:tr>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pPr>
              <w:spacing w:after="120" w:before="120" w:line="276" w:lineRule="auto"/>
              <w:ind w:left="1260" w:hanging="1155"/>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Dòng thay thế</w:t>
            </w:r>
            <w:r w:rsidDel="00000000" w:rsidR="00000000" w:rsidRPr="00000000">
              <w:rPr>
                <w:rtl w:val="0"/>
              </w:rPr>
            </w:r>
          </w:p>
        </w:tc>
        <w:tc>
          <w:tcPr>
            <w:gridSpan w:val="2"/>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pPr>
              <w:spacing w:after="120" w:before="120" w:line="276" w:lineRule="auto"/>
              <w:ind w:left="13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Trường hợp bước 2, đối tác hoặc công ty không đồng ý hợp tác thì không ký hợp đồng.</w:t>
            </w:r>
            <w:r w:rsidDel="00000000" w:rsidR="00000000" w:rsidRPr="00000000">
              <w:rPr>
                <w:rtl w:val="0"/>
              </w:rPr>
            </w:r>
          </w:p>
        </w:tc>
      </w:tr>
    </w:tbl>
    <w:p w:rsidR="00000000" w:rsidDel="00000000" w:rsidP="00000000" w:rsidRDefault="00000000" w:rsidRPr="00000000">
      <w:pPr>
        <w:spacing w:after="200" w:before="120" w:line="276" w:lineRule="auto"/>
        <w:contextualSpacing w:val="0"/>
        <w:rPr/>
      </w:pPr>
      <w:r w:rsidDel="00000000" w:rsidR="00000000" w:rsidRPr="00000000">
        <w:rPr>
          <w:rtl w:val="0"/>
        </w:rPr>
      </w:r>
    </w:p>
    <w:p w:rsidR="00000000" w:rsidDel="00000000" w:rsidP="00000000" w:rsidRDefault="00000000" w:rsidRPr="00000000">
      <w:pPr>
        <w:spacing w:after="200" w:before="120" w:line="276" w:lineRule="auto"/>
        <w:contextualSpacing w:val="0"/>
        <w:rPr/>
      </w:pPr>
      <w:r w:rsidDel="00000000" w:rsidR="00000000" w:rsidRPr="00000000">
        <w:rPr>
          <w:rtl w:val="0"/>
        </w:rPr>
      </w:r>
    </w:p>
    <w:p w:rsidR="00000000" w:rsidDel="00000000" w:rsidP="00000000" w:rsidRDefault="00000000" w:rsidRPr="00000000">
      <w:pPr>
        <w:spacing w:before="400" w:line="360" w:lineRule="auto"/>
        <w:ind w:left="-180" w:firstLine="0"/>
        <w:contextualSpacing w:val="0"/>
        <w:rPr>
          <w:rFonts w:ascii="Times New Roman" w:cs="Times New Roman" w:eastAsia="Times New Roman" w:hAnsi="Times New Roman"/>
          <w:b w:val="1"/>
          <w:color w:val="666666"/>
          <w:sz w:val="28"/>
          <w:szCs w:val="28"/>
        </w:rPr>
      </w:pPr>
      <w:r w:rsidDel="00000000" w:rsidR="00000000" w:rsidRPr="00000000">
        <w:rPr>
          <w:rtl w:val="0"/>
        </w:rPr>
      </w:r>
    </w:p>
    <w:p w:rsidR="00000000" w:rsidDel="00000000" w:rsidP="00000000" w:rsidRDefault="00000000" w:rsidRPr="00000000">
      <w:pPr>
        <w:spacing w:before="400" w:line="360" w:lineRule="auto"/>
        <w:ind w:left="-180" w:firstLine="0"/>
        <w:contextualSpacing w:val="0"/>
        <w:rPr>
          <w:rFonts w:ascii="Times New Roman" w:cs="Times New Roman" w:eastAsia="Times New Roman" w:hAnsi="Times New Roman"/>
          <w:b w:val="1"/>
          <w:color w:val="666666"/>
          <w:sz w:val="28"/>
          <w:szCs w:val="28"/>
        </w:rPr>
      </w:pPr>
      <w:r w:rsidDel="00000000" w:rsidR="00000000" w:rsidRPr="00000000">
        <w:rPr>
          <w:rFonts w:ascii="Times New Roman" w:cs="Times New Roman" w:eastAsia="Times New Roman" w:hAnsi="Times New Roman"/>
          <w:b w:val="1"/>
          <w:color w:val="666666"/>
          <w:sz w:val="28"/>
          <w:szCs w:val="28"/>
          <w:rtl w:val="0"/>
        </w:rPr>
        <w:t xml:space="preserve">HIỆN THỰC HÓA USE CASE NGHIỆP VỤ</w:t>
      </w:r>
    </w:p>
    <w:p w:rsidR="00000000" w:rsidDel="00000000" w:rsidP="00000000" w:rsidRDefault="00000000" w:rsidRPr="00000000">
      <w:pPr>
        <w:spacing w:before="400" w:line="360" w:lineRule="auto"/>
        <w:ind w:left="-180" w:firstLine="0"/>
        <w:contextualSpacing w:val="0"/>
        <w:rPr>
          <w:rFonts w:ascii="Times New Roman" w:cs="Times New Roman" w:eastAsia="Times New Roman" w:hAnsi="Times New Roman"/>
          <w:color w:val="666666"/>
          <w:sz w:val="28"/>
          <w:szCs w:val="28"/>
        </w:rPr>
      </w:pPr>
      <w:r w:rsidDel="00000000" w:rsidR="00000000" w:rsidRPr="00000000">
        <w:rPr>
          <w:rtl w:val="0"/>
        </w:rPr>
      </w:r>
    </w:p>
    <w:p w:rsidR="00000000" w:rsidDel="00000000" w:rsidP="00000000" w:rsidRDefault="00000000" w:rsidRPr="00000000">
      <w:pPr>
        <w:spacing w:before="400" w:line="360" w:lineRule="auto"/>
        <w:ind w:left="-180" w:firstLine="0"/>
        <w:contextualSpacing w:val="0"/>
        <w:rPr>
          <w:rFonts w:ascii="Times New Roman" w:cs="Times New Roman" w:eastAsia="Times New Roman" w:hAnsi="Times New Roman"/>
          <w:color w:val="666666"/>
          <w:sz w:val="28"/>
          <w:szCs w:val="28"/>
        </w:rPr>
      </w:pPr>
      <w:r w:rsidDel="00000000" w:rsidR="00000000" w:rsidRPr="00000000">
        <w:rPr>
          <w:rtl w:val="0"/>
        </w:rPr>
      </w:r>
    </w:p>
    <w:p w:rsidR="00000000" w:rsidDel="00000000" w:rsidP="00000000" w:rsidRDefault="00000000" w:rsidRPr="00000000">
      <w:pPr>
        <w:spacing w:before="400" w:line="360" w:lineRule="auto"/>
        <w:ind w:left="-180" w:firstLine="0"/>
        <w:contextualSpacing w:val="0"/>
        <w:rPr>
          <w:rFonts w:ascii="Times New Roman" w:cs="Times New Roman" w:eastAsia="Times New Roman" w:hAnsi="Times New Roman"/>
          <w:color w:val="666666"/>
          <w:sz w:val="28"/>
          <w:szCs w:val="28"/>
        </w:rPr>
      </w:pPr>
      <w:r w:rsidDel="00000000" w:rsidR="00000000" w:rsidRPr="00000000">
        <w:rPr>
          <w:rtl w:val="0"/>
        </w:rPr>
      </w:r>
    </w:p>
    <w:p w:rsidR="00000000" w:rsidDel="00000000" w:rsidP="00000000" w:rsidRDefault="00000000" w:rsidRPr="00000000">
      <w:pPr>
        <w:spacing w:before="400" w:line="360" w:lineRule="auto"/>
        <w:ind w:left="-180" w:firstLine="0"/>
        <w:contextualSpacing w:val="0"/>
        <w:rPr>
          <w:rFonts w:ascii="Times New Roman" w:cs="Times New Roman" w:eastAsia="Times New Roman" w:hAnsi="Times New Roman"/>
          <w:color w:val="666666"/>
          <w:sz w:val="28"/>
          <w:szCs w:val="28"/>
        </w:rPr>
      </w:pPr>
      <w:r w:rsidDel="00000000" w:rsidR="00000000" w:rsidRPr="00000000">
        <w:rPr>
          <w:rtl w:val="0"/>
        </w:rPr>
      </w:r>
    </w:p>
    <w:p w:rsidR="00000000" w:rsidDel="00000000" w:rsidP="00000000" w:rsidRDefault="00000000" w:rsidRPr="00000000">
      <w:pPr>
        <w:spacing w:before="400" w:line="360" w:lineRule="auto"/>
        <w:ind w:left="-180" w:firstLine="0"/>
        <w:contextualSpacing w:val="0"/>
        <w:rPr>
          <w:rFonts w:ascii="Calibri" w:cs="Calibri" w:eastAsia="Calibri" w:hAnsi="Calibri"/>
        </w:rPr>
      </w:pPr>
      <w:r w:rsidDel="00000000" w:rsidR="00000000" w:rsidRPr="00000000">
        <w:rPr>
          <w:rFonts w:ascii="Times New Roman" w:cs="Times New Roman" w:eastAsia="Times New Roman" w:hAnsi="Times New Roman"/>
          <w:color w:val="666666"/>
          <w:sz w:val="28"/>
          <w:szCs w:val="28"/>
          <w:rtl w:val="0"/>
        </w:rPr>
        <w:t xml:space="preserve">NGHIỆP VỤ MỞ NHÀ PHÂN PHỐI</w:t>
      </w:r>
      <w:r w:rsidDel="00000000" w:rsidR="00000000" w:rsidRPr="00000000">
        <w:rPr>
          <w:rtl w:val="0"/>
        </w:rPr>
      </w:r>
    </w:p>
    <w:tbl>
      <w:tblPr>
        <w:tblStyle w:val="Table2"/>
        <w:tblW w:w="10290.0" w:type="dxa"/>
        <w:jc w:val="left"/>
        <w:tblInd w:w="-390.0" w:type="dxa"/>
        <w:tblLayout w:type="fixed"/>
        <w:tblLook w:val="0000"/>
      </w:tblPr>
      <w:tblGrid>
        <w:gridCol w:w="1455"/>
        <w:gridCol w:w="8835"/>
        <w:tblGridChange w:id="0">
          <w:tblGrid>
            <w:gridCol w:w="1455"/>
            <w:gridCol w:w="8835"/>
          </w:tblGrid>
        </w:tblGridChange>
      </w:tblGrid>
      <w:tr>
        <w:tc>
          <w:tcPr>
            <w:tcBorders>
              <w:top w:color="000000" w:space="0" w:sz="4" w:val="single"/>
              <w:left w:color="000000" w:space="0" w:sz="4" w:val="single"/>
              <w:bottom w:color="000000" w:space="0" w:sz="4" w:val="single"/>
              <w:right w:color="000000" w:space="0" w:sz="4" w:val="single"/>
            </w:tcBorders>
            <w:shd w:fill="a6a6a6" w:val="clear"/>
            <w:tcMar>
              <w:left w:w="108.0" w:type="dxa"/>
              <w:right w:w="108.0" w:type="dxa"/>
            </w:tcMar>
            <w:vAlign w:val="top"/>
          </w:tcPr>
          <w:p w:rsidR="00000000" w:rsidDel="00000000" w:rsidP="00000000" w:rsidRDefault="00000000" w:rsidRPr="00000000">
            <w:pPr>
              <w:spacing w:after="120" w:before="120" w:line="276" w:lineRule="auto"/>
              <w:ind w:left="7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Use case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6a6a6" w:val="clear"/>
            <w:tcMar>
              <w:left w:w="108.0" w:type="dxa"/>
              <w:right w:w="108.0" w:type="dxa"/>
            </w:tcMar>
            <w:vAlign w:val="top"/>
          </w:tcPr>
          <w:p w:rsidR="00000000" w:rsidDel="00000000" w:rsidP="00000000" w:rsidRDefault="00000000" w:rsidRPr="00000000">
            <w:pPr>
              <w:spacing w:after="120" w:before="120" w:line="276" w:lineRule="auto"/>
              <w:ind w:left="2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Kí hợp đồng</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6a6a6" w:val="clear"/>
            <w:tcMar>
              <w:left w:w="108.0" w:type="dxa"/>
              <w:right w:w="108.0" w:type="dxa"/>
            </w:tcMar>
            <w:vAlign w:val="top"/>
          </w:tcPr>
          <w:p w:rsidR="00000000" w:rsidDel="00000000" w:rsidP="00000000" w:rsidRDefault="00000000" w:rsidRPr="00000000">
            <w:pPr>
              <w:spacing w:after="120" w:before="120" w:line="276" w:lineRule="auto"/>
              <w:ind w:left="7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Mã số</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pPr>
              <w:spacing w:after="120" w:before="120" w:line="276" w:lineRule="auto"/>
              <w:ind w:left="2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[HTHUCNV-MNPP-1]</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6a6a6" w:val="clear"/>
            <w:tcMar>
              <w:left w:w="108.0" w:type="dxa"/>
              <w:right w:w="108.0" w:type="dxa"/>
            </w:tcMar>
            <w:vAlign w:val="top"/>
          </w:tcPr>
          <w:p w:rsidR="00000000" w:rsidDel="00000000" w:rsidP="00000000" w:rsidRDefault="00000000" w:rsidRPr="00000000">
            <w:pPr>
              <w:spacing w:after="120" w:before="120" w:line="276" w:lineRule="auto"/>
              <w:ind w:left="7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Tham chiếu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pPr>
              <w:spacing w:after="120" w:before="120" w:line="276" w:lineRule="auto"/>
              <w:ind w:left="2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[UCNV-MNPP-1]</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6a6a6" w:val="clear"/>
            <w:tcMar>
              <w:left w:w="108.0" w:type="dxa"/>
              <w:right w:w="108.0" w:type="dxa"/>
            </w:tcMar>
            <w:vAlign w:val="top"/>
          </w:tcPr>
          <w:p w:rsidR="00000000" w:rsidDel="00000000" w:rsidP="00000000" w:rsidRDefault="00000000" w:rsidRPr="00000000">
            <w:pPr>
              <w:spacing w:after="120" w:before="120" w:line="276" w:lineRule="auto"/>
              <w:ind w:left="7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Mô tả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pPr>
              <w:spacing w:after="120" w:before="120" w:line="276" w:lineRule="auto"/>
              <w:ind w:left="240" w:firstLine="0"/>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170749" cy="6034088"/>
                  <wp:effectExtent b="0" l="0" r="0" t="0"/>
                  <wp:docPr descr="mo-nha-pp.jpg" id="1" name="image2.jpg"/>
                  <a:graphic>
                    <a:graphicData uri="http://schemas.openxmlformats.org/drawingml/2006/picture">
                      <pic:pic>
                        <pic:nvPicPr>
                          <pic:cNvPr descr="mo-nha-pp.jpg" id="0" name="image2.jpg"/>
                          <pic:cNvPicPr preferRelativeResize="0"/>
                        </pic:nvPicPr>
                        <pic:blipFill>
                          <a:blip r:embed="rId5"/>
                          <a:srcRect b="0" l="0" r="0" t="0"/>
                          <a:stretch>
                            <a:fillRect/>
                          </a:stretch>
                        </pic:blipFill>
                        <pic:spPr>
                          <a:xfrm>
                            <a:off x="0" y="0"/>
                            <a:ext cx="5170749" cy="6034088"/>
                          </a:xfrm>
                          <a:prstGeom prst="rect"/>
                          <a:ln/>
                        </pic:spPr>
                      </pic:pic>
                    </a:graphicData>
                  </a:graphic>
                </wp:inline>
              </w:drawing>
            </w:r>
            <w:r w:rsidDel="00000000" w:rsidR="00000000" w:rsidRPr="00000000">
              <w:rPr>
                <w:rtl w:val="0"/>
              </w:rPr>
            </w:r>
          </w:p>
        </w:tc>
      </w:tr>
    </w:tbl>
    <w:p w:rsidR="00000000" w:rsidDel="00000000" w:rsidP="00000000" w:rsidRDefault="00000000" w:rsidRPr="00000000">
      <w:pPr>
        <w:spacing w:after="200" w:before="120" w:line="276" w:lineRule="auto"/>
        <w:ind w:left="1260" w:firstLine="0"/>
        <w:contextualSpacing w:val="0"/>
        <w:rPr/>
      </w:pPr>
      <w:r w:rsidDel="00000000" w:rsidR="00000000" w:rsidRPr="00000000">
        <w:rPr>
          <w:rtl w:val="0"/>
        </w:rPr>
      </w:r>
    </w:p>
    <w:p w:rsidR="00000000" w:rsidDel="00000000" w:rsidP="00000000" w:rsidRDefault="00000000" w:rsidRPr="00000000">
      <w:pPr>
        <w:spacing w:before="400" w:line="360" w:lineRule="auto"/>
        <w:ind w:left="-15" w:firstLine="0"/>
        <w:contextualSpacing w:val="0"/>
        <w:rPr>
          <w:rFonts w:ascii="Times New Roman" w:cs="Times New Roman" w:eastAsia="Times New Roman" w:hAnsi="Times New Roman"/>
          <w:b w:val="1"/>
          <w:color w:val="666666"/>
          <w:sz w:val="28"/>
          <w:szCs w:val="28"/>
        </w:rPr>
      </w:pPr>
      <w:r w:rsidDel="00000000" w:rsidR="00000000" w:rsidRPr="00000000">
        <w:rPr>
          <w:rFonts w:ascii="Times New Roman" w:cs="Times New Roman" w:eastAsia="Times New Roman" w:hAnsi="Times New Roman"/>
          <w:b w:val="1"/>
          <w:color w:val="666666"/>
          <w:sz w:val="28"/>
          <w:szCs w:val="28"/>
          <w:rtl w:val="0"/>
        </w:rPr>
        <w:t xml:space="preserve">ĐẶC TẢ YÊU CẦU</w:t>
      </w:r>
    </w:p>
    <w:p w:rsidR="00000000" w:rsidDel="00000000" w:rsidP="00000000" w:rsidRDefault="00000000" w:rsidRPr="00000000">
      <w:pPr>
        <w:spacing w:after="200" w:before="120" w:line="276" w:lineRule="auto"/>
        <w:contextualSpacing w:val="0"/>
        <w:rPr>
          <w:rFonts w:ascii="Calibri" w:cs="Calibri" w:eastAsia="Calibri" w:hAnsi="Calibri"/>
        </w:rPr>
      </w:pPr>
      <w:r w:rsidDel="00000000" w:rsidR="00000000" w:rsidRPr="00000000">
        <w:rPr>
          <w:rtl w:val="0"/>
        </w:rPr>
      </w:r>
    </w:p>
    <w:tbl>
      <w:tblPr>
        <w:tblStyle w:val="Table3"/>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8"/>
        <w:gridCol w:w="7218"/>
        <w:tblGridChange w:id="0">
          <w:tblGrid>
            <w:gridCol w:w="1998"/>
            <w:gridCol w:w="7218"/>
          </w:tblGrid>
        </w:tblGridChange>
      </w:tblGrid>
      <w:tr>
        <w:tc>
          <w:tcPr>
            <w:gridSpan w:val="2"/>
            <w:tcBorders>
              <w:top w:color="000000" w:space="0" w:sz="4" w:val="single"/>
              <w:left w:color="000000" w:space="0" w:sz="4" w:val="single"/>
              <w:bottom w:color="000000" w:space="0" w:sz="4" w:val="single"/>
              <w:right w:color="000000" w:space="0" w:sz="4" w:val="single"/>
            </w:tcBorders>
            <w:shd w:fill="a6a6a6" w:val="clear"/>
            <w:tcMar>
              <w:top w:w="0.0" w:type="dxa"/>
              <w:left w:w="108.0" w:type="dxa"/>
              <w:bottom w:w="0.0" w:type="dxa"/>
              <w:right w:w="108.0" w:type="dxa"/>
            </w:tcMar>
          </w:tcPr>
          <w:p w:rsidR="00000000" w:rsidDel="00000000" w:rsidP="00000000" w:rsidRDefault="00000000" w:rsidRPr="00000000">
            <w:pPr>
              <w:spacing w:after="120" w:before="12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R4</w:t>
            </w:r>
          </w:p>
        </w:tc>
      </w:tr>
      <w:tr>
        <w:trPr>
          <w:trHeight w:val="540" w:hRule="atLeast"/>
        </w:trPr>
        <w:tc>
          <w:tcPr>
            <w:tcBorders>
              <w:top w:color="000000" w:space="0" w:sz="4" w:val="single"/>
              <w:left w:color="000000" w:space="0" w:sz="4" w:val="single"/>
              <w:bottom w:color="000000" w:space="0" w:sz="4" w:val="single"/>
              <w:right w:color="000000" w:space="0" w:sz="4" w:val="single"/>
            </w:tcBorders>
            <w:shd w:fill="a6a6a6" w:val="clear"/>
            <w:tcMar>
              <w:top w:w="0.0" w:type="dxa"/>
              <w:left w:w="108.0" w:type="dxa"/>
              <w:bottom w:w="0.0" w:type="dxa"/>
              <w:right w:w="108.0" w:type="dxa"/>
            </w:tcMar>
          </w:tcPr>
          <w:p w:rsidR="00000000" w:rsidDel="00000000" w:rsidP="00000000" w:rsidRDefault="00000000" w:rsidRPr="00000000">
            <w:pPr>
              <w:spacing w:after="120" w:before="12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Tham chiếu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pPr>
              <w:spacing w:after="120" w:before="12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[UCNV-MNPP-1], [HTHUCNV-MNPP-1]</w:t>
            </w:r>
          </w:p>
        </w:tc>
      </w:tr>
      <w:tr>
        <w:trPr>
          <w:trHeight w:val="1140" w:hRule="atLeast"/>
        </w:trPr>
        <w:tc>
          <w:tcPr>
            <w:tcBorders>
              <w:top w:color="000000" w:space="0" w:sz="4" w:val="single"/>
              <w:left w:color="000000" w:space="0" w:sz="4" w:val="single"/>
              <w:bottom w:color="000000" w:space="0" w:sz="4" w:val="single"/>
              <w:right w:color="000000" w:space="0" w:sz="4" w:val="single"/>
            </w:tcBorders>
            <w:shd w:fill="a6a6a6" w:val="clear"/>
            <w:tcMar>
              <w:top w:w="0.0" w:type="dxa"/>
              <w:left w:w="108.0" w:type="dxa"/>
              <w:bottom w:w="0.0" w:type="dxa"/>
              <w:right w:w="108.0" w:type="dxa"/>
            </w:tcMar>
          </w:tcPr>
          <w:p w:rsidR="00000000" w:rsidDel="00000000" w:rsidP="00000000" w:rsidRDefault="00000000" w:rsidRPr="00000000">
            <w:pPr>
              <w:spacing w:after="120" w:before="12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pPr>
              <w:spacing w:after="120" w:before="12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Tìm nhà phân phối để mở rộng thị trường. Nhân viên sẽ đến tận nơi để tìm hiểu đối tác và bàn bạc hợp tác, sau khi thành công sẽ kí hợp đồng để trở thành nhà phân phối của công ty . </w:t>
            </w:r>
          </w:p>
        </w:tc>
      </w:tr>
    </w:tbl>
    <w:p w:rsidR="00000000" w:rsidDel="00000000" w:rsidP="00000000" w:rsidRDefault="00000000" w:rsidRPr="00000000">
      <w:pPr>
        <w:spacing w:after="200" w:before="120" w:line="276" w:lineRule="auto"/>
        <w:contextualSpacing w:val="0"/>
        <w:rPr>
          <w:rFonts w:ascii="Times New Roman" w:cs="Times New Roman" w:eastAsia="Times New Roman" w:hAnsi="Times New Roman"/>
          <w:b w:val="1"/>
          <w:color w:val="666666"/>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before="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s>
</file>