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14" w:space="2" w:color="169C96"/>
        </w:pBdr>
      </w:pPr>
      <w:r>
        <w:rPr>
          <w:rFonts w:ascii="Arial" w:hAnsi="Arial"/>
          <w:b/>
          <w:color w:val="169C96"/>
          <w:sz w:val="17"/>
          <w:lang w:val="en-US"/>
        </w:rPr>
        <w:t>TERVORO RESEARCH &amp; ENGINEERING  •  UNDERGRADUATE RESEARCH PROPOSAL  •  AUGUST 2026</w:t>
      </w:r>
    </w:p>
    <w:p>
      <w:pPr>
        <w:spacing w:before="560" w:after="80"/>
      </w:pPr>
      <w:r>
        <w:rPr>
          <w:rFonts w:ascii="Arial" w:hAnsi="Arial"/>
          <w:b/>
          <w:color w:val="102A43"/>
          <w:sz w:val="58"/>
          <w:lang w:val="en-US"/>
        </w:rPr>
        <w:t>Does Structured Agent Governance</w:t>
        <w:br/>
        <w:t>Pay for Its Context?</w:t>
      </w:r>
    </w:p>
    <w:p>
      <w:pPr>
        <w:spacing w:after="320"/>
      </w:pPr>
      <w:r>
        <w:rPr>
          <w:rFonts w:ascii="Arial" w:hAnsi="Arial"/>
          <w:b/>
          <w:color w:val="169C96"/>
          <w:sz w:val="30"/>
          <w:lang w:val="en-US"/>
        </w:rPr>
        <w:t>Evaluating the Tervoro Agentic Language Harness Across Single- and Multi-Agent Architectures</w:t>
      </w: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169C96"/>
            <w:tcMar>
              <w:top w:w="0" w:type="dxa"/>
              <w:start w:w="0" w:type="dxa"/>
              <w:bottom w:w="0" w:type="dxa"/>
              <w:end w:w="0" w:type="dxa"/>
            </w:tcMar>
            <w:tcBorders>
              <w:top w:val="nil"/>
              <w:left w:val="nil"/>
              <w:bottom w:val="nil"/>
              <w:right w:val="nil"/>
            </w:tcBorders>
          </w:tcPr>
          <w:p/>
        </w:tc>
        <w:tc>
          <w:tcPr>
            <w:tcW w:type="dxa" w:w="5083"/>
            <w:shd w:fill="E9F7F6"/>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Core research question</w:t>
            </w:r>
          </w:p>
          <w:p>
            <w:pPr>
              <w:spacing w:after="0" w:line="259" w:lineRule="auto"/>
            </w:pPr>
            <w:r>
              <w:rPr>
                <w:rFonts w:ascii="Arial" w:hAnsi="Arial"/>
                <w:color w:val="27313B"/>
                <w:sz w:val="19"/>
              </w:rPr>
              <w:t>When the same five agent architectures are run with the full Tervoro Agentic Language (TAL) harness, do gains in benchmark performance, reliability, and coordination quality outweigh the extra context-window occupancy, tokens, latency, and execution steps introduced by TAL?</w:t>
            </w:r>
          </w:p>
        </w:tc>
      </w:tr>
    </w:tbl>
    <w:p>
      <w:pPr>
        <w:spacing w:after="0"/>
      </w:pPr>
    </w:p>
    <w:tbl>
      <w:tblPr>
        <w:tblW w:type="auto" w:w="0"/>
        <w:jc w:val="left"/>
        <w:tblLayout w:type="fixed"/>
        <w:tblLook w:firstColumn="1" w:firstRow="1" w:lastColumn="0" w:lastRow="0" w:noHBand="0" w:noVBand="1" w:val="04A0"/>
      </w:tblPr>
      <w:tblGrid>
        <w:gridCol w:w="2376"/>
        <w:gridCol w:w="7416"/>
      </w:tblGrid>
      <w:tr>
        <w:trPr>
          <w:cantSplit/>
        </w:trPr>
        <w:tc>
          <w:tcPr>
            <w:tcW w:type="dxa" w:w="5083"/>
            <w:tcMar>
              <w:top w:w="60" w:type="dxa"/>
              <w:start w:w="80" w:type="dxa"/>
              <w:bottom w:w="60" w:type="dxa"/>
              <w:end w:w="80" w:type="dxa"/>
            </w:tcMar>
            <w:tcBorders>
              <w:top w:val="nil"/>
              <w:left w:val="nil"/>
              <w:bottom w:val="single" w:sz="3" w:color="B7C4CF"/>
              <w:right w:val="nil"/>
            </w:tcBorders>
          </w:tcPr>
          <w:p>
            <w:r>
              <w:rPr>
                <w:rFonts w:ascii="Arial" w:hAnsi="Arial"/>
                <w:b/>
                <w:color w:val="5F6B76"/>
                <w:sz w:val="16"/>
              </w:rPr>
              <w:t>STUDENT RESEARCHER</w:t>
            </w:r>
          </w:p>
        </w:tc>
        <w:tc>
          <w:tcPr>
            <w:tcW w:type="dxa" w:w="5083"/>
            <w:tcMar>
              <w:top w:w="60" w:type="dxa"/>
              <w:start w:w="80" w:type="dxa"/>
              <w:bottom w:w="60" w:type="dxa"/>
              <w:end w:w="80" w:type="dxa"/>
            </w:tcMar>
            <w:tcBorders>
              <w:top w:val="nil"/>
              <w:left w:val="nil"/>
              <w:bottom w:val="single" w:sz="3" w:color="B7C4CF"/>
              <w:right w:val="nil"/>
            </w:tcBorders>
          </w:tcPr>
          <w:p>
            <w:r>
              <w:rPr>
                <w:rFonts w:ascii="Arial" w:hAnsi="Arial"/>
                <w:color w:val="27313B"/>
                <w:sz w:val="19"/>
              </w:rPr>
              <w:t>[Name]</w:t>
            </w:r>
          </w:p>
        </w:tc>
      </w:tr>
      <w:tr>
        <w:trPr>
          <w:cantSplit/>
        </w:trPr>
        <w:tc>
          <w:tcPr>
            <w:tcW w:type="dxa" w:w="5083"/>
            <w:tcMar>
              <w:top w:w="60" w:type="dxa"/>
              <w:start w:w="80" w:type="dxa"/>
              <w:bottom w:w="60" w:type="dxa"/>
              <w:end w:w="80" w:type="dxa"/>
            </w:tcMar>
            <w:tcBorders>
              <w:top w:val="nil"/>
              <w:left w:val="nil"/>
              <w:bottom w:val="single" w:sz="3" w:color="B7C4CF"/>
              <w:right w:val="nil"/>
            </w:tcBorders>
          </w:tcPr>
          <w:p>
            <w:r>
              <w:rPr>
                <w:rFonts w:ascii="Arial" w:hAnsi="Arial"/>
                <w:b/>
                <w:color w:val="5F6B76"/>
                <w:sz w:val="16"/>
              </w:rPr>
              <w:t>FACULTY MENTOR</w:t>
            </w:r>
          </w:p>
        </w:tc>
        <w:tc>
          <w:tcPr>
            <w:tcW w:type="dxa" w:w="5083"/>
            <w:tcMar>
              <w:top w:w="60" w:type="dxa"/>
              <w:start w:w="80" w:type="dxa"/>
              <w:bottom w:w="60" w:type="dxa"/>
              <w:end w:w="80" w:type="dxa"/>
            </w:tcMar>
            <w:tcBorders>
              <w:top w:val="nil"/>
              <w:left w:val="nil"/>
              <w:bottom w:val="single" w:sz="3" w:color="B7C4CF"/>
              <w:right w:val="nil"/>
            </w:tcBorders>
          </w:tcPr>
          <w:p>
            <w:r>
              <w:rPr>
                <w:rFonts w:ascii="Arial" w:hAnsi="Arial"/>
                <w:color w:val="27313B"/>
                <w:sz w:val="19"/>
              </w:rPr>
              <w:t>[Name / Department]</w:t>
            </w:r>
          </w:p>
        </w:tc>
      </w:tr>
      <w:tr>
        <w:trPr>
          <w:cantSplit/>
        </w:trPr>
        <w:tc>
          <w:tcPr>
            <w:tcW w:type="dxa" w:w="5083"/>
            <w:tcMar>
              <w:top w:w="60" w:type="dxa"/>
              <w:start w:w="80" w:type="dxa"/>
              <w:bottom w:w="60" w:type="dxa"/>
              <w:end w:w="80" w:type="dxa"/>
            </w:tcMar>
            <w:tcBorders>
              <w:top w:val="nil"/>
              <w:left w:val="nil"/>
              <w:bottom w:val="single" w:sz="3" w:color="B7C4CF"/>
              <w:right w:val="nil"/>
            </w:tcBorders>
          </w:tcPr>
          <w:p>
            <w:r>
              <w:rPr>
                <w:rFonts w:ascii="Arial" w:hAnsi="Arial"/>
                <w:b/>
                <w:color w:val="5F6B76"/>
                <w:sz w:val="16"/>
              </w:rPr>
              <w:t>INSTITUTION</w:t>
            </w:r>
          </w:p>
        </w:tc>
        <w:tc>
          <w:tcPr>
            <w:tcW w:type="dxa" w:w="5083"/>
            <w:tcMar>
              <w:top w:w="60" w:type="dxa"/>
              <w:start w:w="80" w:type="dxa"/>
              <w:bottom w:w="60" w:type="dxa"/>
              <w:end w:w="80" w:type="dxa"/>
            </w:tcMar>
            <w:tcBorders>
              <w:top w:val="nil"/>
              <w:left w:val="nil"/>
              <w:bottom w:val="single" w:sz="3" w:color="B7C4CF"/>
              <w:right w:val="nil"/>
            </w:tcBorders>
          </w:tcPr>
          <w:p>
            <w:r>
              <w:rPr>
                <w:rFonts w:ascii="Arial" w:hAnsi="Arial"/>
                <w:color w:val="27313B"/>
                <w:sz w:val="19"/>
              </w:rPr>
              <w:t>University of Massachusetts Dartmouth</w:t>
            </w:r>
          </w:p>
        </w:tc>
      </w:tr>
      <w:tr>
        <w:trPr>
          <w:cantSplit/>
        </w:trPr>
        <w:tc>
          <w:tcPr>
            <w:tcW w:type="dxa" w:w="5083"/>
            <w:tcMar>
              <w:top w:w="60" w:type="dxa"/>
              <w:start w:w="80" w:type="dxa"/>
              <w:bottom w:w="60" w:type="dxa"/>
              <w:end w:w="80" w:type="dxa"/>
            </w:tcMar>
            <w:tcBorders>
              <w:top w:val="nil"/>
              <w:left w:val="nil"/>
              <w:bottom w:val="single" w:sz="3" w:color="B7C4CF"/>
              <w:right w:val="nil"/>
            </w:tcBorders>
          </w:tcPr>
          <w:p>
            <w:r>
              <w:rPr>
                <w:rFonts w:ascii="Arial" w:hAnsi="Arial"/>
                <w:b/>
                <w:color w:val="5F6B76"/>
                <w:sz w:val="16"/>
              </w:rPr>
              <w:t>BUDGET CEILING</w:t>
            </w:r>
          </w:p>
        </w:tc>
        <w:tc>
          <w:tcPr>
            <w:tcW w:type="dxa" w:w="5083"/>
            <w:tcMar>
              <w:top w:w="60" w:type="dxa"/>
              <w:start w:w="80" w:type="dxa"/>
              <w:bottom w:w="60" w:type="dxa"/>
              <w:end w:w="80" w:type="dxa"/>
            </w:tcMar>
            <w:tcBorders>
              <w:top w:val="nil"/>
              <w:left w:val="nil"/>
              <w:bottom w:val="single" w:sz="3" w:color="B7C4CF"/>
              <w:right w:val="nil"/>
            </w:tcBorders>
          </w:tcPr>
          <w:p>
            <w:r>
              <w:rPr>
                <w:rFonts w:ascii="Arial" w:hAnsi="Arial"/>
                <w:color w:val="27313B"/>
                <w:sz w:val="19"/>
              </w:rPr>
              <w:t>$500</w:t>
            </w:r>
          </w:p>
        </w:tc>
      </w:tr>
      <w:tr>
        <w:trPr>
          <w:cantSplit/>
        </w:trPr>
        <w:tc>
          <w:tcPr>
            <w:tcW w:type="dxa" w:w="5083"/>
            <w:tcMar>
              <w:top w:w="60" w:type="dxa"/>
              <w:start w:w="80" w:type="dxa"/>
              <w:bottom w:w="60" w:type="dxa"/>
              <w:end w:w="80" w:type="dxa"/>
            </w:tcMar>
            <w:tcBorders>
              <w:top w:val="nil"/>
              <w:left w:val="nil"/>
              <w:bottom w:val="single" w:sz="3" w:color="B7C4CF"/>
              <w:right w:val="nil"/>
            </w:tcBorders>
          </w:tcPr>
          <w:p>
            <w:r>
              <w:rPr>
                <w:rFonts w:ascii="Arial" w:hAnsi="Arial"/>
                <w:b/>
                <w:color w:val="5F6B76"/>
                <w:sz w:val="16"/>
              </w:rPr>
              <w:t>PROPOSED PERIOD</w:t>
            </w:r>
          </w:p>
        </w:tc>
        <w:tc>
          <w:tcPr>
            <w:tcW w:type="dxa" w:w="5083"/>
            <w:tcMar>
              <w:top w:w="60" w:type="dxa"/>
              <w:start w:w="80" w:type="dxa"/>
              <w:bottom w:w="60" w:type="dxa"/>
              <w:end w:w="80" w:type="dxa"/>
            </w:tcMar>
            <w:tcBorders>
              <w:top w:val="nil"/>
              <w:left w:val="nil"/>
              <w:bottom w:val="single" w:sz="3" w:color="B7C4CF"/>
              <w:right w:val="nil"/>
            </w:tcBorders>
          </w:tcPr>
          <w:p>
            <w:r>
              <w:rPr>
                <w:rFonts w:ascii="Arial" w:hAnsi="Arial"/>
                <w:color w:val="27313B"/>
                <w:sz w:val="19"/>
              </w:rPr>
              <w:t>[Semester / Academic Year]</w:t>
            </w:r>
          </w:p>
        </w:tc>
      </w:tr>
    </w:tbl>
    <w:p>
      <w:pPr>
        <w:spacing w:before="320" w:after="80"/>
        <w:pBdr>
          <w:bottom w:val="single" w:sz="8" w:space="2" w:color="169C96"/>
        </w:pBdr>
      </w:pPr>
      <w:r>
        <w:rPr>
          <w:rFonts w:ascii="Arial" w:hAnsi="Arial"/>
          <w:b/>
          <w:color w:val="102A43"/>
          <w:sz w:val="20"/>
          <w:lang w:val="en-US"/>
        </w:rPr>
        <w:t>PROTOCOL AT A GLANCE</w:t>
      </w:r>
    </w:p>
    <w:tbl>
      <w:tblPr>
        <w:tblStyle w:val="TableGrid"/>
        <w:tblW w:type="auto" w:w="0"/>
        <w:jc w:val="center"/>
        <w:tblLayout w:type="fixed"/>
        <w:tblLook w:firstColumn="1" w:firstRow="1" w:lastColumn="0" w:lastRow="0" w:noHBand="0" w:noVBand="1" w:val="04A0"/>
      </w:tblPr>
      <w:tblGrid>
        <w:gridCol w:w="2376"/>
        <w:gridCol w:w="7416"/>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Element</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Proposed decision</w:t>
            </w:r>
          </w:p>
        </w:tc>
      </w:tr>
      <w:tr>
        <w:trPr>
          <w:cantSplit/>
        </w:trPr>
        <w:tc>
          <w:tcPr>
            <w:tcW w:type="dxa" w:w="237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Design</w:t>
            </w:r>
          </w:p>
        </w:tc>
        <w:tc>
          <w:tcPr>
            <w:tcW w:type="dxa" w:w="74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Five architectures × two execution conditions, paired by task</w:t>
            </w:r>
          </w:p>
        </w:tc>
      </w:tr>
      <w:tr>
        <w:trPr>
          <w:cantSplit/>
        </w:trPr>
        <w:tc>
          <w:tcPr>
            <w:tcW w:type="dxa" w:w="237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Architectures</w:t>
            </w:r>
          </w:p>
        </w:tc>
        <w:tc>
          <w:tcPr>
            <w:tcW w:type="dxa" w:w="74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Single, Independent, Centralized, Decentralized, Hybrid</w:t>
            </w:r>
          </w:p>
        </w:tc>
      </w:tr>
      <w:tr>
        <w:trPr>
          <w:cantSplit/>
        </w:trPr>
        <w:tc>
          <w:tcPr>
            <w:tcW w:type="dxa" w:w="237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benchmarks</w:t>
            </w:r>
          </w:p>
        </w:tc>
        <w:tc>
          <w:tcPr>
            <w:tcW w:type="dxa" w:w="74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Finance-Agent and PlanCraft</w:t>
            </w:r>
          </w:p>
        </w:tc>
      </w:tr>
      <w:tr>
        <w:trPr>
          <w:cantSplit/>
        </w:trPr>
        <w:tc>
          <w:tcPr>
            <w:tcW w:type="dxa" w:w="237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sample</w:t>
            </w:r>
          </w:p>
        </w:tc>
        <w:tc>
          <w:tcPr>
            <w:tcW w:type="dxa" w:w="74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 fixed instances per benchmark; 1,000 main episodes</w:t>
            </w:r>
          </w:p>
        </w:tc>
      </w:tr>
      <w:tr>
        <w:trPr>
          <w:cantSplit/>
        </w:trPr>
        <w:tc>
          <w:tcPr>
            <w:tcW w:type="dxa" w:w="237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model</w:t>
            </w:r>
          </w:p>
        </w:tc>
        <w:tc>
          <w:tcPr>
            <w:tcW w:type="dxa" w:w="74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One model from the original paper pool, selected and frozen after pilot</w:t>
            </w:r>
          </w:p>
        </w:tc>
      </w:tr>
      <w:tr>
        <w:trPr>
          <w:cantSplit/>
        </w:trPr>
        <w:tc>
          <w:tcPr>
            <w:tcW w:type="dxa" w:w="237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resource regime</w:t>
            </w:r>
          </w:p>
        </w:tc>
        <w:tc>
          <w:tcPr>
            <w:tcW w:type="dxa" w:w="74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Matched aggregate generated-token budget; TAL input overhead fully counted</w:t>
            </w:r>
          </w:p>
        </w:tc>
      </w:tr>
      <w:tr>
        <w:trPr>
          <w:cantSplit/>
        </w:trPr>
        <w:tc>
          <w:tcPr>
            <w:tcW w:type="dxa" w:w="237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Sensitivity regime</w:t>
            </w:r>
          </w:p>
        </w:tc>
        <w:tc>
          <w:tcPr>
            <w:tcW w:type="dxa" w:w="74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Strict total-token budget on a pre-registered subset</w:t>
            </w:r>
          </w:p>
        </w:tc>
      </w:tr>
      <w:tr>
        <w:trPr>
          <w:cantSplit/>
        </w:trPr>
        <w:tc>
          <w:tcPr>
            <w:tcW w:type="dxa" w:w="237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outcome</w:t>
            </w:r>
          </w:p>
        </w:tc>
        <w:tc>
          <w:tcPr>
            <w:tcW w:type="dxa" w:w="74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Benchmark-native per-instance score, normalized to [0,1]</w:t>
            </w:r>
          </w:p>
        </w:tc>
      </w:tr>
      <w:tr>
        <w:trPr>
          <w:cantSplit/>
        </w:trPr>
        <w:tc>
          <w:tcPr>
            <w:tcW w:type="dxa" w:w="237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interaction</w:t>
            </w:r>
          </w:p>
        </w:tc>
        <w:tc>
          <w:tcPr>
            <w:tcW w:type="dxa" w:w="74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 architecture, with benchmark-specific contrasts</w:t>
            </w:r>
          </w:p>
        </w:tc>
      </w:tr>
    </w:tbl>
    <w:p>
      <w:pPr>
        <w:spacing w:after="0"/>
      </w:pPr>
    </w:p>
    <w:p>
      <w:pPr>
        <w:spacing w:before="200"/>
        <w:jc w:val="center"/>
      </w:pPr>
      <w:r>
        <w:rPr>
          <w:rFonts w:ascii="Arial" w:hAnsi="Arial"/>
          <w:i/>
          <w:color w:val="5F6B76"/>
          <w:sz w:val="18"/>
          <w:lang w:val="en-US"/>
        </w:rPr>
        <w:t>Prepared for faculty review and protocol refinement</w:t>
      </w:r>
    </w:p>
    <w:p>
      <w:r>
        <w:rPr>
          <w:lang w:val="en-US"/>
        </w:rPr>
        <w:br w:type="page"/>
      </w:r>
    </w:p>
    <w:p>
      <w:pPr>
        <w:pStyle w:val="Heading1"/>
        <w:spacing w:before="200" w:after="80"/>
        <w:keepNext/>
      </w:pPr>
      <w:r>
        <w:rPr>
          <w:rFonts w:ascii="Arial" w:hAnsi="Arial"/>
          <w:b/>
          <w:color w:val="102A43"/>
          <w:sz w:val="32"/>
          <w:lang w:val="en-US"/>
        </w:rPr>
        <w:t>Executive Summary</w:t>
      </w:r>
    </w:p>
    <w:p>
      <w:pPr>
        <w:spacing w:after="120" w:line="269" w:lineRule="auto"/>
        <w:keepLines/>
      </w:pPr>
      <w:r>
        <w:rPr>
          <w:rFonts w:ascii="Arial" w:hAnsi="Arial"/>
          <w:color w:val="27313B"/>
          <w:sz w:val="20"/>
          <w:lang w:val="en-US"/>
        </w:rPr>
        <w:t>Kim et al. evaluated 260 configurations across six agentic benchmarks, five canonical architectures, and three model families. Their controlled study found that multi-agent coordination can produce large gains on decomposable tasks and severe losses on sequential tasks, with relative changes ranging from +80.8% to -70.0%. The authors attribute these differences to architecture-task alignment, coordination overhead, error propagation, and the fragmentation of a fixed reasoning budget [1].</w:t>
      </w:r>
    </w:p>
    <w:p>
      <w:pPr>
        <w:spacing w:after="120" w:line="269" w:lineRule="auto"/>
        <w:keepLines/>
      </w:pPr>
      <w:r>
        <w:rPr>
          <w:rFonts w:ascii="Arial" w:hAnsi="Arial"/>
          <w:color w:val="27313B"/>
          <w:sz w:val="20"/>
          <w:lang w:val="en-US"/>
        </w:rPr>
        <w:t>This project proposes a direct system-level follow-up. The original Single-Agent, Independent, Centralized, Decentralized, and Hybrid configurations will each be run in two paired conditions: the repository’s ordinary execution path and a TAL-governed execution path. The same task instance, model, architecture, tools, initial environment state, communication topology, and aggregate resource limits will be used in each pair. The intervention is the complete TAL language-and-harness system rather than TAL vocabulary in isolation.</w:t>
      </w:r>
    </w:p>
    <w:p>
      <w:pPr>
        <w:spacing w:after="120" w:line="269" w:lineRule="auto"/>
        <w:keepLines/>
      </w:pPr>
      <w:r>
        <w:rPr>
          <w:rFonts w:ascii="Arial" w:hAnsi="Arial"/>
          <w:color w:val="27313B"/>
          <w:sz w:val="20"/>
          <w:lang w:val="en-US"/>
        </w:rPr>
        <w:t>TAL is defined as a controlled semantic protocol backed by a deterministic harness. The model receives a compact grammar sheet and versioned context packet, returns one typed proposal, and cannot directly authorize tools, mutate state, or declare completion. The harness validates structure, references, capabilities, state transitions, budgets, tool arguments, idempotency, and completion evidence [3]. This structure may prevent wasted recovery, malformed operations, unsupported completion, and error propagation. It also creates real overhead through repeated grammar instructions, schemas, manifests, event summaries, validation cycles, and possible extra calls.</w:t>
      </w:r>
    </w:p>
    <w:p>
      <w:pPr>
        <w:spacing w:after="120" w:line="269" w:lineRule="auto"/>
        <w:keepLines/>
      </w:pPr>
      <w:r>
        <w:rPr>
          <w:rFonts w:ascii="Arial" w:hAnsi="Arial"/>
          <w:color w:val="27313B"/>
          <w:sz w:val="20"/>
          <w:lang w:val="en-US"/>
        </w:rPr>
        <w:t>The main experiment will use 50 Finance-Agent instances and 50 PlanCraft instances. Every instance will be run across ten architecture-condition cells, producing 1,000 primary episodes. Finance-Agent represents a decomposable regime in which the original study observed strong multi-agent gains; PlanCraft represents a sequential regime in which all multi-agent variants degraded. The primary model will be selected from the original paper’s model pool after a small pilot and then frozen. GPT-5 mini and Gemini 2.5 Flash are current low-cost candidates that remain available through their official APIs [4,5].</w:t>
      </w:r>
    </w:p>
    <w:p>
      <w:pPr>
        <w:spacing w:after="120" w:line="269" w:lineRule="auto"/>
        <w:keepLines/>
      </w:pPr>
      <w:r>
        <w:rPr>
          <w:rFonts w:ascii="Arial" w:hAnsi="Arial"/>
          <w:color w:val="27313B"/>
          <w:sz w:val="20"/>
          <w:lang w:val="en-US"/>
        </w:rPr>
        <w:t>The primary analysis will match aggregate generated reasoning/output allowance between ordinary and TAL conditions. TAL’s extra input tokens will not be ignored: they will be measured as context occupancy, token usage, latency, and monetary cost. A strict total-token sensitivity study will then test whether TAL still helps when its own grammar and state packets directly compete with reasoning for a fixed total budget. The study will report score gain, success per million tokens, cost per successful task, invalid proposal rate, recovery burden, context truncation, and architecture-specific overhead.</w:t>
      </w: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D9A441"/>
            <w:tcMar>
              <w:top w:w="0" w:type="dxa"/>
              <w:start w:w="0" w:type="dxa"/>
              <w:bottom w:w="0" w:type="dxa"/>
              <w:end w:w="0" w:type="dxa"/>
            </w:tcMar>
            <w:tcBorders>
              <w:top w:val="nil"/>
              <w:left w:val="nil"/>
              <w:bottom w:val="nil"/>
              <w:right w:val="nil"/>
            </w:tcBorders>
          </w:tcPr>
          <w:p/>
        </w:tc>
        <w:tc>
          <w:tcPr>
            <w:tcW w:type="dxa" w:w="5083"/>
            <w:shd w:fill="FFF8E8"/>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Interpretive standard</w:t>
            </w:r>
          </w:p>
          <w:p>
            <w:pPr>
              <w:spacing w:after="0" w:line="259" w:lineRule="auto"/>
            </w:pPr>
            <w:r>
              <w:rPr>
                <w:rFonts w:ascii="Arial" w:hAnsi="Arial"/>
                <w:color w:val="27313B"/>
                <w:sz w:val="19"/>
              </w:rPr>
              <w:t>TAL will be considered to “pay for its context” only when its performance or reliability gain is large enough to justify the additional input, calls, latency, or cost. A positive score with lower efficiency will be reported as a capability-cost trade-off, not as an unconditional success.</w:t>
            </w:r>
          </w:p>
        </w:tc>
      </w:tr>
    </w:tbl>
    <w:p>
      <w:pPr>
        <w:spacing w:after="0"/>
      </w:pPr>
    </w:p>
    <w:p>
      <w:pPr>
        <w:pStyle w:val="Heading2"/>
        <w:spacing w:before="140" w:after="80"/>
        <w:keepNext/>
      </w:pPr>
      <w:r>
        <w:rPr>
          <w:rFonts w:ascii="Arial" w:hAnsi="Arial"/>
          <w:b/>
          <w:color w:val="169C96"/>
          <w:sz w:val="24"/>
          <w:lang w:val="en-US"/>
        </w:rPr>
        <w:t>Project Contribution</w:t>
      </w:r>
    </w:p>
    <w:p>
      <w:pPr>
        <w:spacing w:after="120" w:line="269" w:lineRule="auto"/>
        <w:keepLines/>
      </w:pPr>
      <w:r>
        <w:rPr>
          <w:rFonts w:ascii="Arial" w:hAnsi="Arial"/>
          <w:color w:val="27313B"/>
          <w:sz w:val="20"/>
          <w:lang w:val="en-US"/>
        </w:rPr>
        <w:t>The proposed contribution is not a new universal scaling law. It is a controlled mechanism study asking whether structured agent governance changes the scaling behavior of existing architectures. The strongest possible finding would be that TAL improves the performance-cost frontier of particular architectures and task structures. An equally useful negative finding would identify where fixed grammar and validation overhead outweigh the reliability benefit.</w:t>
      </w:r>
    </w:p>
    <w:p>
      <w:pPr>
        <w:pStyle w:val="Heading1"/>
        <w:pageBreakBefore/>
        <w:spacing w:before="200" w:after="80"/>
        <w:keepNext/>
      </w:pPr>
      <w:r>
        <w:rPr>
          <w:rFonts w:ascii="Arial" w:hAnsi="Arial"/>
          <w:b/>
          <w:color w:val="102A43"/>
          <w:sz w:val="32"/>
          <w:lang w:val="en-US"/>
        </w:rPr>
        <w:t>Contents</w:t>
      </w:r>
    </w:p>
    <w:p>
      <w:pPr>
        <w:spacing w:after="120" w:line="269" w:lineRule="auto"/>
        <w:keepLines/>
      </w:pPr>
      <w:r>
        <w:rPr>
          <w:rFonts w:ascii="Arial" w:hAnsi="Arial"/>
          <w:color w:val="27313B"/>
          <w:sz w:val="20"/>
          <w:lang w:val="en-US"/>
        </w:rPr>
        <w:t>The proposal is organized as a faculty-review document. Major research blocks begin on new pages so the research question, experimental controls, overhead accounting, and interpretation rules can be reviewed independently.</w:t>
      </w:r>
    </w:p>
    <w:tbl>
      <w:tblPr>
        <w:tblStyle w:val="TableGrid"/>
        <w:tblW w:type="auto" w:w="0"/>
        <w:jc w:val="center"/>
        <w:tblLayout w:type="fixed"/>
        <w:tblLook w:firstColumn="1" w:firstRow="1" w:lastColumn="0" w:lastRow="0" w:noHBand="0" w:noVBand="1" w:val="04A0"/>
      </w:tblPr>
      <w:tblGrid>
        <w:gridCol w:w="1944"/>
        <w:gridCol w:w="7848"/>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Section</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Topic</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Background and Rationale</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2</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Scope, Claims, and Non-Claims</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3</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Research Questions and Hypotheses</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4</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Experimental Design</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Definition of the TAL Treatment</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6</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Benchmarks and Instance Selection</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7</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Model Selection and Resource Matching</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8</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Outcomes and Measurements</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9</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Statistical Analysis Plan</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10</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Pilot, Certification, and Reproducibility</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11</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Budget and Feasibility</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12</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Proposed Schedule</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13</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Risks, Limitations, and Interpretation</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14</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Expected Deliverables</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15</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Conclusion</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Appendix A</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Exact Experimental Matrix</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Appendix B</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Minimum Overhead-Ledger Schema</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Appendix C</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Preregistration Checklist</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Appendix D</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References</w:t>
            </w:r>
          </w:p>
        </w:tc>
      </w:tr>
    </w:tbl>
    <w:p>
      <w:pPr>
        <w:spacing w:after="0"/>
      </w:pP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169C96"/>
            <w:tcMar>
              <w:top w:w="0" w:type="dxa"/>
              <w:start w:w="0" w:type="dxa"/>
              <w:bottom w:w="0" w:type="dxa"/>
              <w:end w:w="0" w:type="dxa"/>
            </w:tcMar>
            <w:tcBorders>
              <w:top w:val="nil"/>
              <w:left w:val="nil"/>
              <w:bottom w:val="nil"/>
              <w:right w:val="nil"/>
            </w:tcBorders>
          </w:tcPr>
          <w:p/>
        </w:tc>
        <w:tc>
          <w:tcPr>
            <w:tcW w:type="dxa" w:w="5083"/>
            <w:shd w:fill="E9F7F6"/>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Core design in one sentence</w:t>
            </w:r>
          </w:p>
          <w:p>
            <w:pPr>
              <w:spacing w:after="0" w:line="259" w:lineRule="auto"/>
            </w:pPr>
            <w:r>
              <w:rPr>
                <w:rFonts w:ascii="Arial" w:hAnsi="Arial"/>
                <w:color w:val="27313B"/>
                <w:sz w:val="19"/>
              </w:rPr>
              <w:t>Run the same five architecture configurations with and without the complete TAL harness, measure every added context and execution cost, and determine whether the resulting performance or reliability benefit justifies that overhead.</w:t>
            </w:r>
          </w:p>
        </w:tc>
      </w:tr>
    </w:tbl>
    <w:p>
      <w:pPr>
        <w:spacing w:after="0"/>
      </w:pPr>
    </w:p>
    <w:p>
      <w:pPr>
        <w:pStyle w:val="Heading1"/>
        <w:pageBreakBefore/>
        <w:spacing w:before="200" w:after="80"/>
        <w:keepNext/>
      </w:pPr>
      <w:r>
        <w:rPr>
          <w:rFonts w:ascii="Arial" w:hAnsi="Arial"/>
          <w:b/>
          <w:color w:val="102A43"/>
          <w:sz w:val="32"/>
          <w:lang w:val="en-US"/>
        </w:rPr>
        <w:t>1. Background and Rationale</w:t>
      </w:r>
    </w:p>
    <w:p>
      <w:pPr>
        <w:pStyle w:val="Heading2"/>
        <w:spacing w:before="140" w:after="80"/>
        <w:keepNext/>
      </w:pPr>
      <w:r>
        <w:rPr>
          <w:rFonts w:ascii="Arial" w:hAnsi="Arial"/>
          <w:b/>
          <w:color w:val="169C96"/>
          <w:sz w:val="24"/>
          <w:lang w:val="en-US"/>
        </w:rPr>
        <w:t>1.1 Findings from the original agent-scaling study</w:t>
      </w:r>
    </w:p>
    <w:p>
      <w:pPr>
        <w:spacing w:after="120" w:line="269" w:lineRule="auto"/>
        <w:keepLines/>
      </w:pPr>
      <w:r>
        <w:rPr>
          <w:rFonts w:ascii="Arial" w:hAnsi="Arial"/>
          <w:color w:val="27313B"/>
          <w:sz w:val="20"/>
          <w:lang w:val="en-US"/>
        </w:rPr>
        <w:t>The original study treated an agent system as a combination of agents, environment, communication topology, and orchestration policy. It compared a single reasoning locus with four multi-agent structures: Independent aggregation, Centralized orchestration, Decentralized peer communication, and Hybrid hierarchy plus lateral communication [1]. The accompanying repository exposes all five configurations and identifies release tag v2.1.3 as the manuscript release [2].</w:t>
      </w:r>
    </w:p>
    <w:p>
      <w:pPr>
        <w:spacing w:after="120" w:line="269" w:lineRule="auto"/>
        <w:keepLines/>
      </w:pPr>
      <w:r>
        <w:rPr>
          <w:rFonts w:ascii="Arial" w:hAnsi="Arial"/>
          <w:color w:val="27313B"/>
          <w:sz w:val="20"/>
          <w:lang w:val="en-US"/>
        </w:rPr>
        <w:t>The study standardized task prompts, tools, and compute to isolate architectural effects. Across the tested configurations, all systems were matched to approximately 4,800 reasoning tokens per trial. Coordination turns and overhead grew sharply with architecture complexity: Independent systems averaged fewer turns than the communicating systems, while Hybrid systems had the highest average turn count and lowest success per thousand tokens [1].</w:t>
      </w:r>
    </w:p>
    <w:p>
      <w:pPr>
        <w:spacing w:after="120" w:line="269" w:lineRule="auto"/>
        <w:keepLines/>
      </w:pPr>
      <w:r>
        <w:rPr>
          <w:rFonts w:ascii="Arial" w:hAnsi="Arial"/>
          <w:color w:val="27313B"/>
          <w:sz w:val="20"/>
          <w:lang w:val="en-US"/>
        </w:rPr>
        <w:t>Two benchmark regimes are especially useful for a focused follow-up. Finance-Agent produced the strongest multi-agent gains, with centralized coordination reaching the largest reported relative improvement. PlanCraft produced consistent degradation across every multi-agent architecture. These opposite regimes allow the proposed study to ask whether TAL preserves beneficial coordination, reduces harmful coordination, or simply adds another layer of overhead.</w:t>
      </w:r>
    </w:p>
    <w:p>
      <w:pPr>
        <w:pStyle w:val="Heading2"/>
        <w:spacing w:before="140" w:after="80"/>
        <w:keepNext/>
      </w:pPr>
      <w:r>
        <w:rPr>
          <w:rFonts w:ascii="Arial" w:hAnsi="Arial"/>
          <w:b/>
          <w:color w:val="169C96"/>
          <w:sz w:val="24"/>
          <w:lang w:val="en-US"/>
        </w:rPr>
        <w:t>1.2 The unresolved question</w:t>
      </w:r>
    </w:p>
    <w:p>
      <w:pPr>
        <w:spacing w:after="120" w:line="269" w:lineRule="auto"/>
        <w:keepLines/>
      </w:pPr>
      <w:r>
        <w:rPr>
          <w:rFonts w:ascii="Arial" w:hAnsi="Arial"/>
          <w:color w:val="27313B"/>
          <w:sz w:val="20"/>
          <w:lang w:val="en-US"/>
        </w:rPr>
        <w:t>The original study evaluated natural-language, token-mediated coordination. It did not test a language-and-runtime system that separates reported claims from verified evidence, requested actions from effective authority, model proposals from accepted state changes, and model-declared completion from independently verified completion. TAL is designed around precisely those distinctions [3].</w:t>
      </w:r>
    </w:p>
    <w:p>
      <w:pPr>
        <w:spacing w:after="120" w:line="269" w:lineRule="auto"/>
        <w:keepLines/>
      </w:pPr>
      <w:r>
        <w:rPr>
          <w:rFonts w:ascii="Arial" w:hAnsi="Arial"/>
          <w:color w:val="27313B"/>
          <w:sz w:val="20"/>
          <w:lang w:val="en-US"/>
        </w:rPr>
        <w:t>The follow-up question is therefore not whether more agents are better. It is whether a governed execution layer can alter the cost-benefit balance of architectures that otherwise suffer from lossy handoffs, malformed operations, repeated work, stale state, or unsupported completion.</w:t>
      </w:r>
    </w:p>
    <w:p>
      <w:pPr>
        <w:pStyle w:val="Heading2"/>
        <w:spacing w:before="140" w:after="80"/>
        <w:keepNext/>
      </w:pPr>
      <w:r>
        <w:rPr>
          <w:rFonts w:ascii="Arial" w:hAnsi="Arial"/>
          <w:b/>
          <w:color w:val="169C96"/>
          <w:sz w:val="24"/>
          <w:lang w:val="en-US"/>
        </w:rPr>
        <w:t>1.3 Why context overhead is central</w:t>
      </w:r>
    </w:p>
    <w:p>
      <w:pPr>
        <w:spacing w:after="120" w:line="269" w:lineRule="auto"/>
        <w:keepLines/>
      </w:pPr>
      <w:r>
        <w:rPr>
          <w:rFonts w:ascii="Arial" w:hAnsi="Arial"/>
          <w:color w:val="27313B"/>
          <w:sz w:val="20"/>
          <w:lang w:val="en-US"/>
        </w:rPr>
        <w:t>TAL cannot be evaluated fairly by reporting accuracy alone. Every TAL call carries a protocol cost. The model-facing packet includes a compact grammar and behavior contract, validated task manifest, current state and budgets, effective capabilities, relevant evidence and unknowns, recent accepted or rejected events, and the response schema [3]. Those tokens occupy the context window even when provider-side caching lowers their monetary price.</w:t>
      </w:r>
    </w:p>
    <w:p>
      <w:pPr>
        <w:spacing w:after="120" w:line="269" w:lineRule="auto"/>
        <w:keepLines/>
      </w:pPr>
      <w:r>
        <w:rPr>
          <w:rFonts w:ascii="Arial" w:hAnsi="Arial"/>
          <w:color w:val="27313B"/>
          <w:sz w:val="20"/>
          <w:lang w:val="en-US"/>
        </w:rPr>
        <w:t>The experiment must therefore measure both sides of the trade-off: the cost of adding structure and the value created by that structure. TAL may increase input size and model-call count while reducing retries, malformed tool calls, duplicated investigation, false completion, and recovery after invalid actions. Whether it pays for itself is an empirical question.</w:t>
      </w: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102A43"/>
            <w:tcMar>
              <w:top w:w="0" w:type="dxa"/>
              <w:start w:w="0" w:type="dxa"/>
              <w:bottom w:w="0" w:type="dxa"/>
              <w:end w:w="0" w:type="dxa"/>
            </w:tcMar>
            <w:tcBorders>
              <w:top w:val="nil"/>
              <w:left w:val="nil"/>
              <w:bottom w:val="nil"/>
              <w:right w:val="nil"/>
            </w:tcBorders>
          </w:tcPr>
          <w:p/>
        </w:tc>
        <w:tc>
          <w:tcPr>
            <w:tcW w:type="dxa" w:w="5083"/>
            <w:shd w:fill="EDF4FA"/>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Primary research claim</w:t>
            </w:r>
          </w:p>
          <w:p>
            <w:pPr>
              <w:spacing w:after="0" w:line="259" w:lineRule="auto"/>
            </w:pPr>
            <w:r>
              <w:rPr>
                <w:rFonts w:ascii="Arial" w:hAnsi="Arial"/>
                <w:color w:val="27313B"/>
                <w:sz w:val="19"/>
              </w:rPr>
              <w:t>The complete TAL harness may improve the end-to-end performance and reliability of existing agent architectures enough to justify its context-window, token, latency, and execution overhead.</w:t>
            </w:r>
          </w:p>
        </w:tc>
      </w:tr>
    </w:tbl>
    <w:p>
      <w:pPr>
        <w:spacing w:after="0"/>
      </w:pPr>
    </w:p>
    <w:p>
      <w:pPr>
        <w:pStyle w:val="Heading1"/>
        <w:spacing w:before="200" w:after="80"/>
        <w:keepNext/>
      </w:pPr>
      <w:r>
        <w:rPr>
          <w:rFonts w:ascii="Arial" w:hAnsi="Arial"/>
          <w:b/>
          <w:color w:val="102A43"/>
          <w:sz w:val="32"/>
          <w:lang w:val="en-US"/>
        </w:rPr>
        <w:t>2. Scope, Claims, and Non-Claims</w:t>
      </w:r>
    </w:p>
    <w:p>
      <w:pPr>
        <w:pStyle w:val="Heading2"/>
        <w:spacing w:before="140" w:after="80"/>
        <w:keepNext/>
      </w:pPr>
      <w:r>
        <w:rPr>
          <w:rFonts w:ascii="Arial" w:hAnsi="Arial"/>
          <w:b/>
          <w:color w:val="169C96"/>
          <w:sz w:val="24"/>
          <w:lang w:val="en-US"/>
        </w:rPr>
        <w:t>2.1 System-level treatment</w:t>
      </w:r>
    </w:p>
    <w:p>
      <w:pPr>
        <w:spacing w:after="120" w:line="269" w:lineRule="auto"/>
        <w:keepLines/>
      </w:pPr>
      <w:r>
        <w:rPr>
          <w:rFonts w:ascii="Arial" w:hAnsi="Arial"/>
          <w:color w:val="27313B"/>
          <w:sz w:val="20"/>
          <w:lang w:val="en-US"/>
        </w:rPr>
        <w:t>The treatment is the full TAL system: grammar sheet, canonical context packet, typed proposal schema, deterministic validation, capability checks, action gate, event/state recording, and completion verification. This is consistent with the TAL specification’s harness-first thesis: the language communicates meaning, while the runtime gives that meaning enforceable consequences [3].</w:t>
      </w:r>
    </w:p>
    <w:p>
      <w:pPr>
        <w:spacing w:after="120" w:line="269" w:lineRule="auto"/>
        <w:keepLines/>
      </w:pPr>
      <w:r>
        <w:rPr>
          <w:rFonts w:ascii="Arial" w:hAnsi="Arial"/>
          <w:color w:val="27313B"/>
          <w:sz w:val="20"/>
          <w:lang w:val="en-US"/>
        </w:rPr>
        <w:t>Because the treatment is bundled, a positive result will support a system-level claim about TAL as a governed runtime. It will not isolate whether the improvement came from vocabulary, schema, evidence labels, permissions, state management, or completion verification. A later ablation can separate those mechanisms.</w:t>
      </w:r>
    </w:p>
    <w:p>
      <w:pPr>
        <w:pStyle w:val="Heading2"/>
        <w:spacing w:before="140" w:after="80"/>
        <w:keepNext/>
      </w:pPr>
      <w:r>
        <w:rPr>
          <w:rFonts w:ascii="Arial" w:hAnsi="Arial"/>
          <w:b/>
          <w:color w:val="169C96"/>
          <w:sz w:val="24"/>
          <w:lang w:val="en-US"/>
        </w:rPr>
        <w:t>2.2 Claims the experiment can support</w:t>
      </w:r>
    </w:p>
    <w:p>
      <w:pPr>
        <w:pStyle w:val="ListBullet"/>
        <w:spacing w:after="50" w:line="259" w:lineRule="auto"/>
      </w:pPr>
      <w:r>
        <w:rPr>
          <w:rFonts w:ascii="Arial" w:hAnsi="Arial"/>
          <w:color w:val="27313B"/>
          <w:sz w:val="20"/>
          <w:lang w:val="en-US"/>
        </w:rPr>
        <w:t>The net effect of adding TAL to the five tested architectures on the selected model and benchmarks.</w:t>
      </w:r>
    </w:p>
    <w:p>
      <w:pPr>
        <w:pStyle w:val="ListBullet"/>
        <w:spacing w:after="50" w:line="259" w:lineRule="auto"/>
      </w:pPr>
      <w:r>
        <w:rPr>
          <w:rFonts w:ascii="Arial" w:hAnsi="Arial"/>
          <w:color w:val="27313B"/>
          <w:sz w:val="20"/>
          <w:lang w:val="en-US"/>
        </w:rPr>
        <w:t>Whether performance gains are large enough to offset measured context, token, latency, and cost overhead.</w:t>
      </w:r>
    </w:p>
    <w:p>
      <w:pPr>
        <w:pStyle w:val="ListBullet"/>
        <w:spacing w:after="50" w:line="259" w:lineRule="auto"/>
      </w:pPr>
      <w:r>
        <w:rPr>
          <w:rFonts w:ascii="Arial" w:hAnsi="Arial"/>
          <w:color w:val="27313B"/>
          <w:sz w:val="20"/>
          <w:lang w:val="en-US"/>
        </w:rPr>
        <w:t>Whether the TAL effect differs by architecture and by decomposable versus sequential task structure.</w:t>
      </w:r>
    </w:p>
    <w:p>
      <w:pPr>
        <w:pStyle w:val="ListBullet"/>
        <w:spacing w:after="50" w:line="259" w:lineRule="auto"/>
      </w:pPr>
      <w:r>
        <w:rPr>
          <w:rFonts w:ascii="Arial" w:hAnsi="Arial"/>
          <w:color w:val="27313B"/>
          <w:sz w:val="20"/>
          <w:lang w:val="en-US"/>
        </w:rPr>
        <w:t>Whether TAL changes process failures such as malformed operations, unsupported completion, stale-state use, or recovery burden.</w:t>
      </w:r>
    </w:p>
    <w:p>
      <w:pPr>
        <w:pStyle w:val="Heading2"/>
        <w:spacing w:before="140" w:after="80"/>
        <w:keepNext/>
      </w:pPr>
      <w:r>
        <w:rPr>
          <w:rFonts w:ascii="Arial" w:hAnsi="Arial"/>
          <w:b/>
          <w:color w:val="169C96"/>
          <w:sz w:val="24"/>
          <w:lang w:val="en-US"/>
        </w:rPr>
        <w:t>2.3 Claims the experiment cannot support</w:t>
      </w:r>
    </w:p>
    <w:p>
      <w:pPr>
        <w:pStyle w:val="ListBullet"/>
        <w:spacing w:after="50" w:line="259" w:lineRule="auto"/>
      </w:pPr>
      <w:r>
        <w:rPr>
          <w:rFonts w:ascii="Arial" w:hAnsi="Arial"/>
          <w:color w:val="27313B"/>
          <w:sz w:val="20"/>
          <w:lang w:val="en-US"/>
        </w:rPr>
        <w:t>That TAL vocabulary alone caused any improvement.</w:t>
      </w:r>
    </w:p>
    <w:p>
      <w:pPr>
        <w:pStyle w:val="ListBullet"/>
        <w:spacing w:after="50" w:line="259" w:lineRule="auto"/>
      </w:pPr>
      <w:r>
        <w:rPr>
          <w:rFonts w:ascii="Arial" w:hAnsi="Arial"/>
          <w:color w:val="27313B"/>
          <w:sz w:val="20"/>
          <w:lang w:val="en-US"/>
        </w:rPr>
        <w:t>That TAL universally improves all models, benchmarks, or multi-agent systems.</w:t>
      </w:r>
    </w:p>
    <w:p>
      <w:pPr>
        <w:pStyle w:val="ListBullet"/>
        <w:spacing w:after="50" w:line="259" w:lineRule="auto"/>
      </w:pPr>
      <w:r>
        <w:rPr>
          <w:rFonts w:ascii="Arial" w:hAnsi="Arial"/>
          <w:color w:val="27313B"/>
          <w:sz w:val="20"/>
          <w:lang w:val="en-US"/>
        </w:rPr>
        <w:t>That the study establishes a universal law of agent scaling.</w:t>
      </w:r>
    </w:p>
    <w:p>
      <w:pPr>
        <w:pStyle w:val="ListBullet"/>
        <w:spacing w:after="50" w:line="259" w:lineRule="auto"/>
      </w:pPr>
      <w:r>
        <w:rPr>
          <w:rFonts w:ascii="Arial" w:hAnsi="Arial"/>
          <w:color w:val="27313B"/>
          <w:sz w:val="20"/>
          <w:lang w:val="en-US"/>
        </w:rPr>
        <w:t>That a safe harness guarantees correct inference, optimal plans, or truthful summaries; the TAL specification explicitly excludes those guarantees [3].</w:t>
      </w:r>
    </w:p>
    <w:p>
      <w:pPr>
        <w:pStyle w:val="Heading2"/>
        <w:spacing w:before="140" w:after="80"/>
        <w:keepNext/>
      </w:pPr>
      <w:r>
        <w:rPr>
          <w:rFonts w:ascii="Arial" w:hAnsi="Arial"/>
          <w:b/>
          <w:color w:val="169C96"/>
          <w:sz w:val="24"/>
          <w:lang w:val="en-US"/>
        </w:rPr>
        <w:t>2.4 Multi-agent boundary</w:t>
      </w:r>
    </w:p>
    <w:p>
      <w:pPr>
        <w:spacing w:after="120" w:line="269" w:lineRule="auto"/>
        <w:keepLines/>
      </w:pPr>
      <w:r>
        <w:rPr>
          <w:rFonts w:ascii="Arial" w:hAnsi="Arial"/>
          <w:color w:val="27313B"/>
          <w:sz w:val="20"/>
          <w:lang w:val="en-US"/>
        </w:rPr>
        <w:t>TAL v0.1 lists unrestricted swarms, unbounded delegation, and distributed execution as outside or deferred scope [3]. This study will therefore implement a narrow experimental adapter rather than claim that TAL v0.1 already defines a complete distributed-agent standard. The adapter will preserve the original architecture’s reasoning topology while applying TAL at every model-decision and tool-action boundary.</w:t>
      </w:r>
    </w:p>
    <w:p>
      <w:pPr>
        <w:spacing w:after="120" w:line="269" w:lineRule="auto"/>
        <w:keepLines/>
      </w:pPr>
      <w:r>
        <w:rPr>
          <w:rFonts w:ascii="Arial" w:hAnsi="Arial"/>
          <w:color w:val="27313B"/>
          <w:sz w:val="20"/>
          <w:lang w:val="en-US"/>
        </w:rPr>
        <w:t>The harness may validate proposals, references, capabilities, budgets, and completion. It may not solve the benchmark, compare worker conclusions with a hidden model, add an orchestrator to a topology that lacks one, or create information unavailable to the ordinary condition. This separates centralized governance from centralized reasoning.</w:t>
      </w:r>
    </w:p>
    <w:p>
      <w:pPr>
        <w:pStyle w:val="Heading1"/>
        <w:pageBreakBefore/>
        <w:spacing w:before="200" w:after="80"/>
        <w:keepNext/>
      </w:pPr>
      <w:r>
        <w:rPr>
          <w:rFonts w:ascii="Arial" w:hAnsi="Arial"/>
          <w:b/>
          <w:color w:val="102A43"/>
          <w:sz w:val="32"/>
          <w:lang w:val="en-US"/>
        </w:rPr>
        <w:t>3. Research Questions and Hypotheses</w:t>
      </w:r>
    </w:p>
    <w:p>
      <w:pPr>
        <w:pStyle w:val="Heading2"/>
        <w:spacing w:before="140" w:after="80"/>
        <w:keepNext/>
      </w:pPr>
      <w:r>
        <w:rPr>
          <w:rFonts w:ascii="Arial" w:hAnsi="Arial"/>
          <w:b/>
          <w:color w:val="169C96"/>
          <w:sz w:val="24"/>
          <w:lang w:val="en-US"/>
        </w:rPr>
        <w:t>3.1 Primary research question</w:t>
      </w: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169C96"/>
            <w:tcMar>
              <w:top w:w="0" w:type="dxa"/>
              <w:start w:w="0" w:type="dxa"/>
              <w:bottom w:w="0" w:type="dxa"/>
              <w:end w:w="0" w:type="dxa"/>
            </w:tcMar>
            <w:tcBorders>
              <w:top w:val="nil"/>
              <w:left w:val="nil"/>
              <w:bottom w:val="nil"/>
              <w:right w:val="nil"/>
            </w:tcBorders>
          </w:tcPr>
          <w:p/>
        </w:tc>
        <w:tc>
          <w:tcPr>
            <w:tcW w:type="dxa" w:w="5083"/>
            <w:shd w:fill="E9F7F6"/>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RQ1 - Net value</w:t>
            </w:r>
          </w:p>
          <w:p>
            <w:pPr>
              <w:spacing w:after="0" w:line="259" w:lineRule="auto"/>
            </w:pPr>
            <w:r>
              <w:rPr>
                <w:rFonts w:ascii="Arial" w:hAnsi="Arial"/>
                <w:color w:val="27313B"/>
                <w:sz w:val="19"/>
              </w:rPr>
              <w:t>At matched model, task, architecture, tools, and generated reasoning allowance, does TAL improve benchmark performance and reliability enough to offset its additional context-window occupancy, tokens, latency, and execution steps?</w:t>
            </w:r>
          </w:p>
        </w:tc>
      </w:tr>
    </w:tbl>
    <w:p>
      <w:pPr>
        <w:spacing w:after="0"/>
      </w:pPr>
    </w:p>
    <w:p>
      <w:pPr>
        <w:pStyle w:val="Heading2"/>
        <w:spacing w:before="140" w:after="80"/>
        <w:keepNext/>
      </w:pPr>
      <w:r>
        <w:rPr>
          <w:rFonts w:ascii="Arial" w:hAnsi="Arial"/>
          <w:b/>
          <w:color w:val="169C96"/>
          <w:sz w:val="24"/>
          <w:lang w:val="en-US"/>
        </w:rPr>
        <w:t>3.2 Secondary research questions</w:t>
      </w:r>
    </w:p>
    <w:p>
      <w:pPr>
        <w:spacing w:after="50" w:line="259" w:lineRule="auto"/>
        <w:ind w:left="403" w:hanging="403"/>
      </w:pPr>
      <w:r>
        <w:rPr>
          <w:rFonts w:ascii="Arial" w:hAnsi="Arial"/>
          <w:b/>
          <w:color w:val="102A43"/>
          <w:sz w:val="20"/>
          <w:lang w:val="en-US"/>
        </w:rPr>
        <w:t xml:space="preserve">1. </w:t>
      </w:r>
      <w:r>
        <w:rPr>
          <w:rFonts w:ascii="Arial" w:hAnsi="Arial"/>
          <w:color w:val="27313B"/>
          <w:sz w:val="20"/>
          <w:lang w:val="en-US"/>
        </w:rPr>
        <w:t>Does TAL’s net effect differ among Single, Independent, Centralized, Decentralized, and Hybrid architectures?</w:t>
      </w:r>
    </w:p>
    <w:p>
      <w:pPr>
        <w:spacing w:after="50" w:line="259" w:lineRule="auto"/>
        <w:ind w:left="403" w:hanging="403"/>
      </w:pPr>
      <w:r>
        <w:rPr>
          <w:rFonts w:ascii="Arial" w:hAnsi="Arial"/>
          <w:b/>
          <w:color w:val="102A43"/>
          <w:sz w:val="20"/>
          <w:lang w:val="en-US"/>
        </w:rPr>
        <w:t xml:space="preserve">2. </w:t>
      </w:r>
      <w:r>
        <w:rPr>
          <w:rFonts w:ascii="Arial" w:hAnsi="Arial"/>
          <w:color w:val="27313B"/>
          <w:sz w:val="20"/>
          <w:lang w:val="en-US"/>
        </w:rPr>
        <w:t>Does TAL help more on Finance-Agent, where coordination was beneficial, or on PlanCraft, where coordination was harmful?</w:t>
      </w:r>
    </w:p>
    <w:p>
      <w:pPr>
        <w:spacing w:after="50" w:line="259" w:lineRule="auto"/>
        <w:ind w:left="403" w:hanging="403"/>
      </w:pPr>
      <w:r>
        <w:rPr>
          <w:rFonts w:ascii="Arial" w:hAnsi="Arial"/>
          <w:b/>
          <w:color w:val="102A43"/>
          <w:sz w:val="20"/>
          <w:lang w:val="en-US"/>
        </w:rPr>
        <w:t xml:space="preserve">3. </w:t>
      </w:r>
      <w:r>
        <w:rPr>
          <w:rFonts w:ascii="Arial" w:hAnsi="Arial"/>
          <w:color w:val="27313B"/>
          <w:sz w:val="20"/>
          <w:lang w:val="en-US"/>
        </w:rPr>
        <w:t>Which components of TAL overhead dominate: fixed grammar, schemas, dynamic state, repeated event history, or additional rejected/repair cycles?</w:t>
      </w:r>
    </w:p>
    <w:p>
      <w:pPr>
        <w:spacing w:after="50" w:line="259" w:lineRule="auto"/>
        <w:ind w:left="403" w:hanging="403"/>
      </w:pPr>
      <w:r>
        <w:rPr>
          <w:rFonts w:ascii="Arial" w:hAnsi="Arial"/>
          <w:b/>
          <w:color w:val="102A43"/>
          <w:sz w:val="20"/>
          <w:lang w:val="en-US"/>
        </w:rPr>
        <w:t xml:space="preserve">4. </w:t>
      </w:r>
      <w:r>
        <w:rPr>
          <w:rFonts w:ascii="Arial" w:hAnsi="Arial"/>
          <w:color w:val="27313B"/>
          <w:sz w:val="20"/>
          <w:lang w:val="en-US"/>
        </w:rPr>
        <w:t>Does TAL reduce invalid operations, unsupported completion, stale-state decisions, duplicate tool use, and recovery turns?</w:t>
      </w:r>
    </w:p>
    <w:p>
      <w:pPr>
        <w:spacing w:after="50" w:line="259" w:lineRule="auto"/>
        <w:ind w:left="403" w:hanging="403"/>
      </w:pPr>
      <w:r>
        <w:rPr>
          <w:rFonts w:ascii="Arial" w:hAnsi="Arial"/>
          <w:b/>
          <w:color w:val="102A43"/>
          <w:sz w:val="20"/>
          <w:lang w:val="en-US"/>
        </w:rPr>
        <w:t xml:space="preserve">5. </w:t>
      </w:r>
      <w:r>
        <w:rPr>
          <w:rFonts w:ascii="Arial" w:hAnsi="Arial"/>
          <w:color w:val="27313B"/>
          <w:sz w:val="20"/>
          <w:lang w:val="en-US"/>
        </w:rPr>
        <w:t>Does the result change when ordinary and TAL conditions are forced to share the same total input-plus-output token budget?</w:t>
      </w:r>
    </w:p>
    <w:p>
      <w:pPr>
        <w:pStyle w:val="Heading2"/>
        <w:spacing w:before="140" w:after="80"/>
        <w:keepNext/>
      </w:pPr>
      <w:r>
        <w:rPr>
          <w:rFonts w:ascii="Arial" w:hAnsi="Arial"/>
          <w:b/>
          <w:color w:val="169C96"/>
          <w:sz w:val="24"/>
          <w:lang w:val="en-US"/>
        </w:rPr>
        <w:t>3.3 Preregistered hypotheses</w:t>
      </w:r>
    </w:p>
    <w:tbl>
      <w:tblPr>
        <w:tblStyle w:val="TableGrid"/>
        <w:tblW w:type="auto" w:w="0"/>
        <w:jc w:val="center"/>
        <w:tblLayout w:type="fixed"/>
        <w:tblLook w:firstColumn="1" w:firstRow="1" w:lastColumn="0" w:lastRow="0" w:noHBand="0" w:noVBand="1" w:val="04A0"/>
      </w:tblPr>
      <w:tblGrid>
        <w:gridCol w:w="792"/>
        <w:gridCol w:w="9000"/>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ID</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Hypothesis</w:t>
            </w:r>
          </w:p>
        </w:tc>
      </w:tr>
      <w:tr>
        <w:trPr>
          <w:cantSplit/>
        </w:trPr>
        <w:tc>
          <w:tcPr>
            <w:tcW w:type="dxa" w:w="79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H1</w:t>
            </w:r>
          </w:p>
        </w:tc>
        <w:tc>
          <w:tcPr>
            <w:tcW w:type="dxa" w:w="90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will produce a positive mean score difference across the five architectures under the matched-generated-token regime.</w:t>
            </w:r>
          </w:p>
        </w:tc>
      </w:tr>
      <w:tr>
        <w:trPr>
          <w:cantSplit/>
        </w:trPr>
        <w:tc>
          <w:tcPr>
            <w:tcW w:type="dxa" w:w="79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H2</w:t>
            </w:r>
          </w:p>
        </w:tc>
        <w:tc>
          <w:tcPr>
            <w:tcW w:type="dxa" w:w="90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TAL effect will vary by architecture; communication-heavy architectures will receive larger reliability benefits but also pay larger repeated-context costs.</w:t>
            </w:r>
          </w:p>
        </w:tc>
      </w:tr>
      <w:tr>
        <w:trPr>
          <w:cantSplit/>
        </w:trPr>
        <w:tc>
          <w:tcPr>
            <w:tcW w:type="dxa" w:w="79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H3</w:t>
            </w:r>
          </w:p>
        </w:tc>
        <w:tc>
          <w:tcPr>
            <w:tcW w:type="dxa" w:w="90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TAL × benchmark interaction will be nonzero. TAL may preserve or strengthen useful coordination on Finance-Agent while providing smaller or negative net gains on PlanCraft.</w:t>
            </w:r>
          </w:p>
        </w:tc>
      </w:tr>
      <w:tr>
        <w:trPr>
          <w:cantSplit/>
        </w:trPr>
        <w:tc>
          <w:tcPr>
            <w:tcW w:type="dxa" w:w="79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H4</w:t>
            </w:r>
          </w:p>
        </w:tc>
        <w:tc>
          <w:tcPr>
            <w:tcW w:type="dxa" w:w="90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will reduce malformed requests, invalid references, unsupported completion proposals, and recovery after rejected operations.</w:t>
            </w:r>
          </w:p>
        </w:tc>
      </w:tr>
      <w:tr>
        <w:trPr>
          <w:cantSplit/>
        </w:trPr>
        <w:tc>
          <w:tcPr>
            <w:tcW w:type="dxa" w:w="79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H5</w:t>
            </w:r>
          </w:p>
        </w:tc>
        <w:tc>
          <w:tcPr>
            <w:tcW w:type="dxa" w:w="90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Higher TAL context share and more repeated grammar/schema exposure will predict lower token efficiency, particularly in Hybrid and Decentralized systems.</w:t>
            </w:r>
          </w:p>
        </w:tc>
      </w:tr>
      <w:tr>
        <w:trPr>
          <w:cantSplit/>
        </w:trPr>
        <w:tc>
          <w:tcPr>
            <w:tcW w:type="dxa" w:w="79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H6</w:t>
            </w:r>
          </w:p>
        </w:tc>
        <w:tc>
          <w:tcPr>
            <w:tcW w:type="dxa" w:w="90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At least one architecture will show a different cost-benefit ranking under TAL than under ordinary execution.</w:t>
            </w:r>
          </w:p>
        </w:tc>
      </w:tr>
    </w:tbl>
    <w:p>
      <w:pPr>
        <w:spacing w:after="0"/>
      </w:pPr>
    </w:p>
    <w:p>
      <w:pPr>
        <w:pStyle w:val="Heading2"/>
        <w:spacing w:before="140" w:after="80"/>
        <w:keepNext/>
      </w:pPr>
      <w:r>
        <w:rPr>
          <w:rFonts w:ascii="Arial" w:hAnsi="Arial"/>
          <w:b/>
          <w:color w:val="169C96"/>
          <w:sz w:val="24"/>
          <w:lang w:val="en-US"/>
        </w:rPr>
        <w:t>3.4 Honest null and negative outcomes</w:t>
      </w:r>
    </w:p>
    <w:p>
      <w:pPr>
        <w:spacing w:after="120" w:line="269" w:lineRule="auto"/>
        <w:keepLines/>
      </w:pPr>
      <w:r>
        <w:rPr>
          <w:rFonts w:ascii="Arial" w:hAnsi="Arial"/>
          <w:color w:val="27313B"/>
          <w:sz w:val="20"/>
          <w:lang w:val="en-US"/>
        </w:rPr>
        <w:t>A credible null result would show that TAL improves state integrity or auditability but not benchmark performance. A credible negative result would show that grammar and validation overhead reduce performance or efficiency, especially under strict total-token limits. Both results would provide actionable evidence for revising TAL’s context packet, response protocol, or architecture-specific use.</w:t>
      </w:r>
    </w:p>
    <w:p>
      <w:pPr>
        <w:pStyle w:val="Heading1"/>
        <w:spacing w:before="200" w:after="80"/>
        <w:keepNext/>
      </w:pPr>
      <w:r>
        <w:rPr>
          <w:rFonts w:ascii="Arial" w:hAnsi="Arial"/>
          <w:b/>
          <w:color w:val="102A43"/>
          <w:sz w:val="32"/>
          <w:lang w:val="en-US"/>
        </w:rPr>
        <w:t>4. Experimental Design</w:t>
      </w:r>
    </w:p>
    <w:p>
      <w:pPr>
        <w:pStyle w:val="Heading2"/>
        <w:spacing w:before="140" w:after="80"/>
        <w:keepNext/>
      </w:pPr>
      <w:r>
        <w:rPr>
          <w:rFonts w:ascii="Arial" w:hAnsi="Arial"/>
          <w:b/>
          <w:color w:val="169C96"/>
          <w:sz w:val="24"/>
          <w:lang w:val="en-US"/>
        </w:rPr>
        <w:t>4.1 Factorial structure</w:t>
      </w:r>
    </w:p>
    <w:p>
      <w:pPr>
        <w:spacing w:after="120" w:line="269" w:lineRule="auto"/>
        <w:keepLines/>
      </w:pPr>
      <w:r>
        <w:rPr>
          <w:rFonts w:ascii="Arial" w:hAnsi="Arial"/>
          <w:color w:val="27313B"/>
          <w:sz w:val="20"/>
          <w:lang w:val="en-US"/>
        </w:rPr>
        <w:t>The main study uses a 5 × 2 × 2 repeated-measures design: five architectures, two execution conditions, and two benchmarks. Every selected task instance is run in every architecture-condition cell for its benchmark.</w:t>
      </w:r>
    </w:p>
    <w:tbl>
      <w:tblPr>
        <w:tblStyle w:val="TableGrid"/>
        <w:tblW w:type="auto" w:w="0"/>
        <w:jc w:val="center"/>
        <w:tblLayout w:type="fixed"/>
        <w:tblLook w:firstColumn="1" w:firstRow="1" w:lastColumn="0" w:lastRow="0" w:noHBand="0" w:noVBand="1" w:val="04A0"/>
      </w:tblPr>
      <w:tblGrid>
        <w:gridCol w:w="2952"/>
        <w:gridCol w:w="3384"/>
        <w:gridCol w:w="3384"/>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8"/>
              </w:rPr>
              <w:t>Architecture</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8"/>
              </w:rPr>
              <w:t>Ordinary condition</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8"/>
              </w:rPr>
              <w:t>TAL condition</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Single Agent</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Original-SAS</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TAL-SAS</w:t>
            </w:r>
          </w:p>
        </w:tc>
      </w:tr>
      <w:tr>
        <w:trPr>
          <w:cantSplit/>
        </w:trPr>
        <w:tc>
          <w:tcPr>
            <w:tcW w:type="dxa" w:w="29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Independent MAS</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Original-IND</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TAL-IND</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Centralized MAS</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Original-CEN</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TAL-CEN</w:t>
            </w:r>
          </w:p>
        </w:tc>
      </w:tr>
      <w:tr>
        <w:trPr>
          <w:cantSplit/>
        </w:trPr>
        <w:tc>
          <w:tcPr>
            <w:tcW w:type="dxa" w:w="29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Decentralized MAS</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Original-DEC</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TAL-DEC</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Hybrid MAS</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Original-HYB</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8"/>
              </w:rPr>
              <w:t>TAL-HYB</w:t>
            </w:r>
          </w:p>
        </w:tc>
      </w:tr>
    </w:tbl>
    <w:p>
      <w:pPr>
        <w:spacing w:after="0"/>
      </w:pPr>
    </w:p>
    <w:p>
      <w:pPr>
        <w:pStyle w:val="Heading2"/>
        <w:spacing w:before="140" w:after="80"/>
        <w:keepNext/>
      </w:pPr>
      <w:r>
        <w:rPr>
          <w:rFonts w:ascii="Arial" w:hAnsi="Arial"/>
          <w:b/>
          <w:color w:val="169C96"/>
          <w:sz w:val="24"/>
          <w:lang w:val="en-US"/>
        </w:rPr>
        <w:t>4.2 Controlled variables</w:t>
      </w:r>
    </w:p>
    <w:tbl>
      <w:tblPr>
        <w:tblStyle w:val="TableGrid"/>
        <w:tblW w:type="auto" w:w="0"/>
        <w:jc w:val="center"/>
        <w:tblLayout w:type="fixed"/>
        <w:tblLook w:firstColumn="1" w:firstRow="1" w:lastColumn="0" w:lastRow="0" w:noHBand="0" w:noVBand="1" w:val="04A0"/>
      </w:tblPr>
      <w:tblGrid>
        <w:gridCol w:w="2088"/>
        <w:gridCol w:w="7704"/>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Held constant</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Required control</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Model</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Exact provider, model identifier, model version or snapshot, and generation settings</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Task</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Same benchmark instance, instance seed, initial state, and hidden evaluator</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Architecture</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Same number of agents, topology, communication rounds, and termination rules</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Tools</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Same tool implementations, schemas at the benchmark boundary, and tool-result content</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Resource access</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Same aggregate generated-token ceiling, tool-call access, wall-clock limit, and retry ceiling</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Ordering</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Randomized condition order within each task block; runs interleaved to reduce provider drift</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Storage</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Fresh isolated state and artifact directory for every run</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Evaluation</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Same benchmark-native evaluator and normalization procedure</w:t>
            </w:r>
          </w:p>
        </w:tc>
      </w:tr>
    </w:tbl>
    <w:p>
      <w:pPr>
        <w:spacing w:after="0"/>
      </w:pPr>
    </w:p>
    <w:p>
      <w:pPr>
        <w:pStyle w:val="Heading2"/>
        <w:spacing w:before="140" w:after="80"/>
        <w:keepNext/>
      </w:pPr>
      <w:r>
        <w:rPr>
          <w:rFonts w:ascii="Arial" w:hAnsi="Arial"/>
          <w:b/>
          <w:color w:val="169C96"/>
          <w:sz w:val="24"/>
          <w:lang w:val="en-US"/>
        </w:rPr>
        <w:t>4.3 Experimental comparison</w:t>
      </w:r>
    </w:p>
    <w:p>
      <w:pPr>
        <w:spacing w:after="40"/>
        <w:jc w:val="center"/>
      </w:pPr>
      <w:r>
        <w:rPr>
          <w:lang w:val="en-US"/>
        </w:rPr>
        <w:drawing>
          <wp:inline xmlns:a="http://schemas.openxmlformats.org/drawingml/2006/main" xmlns:pic="http://schemas.openxmlformats.org/drawingml/2006/picture">
            <wp:extent cx="6263640" cy="2714244"/>
            <wp:docPr id="1" name="Picture 1" title="Baseline versus TAL experimental flow" descr="Two horizontal lanes compare the original architecture execution path with the same architecture wrapped by TAL. The TAL lane adds a compact grammar/context packet, typed proposal, deterministic action gate, completion verifier, and overhead ledger while holding the task, architecture, model, tools, and resource rules constant."/>
            <wp:cNvGraphicFramePr>
              <a:graphicFrameLocks noChangeAspect="1"/>
            </wp:cNvGraphicFramePr>
            <a:graphic>
              <a:graphicData uri="http://schemas.openxmlformats.org/drawingml/2006/picture">
                <pic:pic>
                  <pic:nvPicPr>
                    <pic:cNvPr id="0" name="tal_experiment_flow.png"/>
                    <pic:cNvPicPr/>
                  </pic:nvPicPr>
                  <pic:blipFill>
                    <a:blip r:embed="rId11"/>
                    <a:stretch>
                      <a:fillRect/>
                    </a:stretch>
                  </pic:blipFill>
                  <pic:spPr>
                    <a:xfrm>
                      <a:off x="0" y="0"/>
                      <a:ext cx="6263640" cy="2714244"/>
                    </a:xfrm>
                    <a:prstGeom prst="rect"/>
                  </pic:spPr>
                </pic:pic>
              </a:graphicData>
            </a:graphic>
          </wp:inline>
        </w:drawing>
      </w:r>
    </w:p>
    <w:p>
      <w:pPr>
        <w:spacing w:after="140"/>
        <w:jc w:val="center"/>
      </w:pPr>
      <w:r>
        <w:rPr>
          <w:rFonts w:ascii="Arial" w:hAnsi="Arial"/>
          <w:i/>
          <w:color w:val="5F6B76"/>
          <w:sz w:val="17"/>
          <w:lang w:val="en-US"/>
        </w:rPr>
        <w:t>Figure 1. The TAL condition changes the execution protocol while preserving the architecture and benchmark environment.</w:t>
      </w:r>
    </w:p>
    <w:p>
      <w:pPr>
        <w:pStyle w:val="Heading2"/>
        <w:spacing w:before="140" w:after="80"/>
        <w:keepNext/>
      </w:pPr>
      <w:r>
        <w:rPr>
          <w:rFonts w:ascii="Arial" w:hAnsi="Arial"/>
          <w:b/>
          <w:color w:val="169C96"/>
          <w:sz w:val="24"/>
          <w:lang w:val="en-US"/>
        </w:rPr>
        <w:t>4.4 Main episode count</w:t>
      </w:r>
    </w:p>
    <w:tbl>
      <w:tblPr>
        <w:tblStyle w:val="TableGrid"/>
        <w:tblW w:type="auto" w:w="0"/>
        <w:jc w:val="center"/>
        <w:tblLayout w:type="fixed"/>
        <w:tblLook w:firstColumn="1" w:firstRow="1" w:lastColumn="0" w:lastRow="0" w:noHBand="0" w:noVBand="1" w:val="04A0"/>
      </w:tblPr>
      <w:tblGrid>
        <w:gridCol w:w="3240"/>
        <w:gridCol w:w="5256"/>
        <w:gridCol w:w="1296"/>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Component</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Calculation</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Episodes</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Finance-Agent matrix</w:t>
            </w:r>
          </w:p>
        </w:tc>
        <w:tc>
          <w:tcPr>
            <w:tcW w:type="dxa" w:w="52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 instances × 5 architectures × 2 conditions</w:t>
            </w:r>
          </w:p>
        </w:tc>
        <w:tc>
          <w:tcPr>
            <w:tcW w:type="dxa" w:w="129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500</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PlanCraft matrix</w:t>
            </w:r>
          </w:p>
        </w:tc>
        <w:tc>
          <w:tcPr>
            <w:tcW w:type="dxa" w:w="52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 instances × 5 architectures × 2 conditions</w:t>
            </w:r>
          </w:p>
        </w:tc>
        <w:tc>
          <w:tcPr>
            <w:tcW w:type="dxa" w:w="129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500</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Strict-budget sensitivity subset</w:t>
            </w:r>
          </w:p>
        </w:tc>
        <w:tc>
          <w:tcPr>
            <w:tcW w:type="dxa" w:w="52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20 instances per benchmark × 5 architectures × 2 conditions</w:t>
            </w:r>
          </w:p>
        </w:tc>
        <w:tc>
          <w:tcPr>
            <w:tcW w:type="dxa" w:w="129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400</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Excluded pilot</w:t>
            </w:r>
          </w:p>
        </w:tc>
        <w:tc>
          <w:tcPr>
            <w:tcW w:type="dxa" w:w="52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 instances per benchmark × 5 architectures × 2 conditions</w:t>
            </w:r>
          </w:p>
        </w:tc>
        <w:tc>
          <w:tcPr>
            <w:tcW w:type="dxa" w:w="129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100</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Optional second-model subset</w:t>
            </w:r>
          </w:p>
        </w:tc>
        <w:tc>
          <w:tcPr>
            <w:tcW w:type="dxa" w:w="52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20 instances per benchmark × 3 architectures × 2 conditions</w:t>
            </w:r>
          </w:p>
        </w:tc>
        <w:tc>
          <w:tcPr>
            <w:tcW w:type="dxa" w:w="129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240</w:t>
            </w:r>
          </w:p>
        </w:tc>
      </w:tr>
    </w:tbl>
    <w:p>
      <w:pPr>
        <w:spacing w:after="0"/>
      </w:pPr>
    </w:p>
    <w:p>
      <w:pPr>
        <w:spacing w:after="120" w:line="269" w:lineRule="auto"/>
        <w:keepLines/>
      </w:pPr>
      <w:r>
        <w:rPr>
          <w:rFonts w:ascii="Arial" w:hAnsi="Arial"/>
          <w:color w:val="27313B"/>
          <w:sz w:val="20"/>
          <w:lang w:val="en-US"/>
        </w:rPr>
        <w:t>The confirmatory main study contains 1,000 episodes. The sensitivity and optional replication blocks are analyzed separately and do not inflate the independent task sample. The statistical unit is the task instance, not the number of model calls or repeated runs.</w:t>
      </w:r>
    </w:p>
    <w:p>
      <w:pPr>
        <w:pStyle w:val="Heading1"/>
        <w:spacing w:before="200" w:after="80"/>
        <w:keepNext/>
      </w:pPr>
      <w:r>
        <w:rPr>
          <w:rFonts w:ascii="Arial" w:hAnsi="Arial"/>
          <w:b/>
          <w:color w:val="102A43"/>
          <w:sz w:val="32"/>
          <w:lang w:val="en-US"/>
        </w:rPr>
        <w:t>5. Definition of the TAL Treatment</w:t>
      </w:r>
    </w:p>
    <w:p>
      <w:pPr>
        <w:pStyle w:val="Heading2"/>
        <w:spacing w:before="140" w:after="80"/>
        <w:keepNext/>
      </w:pPr>
      <w:r>
        <w:rPr>
          <w:rFonts w:ascii="Arial" w:hAnsi="Arial"/>
          <w:b/>
          <w:color w:val="169C96"/>
          <w:sz w:val="24"/>
          <w:lang w:val="en-US"/>
        </w:rPr>
        <w:t>5.1 Compact model-facing grammar</w:t>
      </w:r>
    </w:p>
    <w:p>
      <w:pPr>
        <w:spacing w:after="120" w:line="269" w:lineRule="auto"/>
        <w:keepLines/>
      </w:pPr>
      <w:r>
        <w:rPr>
          <w:rFonts w:ascii="Arial" w:hAnsi="Arial"/>
          <w:color w:val="27313B"/>
          <w:sz w:val="20"/>
          <w:lang w:val="en-US"/>
        </w:rPr>
        <w:t>The model will not receive the full TAL specification. It will receive the compact grammar and behavior sheet defined in Appendix D of the specification, plus the exact response schema needed for the current decision. The grammar establishes that reported claims are not verified, plans do not grant permission, only listed capabilities and tools may be used, state cannot be directly mutated, one external action may be requested per cycle, and completion requires declared evidence [3].</w:t>
      </w:r>
    </w:p>
    <w:p>
      <w:pPr>
        <w:pStyle w:val="Heading2"/>
        <w:spacing w:before="140" w:after="80"/>
        <w:keepNext/>
      </w:pPr>
      <w:r>
        <w:rPr>
          <w:rFonts w:ascii="Arial" w:hAnsi="Arial"/>
          <w:b/>
          <w:color w:val="169C96"/>
          <w:sz w:val="24"/>
          <w:lang w:val="en-US"/>
        </w:rPr>
        <w:t>5.2 Versioned context packet</w:t>
      </w:r>
    </w:p>
    <w:p>
      <w:pPr>
        <w:spacing w:after="120" w:line="269" w:lineRule="auto"/>
        <w:keepLines/>
      </w:pPr>
      <w:r>
        <w:rPr>
          <w:rFonts w:ascii="Arial" w:hAnsi="Arial"/>
          <w:color w:val="27313B"/>
          <w:sz w:val="20"/>
          <w:lang w:val="en-US"/>
        </w:rPr>
        <w:t>Each TAL call will contain separately labeled sections. These sections will be tokenized and logged independently so that the study can attribute overhead rather than reporting only a single total.</w:t>
      </w:r>
    </w:p>
    <w:tbl>
      <w:tblPr>
        <w:tblStyle w:val="TableGrid"/>
        <w:tblW w:type="auto" w:w="0"/>
        <w:jc w:val="center"/>
        <w:tblLayout w:type="fixed"/>
        <w:tblLook w:firstColumn="1" w:firstRow="1" w:lastColumn="0" w:lastRow="0" w:noHBand="0" w:noVBand="1" w:val="04A0"/>
      </w:tblPr>
      <w:tblGrid>
        <w:gridCol w:w="2088"/>
        <w:gridCol w:w="5544"/>
        <w:gridCol w:w="2160"/>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Context component</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Contents</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Overhead class</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Grammar contract</w:t>
            </w:r>
          </w:p>
        </w:tc>
        <w:tc>
          <w:tcPr>
            <w:tcW w:type="dxa" w:w="55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Immutable TAL meanings and behavior rules</w:t>
            </w:r>
          </w:p>
        </w:tc>
        <w:tc>
          <w:tcPr>
            <w:tcW w:type="dxa" w:w="216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Fixed protocol</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Response schema</w:t>
            </w:r>
          </w:p>
        </w:tc>
        <w:tc>
          <w:tcPr>
            <w:tcW w:type="dxa" w:w="55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Allowed proposal kind and exact fields for the current turn</w:t>
            </w:r>
          </w:p>
        </w:tc>
        <w:tc>
          <w:tcPr>
            <w:tcW w:type="dxa" w:w="216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Fixed / turn-specific</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Manifest</w:t>
            </w:r>
          </w:p>
        </w:tc>
        <w:tc>
          <w:tcPr>
            <w:tcW w:type="dxa" w:w="55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Goal, requirements, constraints, prohibitions, success conditions, output contract</w:t>
            </w:r>
          </w:p>
        </w:tc>
        <w:tc>
          <w:tcPr>
            <w:tcW w:type="dxa" w:w="216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Task contract</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Runtime state</w:t>
            </w:r>
          </w:p>
        </w:tc>
        <w:tc>
          <w:tcPr>
            <w:tcW w:type="dxa" w:w="55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Current phase, state version, remaining budgets, tool availability</w:t>
            </w:r>
          </w:p>
        </w:tc>
        <w:tc>
          <w:tcPr>
            <w:tcW w:type="dxa" w:w="216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Dynamic</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Authority packet</w:t>
            </w:r>
          </w:p>
        </w:tc>
        <w:tc>
          <w:tcPr>
            <w:tcW w:type="dxa" w:w="55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Effective capabilities, denied requests, approval requirements</w:t>
            </w:r>
          </w:p>
        </w:tc>
        <w:tc>
          <w:tcPr>
            <w:tcW w:type="dxa" w:w="216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Dynamic</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Evidence packet</w:t>
            </w:r>
          </w:p>
        </w:tc>
        <w:tc>
          <w:tcPr>
            <w:tcW w:type="dxa" w:w="55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Reported facts, observations, verified facts, conflicts, unknowns</w:t>
            </w:r>
          </w:p>
        </w:tc>
        <w:tc>
          <w:tcPr>
            <w:tcW w:type="dxa" w:w="216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Dynamic</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Recent events</w:t>
            </w:r>
          </w:p>
        </w:tc>
        <w:tc>
          <w:tcPr>
            <w:tcW w:type="dxa" w:w="55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Relevant accepted and rejected proposals, tool results, and state changes</w:t>
            </w:r>
          </w:p>
        </w:tc>
        <w:tc>
          <w:tcPr>
            <w:tcW w:type="dxa" w:w="216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Dynamic history</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Architecture messages</w:t>
            </w:r>
          </w:p>
        </w:tc>
        <w:tc>
          <w:tcPr>
            <w:tcW w:type="dxa" w:w="55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Role assignments, peer messages, worker reports, or synthesis inputs</w:t>
            </w:r>
          </w:p>
        </w:tc>
        <w:tc>
          <w:tcPr>
            <w:tcW w:type="dxa" w:w="216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Coordination</w:t>
            </w:r>
          </w:p>
        </w:tc>
      </w:tr>
    </w:tbl>
    <w:p>
      <w:pPr>
        <w:spacing w:after="0"/>
      </w:pPr>
    </w:p>
    <w:p>
      <w:pPr>
        <w:pStyle w:val="Heading2"/>
        <w:spacing w:before="140" w:after="80"/>
        <w:keepNext/>
      </w:pPr>
      <w:r>
        <w:rPr>
          <w:rFonts w:ascii="Arial" w:hAnsi="Arial"/>
          <w:b/>
          <w:color w:val="169C96"/>
          <w:sz w:val="24"/>
          <w:lang w:val="en-US"/>
        </w:rPr>
        <w:t>5.3 Typed proposal and deterministic gate</w:t>
      </w:r>
    </w:p>
    <w:p>
      <w:pPr>
        <w:spacing w:after="120" w:line="269" w:lineRule="auto"/>
        <w:keepLines/>
      </w:pPr>
      <w:r>
        <w:rPr>
          <w:rFonts w:ascii="Arial" w:hAnsi="Arial"/>
          <w:color w:val="27313B"/>
          <w:sz w:val="20"/>
          <w:lang w:val="en-US"/>
        </w:rPr>
        <w:t>The model returns one registered proposal, such as a plan revision, tool request, information request, inference, completion proposal, escalation, or failure. The action gate checks structure, references, semantics, consistency, authority, policy, state transition, budget, tool arguments, idempotency, and completion evidence before any tool call or state transition. Rejected proposals create typed events and must not mutate authoritative state [3].</w:t>
      </w:r>
    </w:p>
    <w:p>
      <w:pPr>
        <w:pStyle w:val="Heading2"/>
        <w:spacing w:before="140" w:after="80"/>
        <w:keepNext/>
      </w:pPr>
      <w:r>
        <w:rPr>
          <w:rFonts w:ascii="Arial" w:hAnsi="Arial"/>
          <w:b/>
          <w:color w:val="169C96"/>
          <w:sz w:val="24"/>
          <w:lang w:val="en-US"/>
        </w:rPr>
        <w:t>5.4 Architecture preservation</w:t>
      </w:r>
    </w:p>
    <w:p>
      <w:pPr>
        <w:spacing w:after="120" w:line="269" w:lineRule="auto"/>
        <w:keepLines/>
      </w:pPr>
      <w:r>
        <w:rPr>
          <w:rFonts w:ascii="Arial" w:hAnsi="Arial"/>
          <w:color w:val="27313B"/>
          <w:sz w:val="20"/>
          <w:lang w:val="en-US"/>
        </w:rPr>
        <w:t>TAL must not become an extra reasoning agent. The architecture’s cognitive topology remains the same. Agent-to-agent content is treated as provenance-labeled data: a peer’s claim remains a reported claim until supported by benchmark evidence or a trusted observation. The harness may reject malformed references or unauthorized actions, but it may not determine which worker is correct by adding hidden model inference.</w:t>
      </w:r>
    </w:p>
    <w:tbl>
      <w:tblPr>
        <w:tblStyle w:val="TableGrid"/>
        <w:tblW w:type="auto" w:w="0"/>
        <w:jc w:val="center"/>
        <w:tblLayout w:type="fixed"/>
        <w:tblLook w:firstColumn="1" w:firstRow="1" w:lastColumn="0" w:lastRow="0" w:noHBand="0" w:noVBand="1" w:val="04A0"/>
      </w:tblPr>
      <w:tblGrid>
        <w:gridCol w:w="1440"/>
        <w:gridCol w:w="3888"/>
        <w:gridCol w:w="4464"/>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Architecture</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Preserved reasoning behavior</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TAL application</w:t>
            </w:r>
          </w:p>
        </w:tc>
      </w:tr>
      <w:tr>
        <w:trPr>
          <w:cantSplit/>
        </w:trPr>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Single</w:t>
            </w:r>
          </w:p>
        </w:tc>
        <w:tc>
          <w:tcPr>
            <w:tcW w:type="dxa" w:w="38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One model maintains the full task trajectory.</w:t>
            </w:r>
          </w:p>
        </w:tc>
        <w:tc>
          <w:tcPr>
            <w:tcW w:type="dxa" w:w="44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Every decision is a typed TAL proposal; tools and completion pass through the gate.</w:t>
            </w:r>
          </w:p>
        </w:tc>
      </w:tr>
      <w:tr>
        <w:trPr>
          <w:cantSplit/>
        </w:trPr>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Independent</w:t>
            </w:r>
          </w:p>
        </w:tc>
        <w:tc>
          <w:tcPr>
            <w:tcW w:type="dxa" w:w="38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Workers remain isolated; an aggregator receives their outputs without peer debate.</w:t>
            </w:r>
          </w:p>
        </w:tc>
        <w:tc>
          <w:tcPr>
            <w:tcW w:type="dxa" w:w="44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Worker reports are provenance-labeled; aggregator actions are gated; no hidden cross-validation is added.</w:t>
            </w:r>
          </w:p>
        </w:tc>
      </w:tr>
      <w:tr>
        <w:trPr>
          <w:cantSplit/>
        </w:trPr>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Centralized</w:t>
            </w:r>
          </w:p>
        </w:tc>
        <w:tc>
          <w:tcPr>
            <w:tcW w:type="dxa" w:w="38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A lead agent assigns work and synthesizes worker findings.</w:t>
            </w:r>
          </w:p>
        </w:tc>
        <w:tc>
          <w:tcPr>
            <w:tcW w:type="dxa" w:w="44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Assignments and reports are labeled; effective tools are role-scoped; lead actions are gated.</w:t>
            </w:r>
          </w:p>
        </w:tc>
      </w:tr>
      <w:tr>
        <w:trPr>
          <w:cantSplit/>
        </w:trPr>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Decentralized</w:t>
            </w:r>
          </w:p>
        </w:tc>
        <w:tc>
          <w:tcPr>
            <w:tcW w:type="dxa" w:w="38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Peers exchange messages through the original debate/consensus rounds.</w:t>
            </w:r>
          </w:p>
        </w:tc>
        <w:tc>
          <w:tcPr>
            <w:tcW w:type="dxa" w:w="44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Peer claims are labeled as reported data; evidence references and terminal proposals are validated.</w:t>
            </w:r>
          </w:p>
        </w:tc>
      </w:tr>
      <w:tr>
        <w:trPr>
          <w:cantSplit/>
        </w:trPr>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Hybrid</w:t>
            </w:r>
          </w:p>
        </w:tc>
        <w:tc>
          <w:tcPr>
            <w:tcW w:type="dxa" w:w="38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An orchestrator coordinates workers that also communicate laterally.</w:t>
            </w:r>
          </w:p>
        </w:tc>
        <w:tc>
          <w:tcPr>
            <w:tcW w:type="dxa" w:w="44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Both hierarchy and peer messages are preserved; all operative actions use the same TAL gate.</w:t>
            </w:r>
          </w:p>
        </w:tc>
      </w:tr>
    </w:tbl>
    <w:p>
      <w:pPr>
        <w:spacing w:after="0"/>
      </w:pPr>
    </w:p>
    <w:p>
      <w:pPr>
        <w:pStyle w:val="Heading2"/>
        <w:spacing w:before="140" w:after="80"/>
        <w:keepNext/>
      </w:pPr>
      <w:r>
        <w:rPr>
          <w:rFonts w:ascii="Arial" w:hAnsi="Arial"/>
          <w:b/>
          <w:color w:val="169C96"/>
          <w:sz w:val="24"/>
          <w:lang w:val="en-US"/>
        </w:rPr>
        <w:t>5.5 Concurrency and the one-action rule</w:t>
      </w:r>
    </w:p>
    <w:p>
      <w:pPr>
        <w:spacing w:after="120" w:line="269" w:lineRule="auto"/>
        <w:keepLines/>
      </w:pPr>
      <w:r>
        <w:rPr>
          <w:rFonts w:ascii="Arial" w:hAnsi="Arial"/>
          <w:color w:val="27313B"/>
          <w:sz w:val="20"/>
          <w:lang w:val="en-US"/>
        </w:rPr>
        <w:t>TAL v0.1 defaults to one proposal and at most one external action per model cycle. To avoid confounding TAL with serialization, both conditions will use the same benchmark scheduler. Read-only operations may run concurrently only where the original architecture and benchmark already permit it. State-changing operations remain serialized according to the benchmark’s authoritative environment. All parallel branch costs are counted, even if a branch is later discarded.</w:t>
      </w:r>
    </w:p>
    <w:p>
      <w:pPr>
        <w:pStyle w:val="Heading2"/>
        <w:spacing w:before="140" w:after="80"/>
        <w:keepNext/>
      </w:pPr>
      <w:r>
        <w:rPr>
          <w:rFonts w:ascii="Arial" w:hAnsi="Arial"/>
          <w:b/>
          <w:color w:val="169C96"/>
          <w:sz w:val="24"/>
          <w:lang w:val="en-US"/>
        </w:rPr>
        <w:t>5.6 Baseline parity requirement</w:t>
      </w:r>
    </w:p>
    <w:p>
      <w:pPr>
        <w:spacing w:after="120" w:line="269" w:lineRule="auto"/>
        <w:keepLines/>
      </w:pPr>
      <w:r>
        <w:rPr>
          <w:rFonts w:ascii="Arial" w:hAnsi="Arial"/>
          <w:color w:val="27313B"/>
          <w:sz w:val="20"/>
          <w:lang w:val="en-US"/>
        </w:rPr>
        <w:t>The ordinary condition will be based on the released repository rather than a new imitation. Instrumentation may record prompts, tokens, calls, messages, and timing, but it must not alter the baseline prompt content or decision logic. Before the TAL study begins, the instrumented baseline must reproduce the unmodified release on a fixed pilot within a predefined tolerance.</w:t>
      </w:r>
    </w:p>
    <w:p>
      <w:pPr>
        <w:pStyle w:val="Heading1"/>
        <w:spacing w:before="200" w:after="80"/>
        <w:keepNext/>
      </w:pPr>
      <w:r>
        <w:rPr>
          <w:rFonts w:ascii="Arial" w:hAnsi="Arial"/>
          <w:b/>
          <w:color w:val="102A43"/>
          <w:sz w:val="32"/>
          <w:lang w:val="en-US"/>
        </w:rPr>
        <w:t>6. Benchmarks and Instance Selection</w:t>
      </w:r>
    </w:p>
    <w:p>
      <w:pPr>
        <w:pStyle w:val="Heading2"/>
        <w:spacing w:before="140" w:after="80"/>
        <w:keepNext/>
      </w:pPr>
      <w:r>
        <w:rPr>
          <w:rFonts w:ascii="Arial" w:hAnsi="Arial"/>
          <w:b/>
          <w:color w:val="169C96"/>
          <w:sz w:val="24"/>
          <w:lang w:val="en-US"/>
        </w:rPr>
        <w:t>6.1 Primary benchmark pair</w:t>
      </w:r>
    </w:p>
    <w:tbl>
      <w:tblPr>
        <w:tblStyle w:val="TableGrid"/>
        <w:tblW w:type="auto" w:w="0"/>
        <w:jc w:val="center"/>
        <w:tblLayout w:type="fixed"/>
        <w:tblLook w:firstColumn="1" w:firstRow="1" w:lastColumn="0" w:lastRow="0" w:noHBand="0" w:noVBand="1" w:val="04A0"/>
      </w:tblPr>
      <w:tblGrid>
        <w:gridCol w:w="1800"/>
        <w:gridCol w:w="3168"/>
        <w:gridCol w:w="4824"/>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Benchmark</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Role in the experiment</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Reason for selection</w:t>
            </w:r>
          </w:p>
        </w:tc>
      </w:tr>
      <w:tr>
        <w:trPr>
          <w:cantSplit/>
        </w:trPr>
        <w:tc>
          <w:tcPr>
            <w:tcW w:type="dxa" w:w="18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Finance-Agent</w:t>
            </w:r>
          </w:p>
        </w:tc>
        <w:tc>
          <w:tcPr>
            <w:tcW w:type="dxa" w:w="316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Decomposable / coordination-beneficial regime</w:t>
            </w:r>
          </w:p>
        </w:tc>
        <w:tc>
          <w:tcPr>
            <w:tcW w:type="dxa" w:w="482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original study reported its largest multi-agent gains on structured financial reasoning, making it a strong test of whether TAL preserves or improves useful coordination.</w:t>
            </w:r>
          </w:p>
        </w:tc>
      </w:tr>
      <w:tr>
        <w:trPr>
          <w:cantSplit/>
        </w:trPr>
        <w:tc>
          <w:tcPr>
            <w:tcW w:type="dxa" w:w="18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PlanCraft</w:t>
            </w:r>
          </w:p>
        </w:tc>
        <w:tc>
          <w:tcPr>
            <w:tcW w:type="dxa" w:w="316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Sequential / coordination-harmful regime</w:t>
            </w:r>
          </w:p>
        </w:tc>
        <w:tc>
          <w:tcPr>
            <w:tcW w:type="dxa" w:w="482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All multi-agent variants degraded in the original study, making it a strong test of whether TAL reduces coordination failures or merely adds context overhead.</w:t>
            </w:r>
          </w:p>
        </w:tc>
      </w:tr>
    </w:tbl>
    <w:p>
      <w:pPr>
        <w:spacing w:after="0"/>
      </w:pPr>
    </w:p>
    <w:p>
      <w:pPr>
        <w:pStyle w:val="Heading2"/>
        <w:spacing w:before="140" w:after="80"/>
        <w:keepNext/>
      </w:pPr>
      <w:r>
        <w:rPr>
          <w:rFonts w:ascii="Arial" w:hAnsi="Arial"/>
          <w:b/>
          <w:color w:val="169C96"/>
          <w:sz w:val="24"/>
          <w:lang w:val="en-US"/>
        </w:rPr>
        <w:t>6.2 Instance selection</w:t>
      </w:r>
    </w:p>
    <w:p>
      <w:pPr>
        <w:spacing w:after="120" w:line="269" w:lineRule="auto"/>
        <w:keepLines/>
      </w:pPr>
      <w:r>
        <w:rPr>
          <w:rFonts w:ascii="Arial" w:hAnsi="Arial"/>
          <w:color w:val="27313B"/>
          <w:sz w:val="20"/>
          <w:lang w:val="en-US"/>
        </w:rPr>
        <w:t>Fifty instances will be selected from each benchmark using the released setup and a pre-registered deterministic procedure. The exact instance identifiers, order, exclusions, and hashes will be frozen before the main experiment. Pilot instances will be excluded from the confirmatory sample.</w:t>
      </w:r>
    </w:p>
    <w:p>
      <w:pPr>
        <w:pStyle w:val="ListBullet"/>
        <w:spacing w:after="50" w:line="259" w:lineRule="auto"/>
      </w:pPr>
      <w:r>
        <w:rPr>
          <w:rFonts w:ascii="Arial" w:hAnsi="Arial"/>
          <w:color w:val="27313B"/>
          <w:sz w:val="20"/>
          <w:lang w:val="en-US"/>
        </w:rPr>
        <w:t>No task may be removed because TAL performs poorly on it.</w:t>
      </w:r>
    </w:p>
    <w:p>
      <w:pPr>
        <w:pStyle w:val="ListBullet"/>
        <w:spacing w:after="50" w:line="259" w:lineRule="auto"/>
      </w:pPr>
      <w:r>
        <w:rPr>
          <w:rFonts w:ascii="Arial" w:hAnsi="Arial"/>
          <w:color w:val="27313B"/>
          <w:sz w:val="20"/>
          <w:lang w:val="en-US"/>
        </w:rPr>
        <w:t>Infrastructure failures will be classified using pre-specified rules and rerun for both paired conditions when necessary.</w:t>
      </w:r>
    </w:p>
    <w:p>
      <w:pPr>
        <w:pStyle w:val="ListBullet"/>
        <w:spacing w:after="50" w:line="259" w:lineRule="auto"/>
      </w:pPr>
      <w:r>
        <w:rPr>
          <w:rFonts w:ascii="Arial" w:hAnsi="Arial"/>
          <w:color w:val="27313B"/>
          <w:sz w:val="20"/>
          <w:lang w:val="en-US"/>
        </w:rPr>
        <w:t>Task text, tool results, and hidden evaluator state must be identical across the paired ordinary and TAL runs.</w:t>
      </w:r>
    </w:p>
    <w:p>
      <w:pPr>
        <w:pStyle w:val="ListBullet"/>
        <w:spacing w:after="50" w:line="259" w:lineRule="auto"/>
      </w:pPr>
      <w:r>
        <w:rPr>
          <w:rFonts w:ascii="Arial" w:hAnsi="Arial"/>
          <w:color w:val="27313B"/>
          <w:sz w:val="20"/>
          <w:lang w:val="en-US"/>
        </w:rPr>
        <w:t>A held-out manifest will record every included task and its benchmark version.</w:t>
      </w:r>
    </w:p>
    <w:p>
      <w:pPr>
        <w:pStyle w:val="Heading2"/>
        <w:spacing w:before="140" w:after="80"/>
        <w:keepNext/>
      </w:pPr>
      <w:r>
        <w:rPr>
          <w:rFonts w:ascii="Arial" w:hAnsi="Arial"/>
          <w:b/>
          <w:color w:val="169C96"/>
          <w:sz w:val="24"/>
          <w:lang w:val="en-US"/>
        </w:rPr>
        <w:t>6.3 Optional intermediate benchmark</w:t>
      </w:r>
    </w:p>
    <w:p>
      <w:pPr>
        <w:spacing w:after="120" w:line="269" w:lineRule="auto"/>
        <w:keepLines/>
      </w:pPr>
      <w:r>
        <w:rPr>
          <w:rFonts w:ascii="Arial" w:hAnsi="Arial"/>
          <w:color w:val="27313B"/>
          <w:sz w:val="20"/>
          <w:lang w:val="en-US"/>
        </w:rPr>
        <w:t>Workbench may be added only after the primary pair is implemented, piloted, and costed. It represents a more marginal coordination regime and a tool-rich business domain, but adapting a third benchmark increases engineering risk more than model cost. Workbench should remain an optional extension rather than a requirement for successful completion of the project.</w:t>
      </w:r>
    </w:p>
    <w:p>
      <w:pPr>
        <w:pStyle w:val="Heading1"/>
        <w:spacing w:before="200" w:after="80"/>
        <w:keepNext/>
      </w:pPr>
      <w:r>
        <w:rPr>
          <w:rFonts w:ascii="Arial" w:hAnsi="Arial"/>
          <w:b/>
          <w:color w:val="102A43"/>
          <w:sz w:val="32"/>
          <w:lang w:val="en-US"/>
        </w:rPr>
        <w:t>7. Model Selection and Resource Matching</w:t>
      </w:r>
    </w:p>
    <w:p>
      <w:pPr>
        <w:pStyle w:val="Heading2"/>
        <w:spacing w:before="140" w:after="80"/>
        <w:keepNext/>
      </w:pPr>
      <w:r>
        <w:rPr>
          <w:rFonts w:ascii="Arial" w:hAnsi="Arial"/>
          <w:b/>
          <w:color w:val="169C96"/>
          <w:sz w:val="24"/>
          <w:lang w:val="en-US"/>
        </w:rPr>
        <w:t>7.1 One primary model</w:t>
      </w:r>
    </w:p>
    <w:p>
      <w:pPr>
        <w:spacing w:after="120" w:line="269" w:lineRule="auto"/>
        <w:keepLines/>
      </w:pPr>
      <w:r>
        <w:rPr>
          <w:rFonts w:ascii="Arial" w:hAnsi="Arial"/>
          <w:color w:val="27313B"/>
          <w:sz w:val="20"/>
          <w:lang w:val="en-US"/>
        </w:rPr>
        <w:t>The main study will use one fixed model that appeared in the original paper. This isolates the TAL intervention and keeps the project within a $500 budget. The same model will serve every worker, peer, aggregator, and orchestrator; logical roles do not receive different model weights.</w:t>
      </w:r>
    </w:p>
    <w:p>
      <w:pPr>
        <w:spacing w:after="120" w:line="269" w:lineRule="auto"/>
        <w:keepLines/>
      </w:pPr>
      <w:r>
        <w:rPr>
          <w:rFonts w:ascii="Arial" w:hAnsi="Arial"/>
          <w:color w:val="27313B"/>
          <w:sz w:val="20"/>
          <w:lang w:val="en-US"/>
        </w:rPr>
        <w:t>The default candidates are GPT-5 mini and Gemini 2.5 Flash. Both remain officially documented and are priced for high-volume use at the time of drafting [4,5]. The final selection will be made before preregistration using pilot criteria rather than preference for a particular provider.</w:t>
      </w:r>
    </w:p>
    <w:p>
      <w:pPr>
        <w:pStyle w:val="Heading2"/>
        <w:spacing w:before="140" w:after="80"/>
        <w:keepNext/>
      </w:pPr>
      <w:r>
        <w:rPr>
          <w:rFonts w:ascii="Arial" w:hAnsi="Arial"/>
          <w:b/>
          <w:color w:val="169C96"/>
          <w:sz w:val="24"/>
          <w:lang w:val="en-US"/>
        </w:rPr>
        <w:t>7.2 Model qualification criteria</w:t>
      </w:r>
    </w:p>
    <w:p>
      <w:pPr>
        <w:pStyle w:val="ListBullet"/>
        <w:spacing w:after="50" w:line="259" w:lineRule="auto"/>
      </w:pPr>
      <w:r>
        <w:rPr>
          <w:rFonts w:ascii="Arial" w:hAnsi="Arial"/>
          <w:color w:val="27313B"/>
          <w:sz w:val="20"/>
          <w:lang w:val="en-US"/>
        </w:rPr>
        <w:t>Appeared in the original study or is an explicitly documented replacement used only for a separate replication.</w:t>
      </w:r>
    </w:p>
    <w:p>
      <w:pPr>
        <w:pStyle w:val="ListBullet"/>
        <w:spacing w:after="50" w:line="259" w:lineRule="auto"/>
      </w:pPr>
      <w:r>
        <w:rPr>
          <w:rFonts w:ascii="Arial" w:hAnsi="Arial"/>
          <w:color w:val="27313B"/>
          <w:sz w:val="20"/>
          <w:lang w:val="en-US"/>
        </w:rPr>
        <w:t>Produces valid ordinary tool calls and TAL proposals at an acceptable rate after no more than one repair attempt.</w:t>
      </w:r>
    </w:p>
    <w:p>
      <w:pPr>
        <w:pStyle w:val="ListBullet"/>
        <w:spacing w:after="50" w:line="259" w:lineRule="auto"/>
      </w:pPr>
      <w:r>
        <w:rPr>
          <w:rFonts w:ascii="Arial" w:hAnsi="Arial"/>
          <w:color w:val="27313B"/>
          <w:sz w:val="20"/>
          <w:lang w:val="en-US"/>
        </w:rPr>
        <w:t>Achieves a nontrivial but non-ceiling baseline score on both primary benchmarks.</w:t>
      </w:r>
    </w:p>
    <w:p>
      <w:pPr>
        <w:pStyle w:val="ListBullet"/>
        <w:spacing w:after="50" w:line="259" w:lineRule="auto"/>
      </w:pPr>
      <w:r>
        <w:rPr>
          <w:rFonts w:ascii="Arial" w:hAnsi="Arial"/>
          <w:color w:val="27313B"/>
          <w:sz w:val="20"/>
          <w:lang w:val="en-US"/>
        </w:rPr>
        <w:t>Provides usage accounting sufficient to measure input, output, reasoning where available, and cached tokens.</w:t>
      </w:r>
    </w:p>
    <w:p>
      <w:pPr>
        <w:pStyle w:val="ListBullet"/>
        <w:spacing w:after="50" w:line="259" w:lineRule="auto"/>
      </w:pPr>
      <w:r>
        <w:rPr>
          <w:rFonts w:ascii="Arial" w:hAnsi="Arial"/>
          <w:color w:val="27313B"/>
          <w:sz w:val="20"/>
          <w:lang w:val="en-US"/>
        </w:rPr>
        <w:t>Projected full-study cost remains below the staged inference allocation.</w:t>
      </w:r>
    </w:p>
    <w:p>
      <w:pPr>
        <w:pStyle w:val="ListBullet"/>
        <w:spacing w:after="50" w:line="259" w:lineRule="auto"/>
      </w:pPr>
      <w:r>
        <w:rPr>
          <w:rFonts w:ascii="Arial" w:hAnsi="Arial"/>
          <w:color w:val="27313B"/>
          <w:sz w:val="20"/>
          <w:lang w:val="en-US"/>
        </w:rPr>
        <w:t>The exact model identifier, API version, context limit, and generation parameters can be frozen and recorded.</w:t>
      </w:r>
    </w:p>
    <w:p>
      <w:pPr>
        <w:pStyle w:val="Heading2"/>
        <w:spacing w:before="140" w:after="80"/>
        <w:keepNext/>
      </w:pPr>
      <w:r>
        <w:rPr>
          <w:rFonts w:ascii="Arial" w:hAnsi="Arial"/>
          <w:b/>
          <w:color w:val="169C96"/>
          <w:sz w:val="24"/>
          <w:lang w:val="en-US"/>
        </w:rPr>
        <w:t>7.3 Primary resource regime: matched generated allowance</w:t>
      </w:r>
    </w:p>
    <w:p>
      <w:pPr>
        <w:spacing w:after="120" w:line="269" w:lineRule="auto"/>
        <w:keepLines/>
      </w:pPr>
      <w:r>
        <w:rPr>
          <w:rFonts w:ascii="Arial" w:hAnsi="Arial"/>
          <w:color w:val="27313B"/>
          <w:sz w:val="20"/>
          <w:lang w:val="en-US"/>
        </w:rPr>
        <w:t>The main analysis will give ordinary and TAL conditions the same aggregate generated reasoning/output ceiling. The target is approximately 4,800 generated tokens per episode, reflecting the mean reported by the original study, but the exact hard ceiling will be finalized after the pilot. Multi-agent systems share this budget across all logical agents; they do not receive a full budget per worker.</w:t>
      </w:r>
    </w:p>
    <w:p>
      <w:pPr>
        <w:spacing w:after="120" w:line="269" w:lineRule="auto"/>
        <w:keepLines/>
      </w:pPr>
      <w:r>
        <w:rPr>
          <w:rFonts w:ascii="Arial" w:hAnsi="Arial"/>
          <w:color w:val="27313B"/>
          <w:sz w:val="20"/>
          <w:lang w:val="en-US"/>
        </w:rPr>
        <w:t>TAL’s grammar, schema, manifest, state, and event tokens remain fully visible in the accounting. They are not subtracted from the generated allowance in the primary regime because the primary question is whether TAL creates enough benefit at the same reasoning opportunity to justify its extra input and operational cost.</w:t>
      </w:r>
    </w:p>
    <w:p>
      <w:pPr>
        <w:pStyle w:val="Heading2"/>
        <w:spacing w:before="140" w:after="80"/>
        <w:keepNext/>
      </w:pPr>
      <w:r>
        <w:rPr>
          <w:rFonts w:ascii="Arial" w:hAnsi="Arial"/>
          <w:b/>
          <w:color w:val="169C96"/>
          <w:sz w:val="24"/>
          <w:lang w:val="en-US"/>
        </w:rPr>
        <w:t>7.4 Sensitivity regime: strict total-token budget</w:t>
      </w:r>
    </w:p>
    <w:p>
      <w:pPr>
        <w:spacing w:after="120" w:line="269" w:lineRule="auto"/>
        <w:keepLines/>
      </w:pPr>
      <w:r>
        <w:rPr>
          <w:rFonts w:ascii="Arial" w:hAnsi="Arial"/>
          <w:color w:val="27313B"/>
          <w:sz w:val="20"/>
          <w:lang w:val="en-US"/>
        </w:rPr>
        <w:t>A pre-registered subset of 20 instances per benchmark will be rerun with a hard total-token ceiling that includes input, output, and exposed reasoning tokens. In this regime TAL must pay for its own grammar and dynamic state by reducing waste or solving tasks with less unstructured reasoning. This is the most direct test of whether TAL literally compensates for its context cost.</w:t>
      </w:r>
    </w:p>
    <w:p>
      <w:pPr>
        <w:pStyle w:val="Heading2"/>
        <w:spacing w:before="140" w:after="80"/>
        <w:keepNext/>
      </w:pPr>
      <w:r>
        <w:rPr>
          <w:rFonts w:ascii="Arial" w:hAnsi="Arial"/>
          <w:b/>
          <w:color w:val="169C96"/>
          <w:sz w:val="24"/>
          <w:lang w:val="en-US"/>
        </w:rPr>
        <w:t>7.5 Context window and caching</w:t>
      </w:r>
    </w:p>
    <w:p>
      <w:pPr>
        <w:spacing w:after="120" w:line="269" w:lineRule="auto"/>
        <w:keepLines/>
      </w:pPr>
      <w:r>
        <w:rPr>
          <w:rFonts w:ascii="Arial" w:hAnsi="Arial"/>
          <w:color w:val="27313B"/>
          <w:sz w:val="20"/>
          <w:lang w:val="en-US"/>
        </w:rPr>
        <w:t>Both conditions will use the same maximum context window and truncation policy. The study will distinguish three quantities: raw context occupancy, provider-billed input, and cached-input billing. Prompt caching can reduce monetary cost but does not remove the grammar from the model’s context. Results will therefore report both actual billed cost and a normalized uncached-token cost estimate.</w:t>
      </w: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B04A4A"/>
            <w:tcMar>
              <w:top w:w="0" w:type="dxa"/>
              <w:start w:w="0" w:type="dxa"/>
              <w:bottom w:w="0" w:type="dxa"/>
              <w:end w:w="0" w:type="dxa"/>
            </w:tcMar>
            <w:tcBorders>
              <w:top w:val="nil"/>
              <w:left w:val="nil"/>
              <w:bottom w:val="nil"/>
              <w:right w:val="nil"/>
            </w:tcBorders>
          </w:tcPr>
          <w:p/>
        </w:tc>
        <w:tc>
          <w:tcPr>
            <w:tcW w:type="dxa" w:w="5083"/>
            <w:shd w:fill="FCEEEE"/>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Fairness rule</w:t>
            </w:r>
          </w:p>
          <w:p>
            <w:pPr>
              <w:spacing w:after="0" w:line="259" w:lineRule="auto"/>
            </w:pPr>
            <w:r>
              <w:rPr>
                <w:rFonts w:ascii="Arial" w:hAnsi="Arial"/>
                <w:color w:val="27313B"/>
                <w:sz w:val="19"/>
              </w:rPr>
              <w:t>Equal budget means equal aggregate system budget. Three workers do not receive three times the reasoning allowance of one agent, and TAL does not receive extra generated tokens to compensate for its grammar.</w:t>
            </w:r>
          </w:p>
        </w:tc>
      </w:tr>
    </w:tbl>
    <w:p>
      <w:pPr>
        <w:spacing w:after="0"/>
      </w:pPr>
    </w:p>
    <w:p>
      <w:pPr>
        <w:pStyle w:val="Heading1"/>
        <w:spacing w:before="200" w:after="80"/>
        <w:keepNext/>
      </w:pPr>
      <w:r>
        <w:rPr>
          <w:rFonts w:ascii="Arial" w:hAnsi="Arial"/>
          <w:b/>
          <w:color w:val="102A43"/>
          <w:sz w:val="32"/>
          <w:lang w:val="en-US"/>
        </w:rPr>
        <w:t>8. Outcomes and Measurements</w:t>
      </w:r>
    </w:p>
    <w:p>
      <w:pPr>
        <w:pStyle w:val="Heading2"/>
        <w:spacing w:before="140" w:after="80"/>
        <w:keepNext/>
      </w:pPr>
      <w:r>
        <w:rPr>
          <w:rFonts w:ascii="Arial" w:hAnsi="Arial"/>
          <w:b/>
          <w:color w:val="169C96"/>
          <w:sz w:val="24"/>
          <w:lang w:val="en-US"/>
        </w:rPr>
        <w:t>8.1 Primary outcome</w:t>
      </w:r>
    </w:p>
    <w:p>
      <w:pPr>
        <w:spacing w:after="120" w:line="269" w:lineRule="auto"/>
        <w:keepLines/>
      </w:pPr>
      <w:r>
        <w:rPr>
          <w:rFonts w:ascii="Arial" w:hAnsi="Arial"/>
          <w:color w:val="27313B"/>
          <w:sz w:val="20"/>
          <w:lang w:val="en-US"/>
        </w:rPr>
        <w:t>The primary outcome is the benchmark-native per-instance score normalized to the interval [0,1]. Analyses will be conducted within each benchmark before any pooled model is interpreted. Where a benchmark supplies a binary pass/fail outcome, the binary result will also be reported.</w:t>
      </w:r>
    </w:p>
    <w:p>
      <w:pPr>
        <w:pStyle w:val="Heading2"/>
        <w:spacing w:before="140" w:after="80"/>
        <w:keepNext/>
      </w:pPr>
      <w:r>
        <w:rPr>
          <w:rFonts w:ascii="Arial" w:hAnsi="Arial"/>
          <w:b/>
          <w:color w:val="169C96"/>
          <w:sz w:val="24"/>
          <w:lang w:val="en-US"/>
        </w:rPr>
        <w:t>8.2 Core effect measures</w:t>
      </w:r>
    </w:p>
    <w:tbl>
      <w:tblPr>
        <w:tblStyle w:val="TableGrid"/>
        <w:tblW w:type="auto" w:w="0"/>
        <w:jc w:val="center"/>
        <w:tblLayout w:type="fixed"/>
        <w:tblLook w:firstColumn="1" w:firstRow="1" w:lastColumn="0" w:lastRow="0" w:noHBand="0" w:noVBand="1" w:val="04A0"/>
      </w:tblPr>
      <w:tblGrid>
        <w:gridCol w:w="2304"/>
        <w:gridCol w:w="4104"/>
        <w:gridCol w:w="3384"/>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Measure</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Definition</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Interpretation</w:t>
            </w:r>
          </w:p>
        </w:tc>
      </w:tr>
      <w:tr>
        <w:trPr>
          <w:cantSplit/>
        </w:trPr>
        <w:tc>
          <w:tcPr>
            <w:tcW w:type="dxa" w:w="23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Paired score gain</w:t>
            </w:r>
          </w:p>
        </w:tc>
        <w:tc>
          <w:tcPr>
            <w:tcW w:type="dxa" w:w="41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score - ordinary score for the same architecture and task</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Positive values indicate raw performance benefit.</w:t>
            </w:r>
          </w:p>
        </w:tc>
      </w:tr>
      <w:tr>
        <w:trPr>
          <w:cantSplit/>
        </w:trPr>
        <w:tc>
          <w:tcPr>
            <w:tcW w:type="dxa" w:w="23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context share</w:t>
            </w:r>
          </w:p>
        </w:tc>
        <w:tc>
          <w:tcPr>
            <w:tcW w:type="dxa" w:w="41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(Grammar + schema + manifest + TAL state tokens) / total input tokens</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How much input is consumed by TAL-specific control information.</w:t>
            </w:r>
          </w:p>
        </w:tc>
      </w:tr>
      <w:tr>
        <w:trPr>
          <w:cantSplit/>
        </w:trPr>
        <w:tc>
          <w:tcPr>
            <w:tcW w:type="dxa" w:w="23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Incremental token overhead</w:t>
            </w:r>
          </w:p>
        </w:tc>
        <w:tc>
          <w:tcPr>
            <w:tcW w:type="dxa" w:w="41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total tokens - ordinary total tokens</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Absolute resource cost of the treatment.</w:t>
            </w:r>
          </w:p>
        </w:tc>
      </w:tr>
      <w:tr>
        <w:trPr>
          <w:cantSplit/>
        </w:trPr>
        <w:tc>
          <w:tcPr>
            <w:tcW w:type="dxa" w:w="23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Success per million tokens</w:t>
            </w:r>
          </w:p>
        </w:tc>
        <w:tc>
          <w:tcPr>
            <w:tcW w:type="dxa" w:w="41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Successful tasks / total tokens in millions</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Token-adjusted productivity.</w:t>
            </w:r>
          </w:p>
        </w:tc>
      </w:tr>
      <w:tr>
        <w:trPr>
          <w:cantSplit/>
        </w:trPr>
        <w:tc>
          <w:tcPr>
            <w:tcW w:type="dxa" w:w="23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Cost per successful task</w:t>
            </w:r>
          </w:p>
        </w:tc>
        <w:tc>
          <w:tcPr>
            <w:tcW w:type="dxa" w:w="41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Total billed cost / successful tasks</w:t>
            </w:r>
          </w:p>
        </w:tc>
        <w:tc>
          <w:tcPr>
            <w:tcW w:type="dxa" w:w="338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Deployment-oriented economic efficiency.</w:t>
            </w:r>
          </w:p>
        </w:tc>
      </w:tr>
      <w:tr>
        <w:trPr>
          <w:cantSplit/>
        </w:trPr>
        <w:tc>
          <w:tcPr>
            <w:tcW w:type="dxa" w:w="23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Incremental cost per additional success</w:t>
            </w:r>
          </w:p>
        </w:tc>
        <w:tc>
          <w:tcPr>
            <w:tcW w:type="dxa" w:w="41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cost - ordinary cost) / (TAL successes - ordinary successes)</w:t>
            </w:r>
          </w:p>
        </w:tc>
        <w:tc>
          <w:tcPr>
            <w:tcW w:type="dxa" w:w="338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Break-even value of one extra success when TAL is better but more expensive.</w:t>
            </w:r>
          </w:p>
        </w:tc>
      </w:tr>
    </w:tbl>
    <w:p>
      <w:pPr>
        <w:spacing w:after="0"/>
      </w:pPr>
    </w:p>
    <w:p>
      <w:pPr>
        <w:pStyle w:val="Heading2"/>
        <w:spacing w:before="140" w:after="80"/>
        <w:keepNext/>
      </w:pPr>
      <w:r>
        <w:rPr>
          <w:rFonts w:ascii="Arial" w:hAnsi="Arial"/>
          <w:b/>
          <w:color w:val="169C96"/>
          <w:sz w:val="24"/>
          <w:lang w:val="en-US"/>
        </w:rPr>
        <w:t>8.3 Overhead ledger</w:t>
      </w:r>
    </w:p>
    <w:p>
      <w:pPr>
        <w:spacing w:after="120" w:line="269" w:lineRule="auto"/>
        <w:keepLines/>
      </w:pPr>
      <w:r>
        <w:rPr>
          <w:rFonts w:ascii="Arial" w:hAnsi="Arial"/>
          <w:color w:val="27313B"/>
          <w:sz w:val="20"/>
          <w:lang w:val="en-US"/>
        </w:rPr>
        <w:t>Every model call will produce an overhead record. Category-level token counts will use the provider’s official token-count endpoint or model tokenizer where available; provider-reported usage remains the billing source of truth.</w:t>
      </w:r>
    </w:p>
    <w:tbl>
      <w:tblPr>
        <w:tblStyle w:val="TableGrid"/>
        <w:tblW w:type="auto" w:w="0"/>
        <w:jc w:val="center"/>
        <w:tblLayout w:type="fixed"/>
        <w:tblLook w:firstColumn="1" w:firstRow="1" w:lastColumn="0" w:lastRow="0" w:noHBand="0" w:noVBand="1" w:val="04A0"/>
      </w:tblPr>
      <w:tblGrid>
        <w:gridCol w:w="2088"/>
        <w:gridCol w:w="7704"/>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Field family</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Required fields</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Prompt composition</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Base system, architecture instructions, benchmark task, TAL grammar, response schema, manifest, state, evidence, event history, inter-agent messages</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Generation</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Output tokens, exposed reasoning tokens, stop reason, repairs, rejected proposals</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Execution</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Model calls, tool calls, coordination rounds, concurrent branches, wall-clock time</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Context pressure</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Peak context size, truncation events, summarized or dropped history, cached-input tokens</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Cost</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Actual provider charge where available, normalized uncached estimate, per-task cumulative cost</w:t>
            </w:r>
          </w:p>
        </w:tc>
      </w:tr>
    </w:tbl>
    <w:p>
      <w:pPr>
        <w:spacing w:after="0"/>
      </w:pPr>
    </w:p>
    <w:p>
      <w:pPr>
        <w:pStyle w:val="Heading2"/>
        <w:spacing w:before="140" w:after="80"/>
        <w:keepNext/>
      </w:pPr>
      <w:r>
        <w:rPr>
          <w:rFonts w:ascii="Arial" w:hAnsi="Arial"/>
          <w:b/>
          <w:color w:val="169C96"/>
          <w:sz w:val="24"/>
          <w:lang w:val="en-US"/>
        </w:rPr>
        <w:t>8.4 Reliability and process outcomes</w:t>
      </w:r>
    </w:p>
    <w:p>
      <w:pPr>
        <w:pStyle w:val="ListBullet"/>
        <w:spacing w:after="50" w:line="259" w:lineRule="auto"/>
      </w:pPr>
      <w:r>
        <w:rPr>
          <w:rFonts w:ascii="Arial" w:hAnsi="Arial"/>
          <w:color w:val="27313B"/>
          <w:sz w:val="20"/>
          <w:lang w:val="en-US"/>
        </w:rPr>
        <w:t>Malformed or schema-invalid model outputs.</w:t>
      </w:r>
    </w:p>
    <w:p>
      <w:pPr>
        <w:pStyle w:val="ListBullet"/>
        <w:spacing w:after="50" w:line="259" w:lineRule="auto"/>
      </w:pPr>
      <w:r>
        <w:rPr>
          <w:rFonts w:ascii="Arial" w:hAnsi="Arial"/>
          <w:color w:val="27313B"/>
          <w:sz w:val="20"/>
          <w:lang w:val="en-US"/>
        </w:rPr>
        <w:t>Invalid tool names, arguments, references, or operation kinds.</w:t>
      </w:r>
    </w:p>
    <w:p>
      <w:pPr>
        <w:pStyle w:val="ListBullet"/>
        <w:spacing w:after="50" w:line="259" w:lineRule="auto"/>
      </w:pPr>
      <w:r>
        <w:rPr>
          <w:rFonts w:ascii="Arial" w:hAnsi="Arial"/>
          <w:color w:val="27313B"/>
          <w:sz w:val="20"/>
          <w:lang w:val="en-US"/>
        </w:rPr>
        <w:t>Unsupported completion proposals and completion-repair cycles.</w:t>
      </w:r>
    </w:p>
    <w:p>
      <w:pPr>
        <w:pStyle w:val="ListBullet"/>
        <w:spacing w:after="50" w:line="259" w:lineRule="auto"/>
      </w:pPr>
      <w:r>
        <w:rPr>
          <w:rFonts w:ascii="Arial" w:hAnsi="Arial"/>
          <w:color w:val="27313B"/>
          <w:sz w:val="20"/>
          <w:lang w:val="en-US"/>
        </w:rPr>
        <w:t>Requests outside the effective tool or capability set.</w:t>
      </w:r>
    </w:p>
    <w:p>
      <w:pPr>
        <w:pStyle w:val="ListBullet"/>
        <w:spacing w:after="50" w:line="259" w:lineRule="auto"/>
      </w:pPr>
      <w:r>
        <w:rPr>
          <w:rFonts w:ascii="Arial" w:hAnsi="Arial"/>
          <w:color w:val="27313B"/>
          <w:sz w:val="20"/>
          <w:lang w:val="en-US"/>
        </w:rPr>
        <w:t>Duplicate tool calls and repeated investigation of already available information.</w:t>
      </w:r>
    </w:p>
    <w:p>
      <w:pPr>
        <w:pStyle w:val="ListBullet"/>
        <w:spacing w:after="50" w:line="259" w:lineRule="auto"/>
      </w:pPr>
      <w:r>
        <w:rPr>
          <w:rFonts w:ascii="Arial" w:hAnsi="Arial"/>
          <w:color w:val="27313B"/>
          <w:sz w:val="20"/>
          <w:lang w:val="en-US"/>
        </w:rPr>
        <w:t>Use of stale or superseded state.</w:t>
      </w:r>
    </w:p>
    <w:p>
      <w:pPr>
        <w:pStyle w:val="ListBullet"/>
        <w:spacing w:after="50" w:line="259" w:lineRule="auto"/>
      </w:pPr>
      <w:r>
        <w:rPr>
          <w:rFonts w:ascii="Arial" w:hAnsi="Arial"/>
          <w:color w:val="27313B"/>
          <w:sz w:val="20"/>
          <w:lang w:val="en-US"/>
        </w:rPr>
        <w:t>Number of typed rejections, retryable rejections, and nonproductive repair loops.</w:t>
      </w:r>
    </w:p>
    <w:p>
      <w:pPr>
        <w:pStyle w:val="ListBullet"/>
        <w:spacing w:after="50" w:line="259" w:lineRule="auto"/>
      </w:pPr>
      <w:r>
        <w:rPr>
          <w:rFonts w:ascii="Arial" w:hAnsi="Arial"/>
          <w:color w:val="27313B"/>
          <w:sz w:val="20"/>
          <w:lang w:val="en-US"/>
        </w:rPr>
        <w:t>Context truncation and loss of benchmark-relevant observations.</w:t>
      </w:r>
    </w:p>
    <w:p>
      <w:pPr>
        <w:pStyle w:val="ListBullet"/>
        <w:spacing w:after="50" w:line="259" w:lineRule="auto"/>
      </w:pPr>
      <w:r>
        <w:rPr>
          <w:rFonts w:ascii="Arial" w:hAnsi="Arial"/>
          <w:color w:val="27313B"/>
          <w:sz w:val="20"/>
          <w:lang w:val="en-US"/>
        </w:rPr>
        <w:t>Inter-agent message tokens and redundancy indicators.</w:t>
      </w:r>
    </w:p>
    <w:p>
      <w:pPr>
        <w:pStyle w:val="Heading2"/>
        <w:spacing w:before="140" w:after="80"/>
        <w:keepNext/>
      </w:pPr>
      <w:r>
        <w:rPr>
          <w:rFonts w:ascii="Arial" w:hAnsi="Arial"/>
          <w:b/>
          <w:color w:val="169C96"/>
          <w:sz w:val="24"/>
          <w:lang w:val="en-US"/>
        </w:rPr>
        <w:t>8.5 Decision standard: did TAL pay for itself?</w:t>
      </w:r>
    </w:p>
    <w:tbl>
      <w:tblPr>
        <w:tblStyle w:val="TableGrid"/>
        <w:tblW w:type="auto" w:w="0"/>
        <w:jc w:val="center"/>
        <w:tblLayout w:type="fixed"/>
        <w:tblLook w:firstColumn="1" w:firstRow="1" w:lastColumn="0" w:lastRow="0" w:noHBand="0" w:noVBand="1" w:val="04A0"/>
      </w:tblPr>
      <w:tblGrid>
        <w:gridCol w:w="3240"/>
        <w:gridCol w:w="6552"/>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Observed result</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Interpretation</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Higher score and equal or better efficiency</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clearly pays for its overhead in that configuration.</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Higher score with proportionate extra cost</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converts extra structure into capability; deployment depends on task value.</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Same score with materially better reliability</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provides a reliability benefit rather than a raw capability benefit.</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Higher score but substantially worse efficiency</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creates a capability-cost trade-off; not an unconditional win.</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Lower score but fewer invalid actions</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Safety/reliability trade-off; useful only where the protected failure is costly.</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Lower score and higher cost with no process benefit</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overhead is not justified for that architecture and benchmark.</w:t>
            </w:r>
          </w:p>
        </w:tc>
      </w:tr>
    </w:tbl>
    <w:p>
      <w:pPr>
        <w:spacing w:after="0"/>
      </w:pPr>
    </w:p>
    <w:p>
      <w:pPr>
        <w:pStyle w:val="Heading1"/>
        <w:spacing w:before="200" w:after="80"/>
        <w:keepNext/>
      </w:pPr>
      <w:r>
        <w:rPr>
          <w:rFonts w:ascii="Arial" w:hAnsi="Arial"/>
          <w:b/>
          <w:color w:val="102A43"/>
          <w:sz w:val="32"/>
          <w:lang w:val="en-US"/>
        </w:rPr>
        <w:t>9. Statistical Analysis Plan</w:t>
      </w:r>
    </w:p>
    <w:p>
      <w:pPr>
        <w:pStyle w:val="Heading2"/>
        <w:spacing w:before="140" w:after="80"/>
        <w:keepNext/>
      </w:pPr>
      <w:r>
        <w:rPr>
          <w:rFonts w:ascii="Arial" w:hAnsi="Arial"/>
          <w:b/>
          <w:color w:val="169C96"/>
          <w:sz w:val="24"/>
          <w:lang w:val="en-US"/>
        </w:rPr>
        <w:t>9.1 Primary model</w:t>
      </w:r>
    </w:p>
    <w:p>
      <w:pPr>
        <w:spacing w:after="120" w:line="269" w:lineRule="auto"/>
        <w:keepLines/>
      </w:pPr>
      <w:r>
        <w:rPr>
          <w:rFonts w:ascii="Arial" w:hAnsi="Arial"/>
          <w:color w:val="27313B"/>
          <w:sz w:val="20"/>
          <w:lang w:val="en-US"/>
        </w:rPr>
        <w:t>The primary analysis will use a mixed-effects model with normalized task score as the dependent variable. Fixed effects will include TAL condition, architecture, benchmark, and their interactions. Task instance nested within benchmark will be treated as a repeated unit. If score distributions are strongly non-normal or concentrated at zero and one, the analysis will use an appropriate generalized mixed model or paired nonparametric alternative.</w:t>
      </w:r>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102A43"/>
            <w:tcMar>
              <w:top w:w="0" w:type="dxa"/>
              <w:start w:w="0" w:type="dxa"/>
              <w:bottom w:w="0" w:type="dxa"/>
              <w:end w:w="0" w:type="dxa"/>
            </w:tcMar>
            <w:tcBorders>
              <w:top w:val="nil"/>
              <w:left w:val="nil"/>
              <w:bottom w:val="nil"/>
              <w:right w:val="nil"/>
            </w:tcBorders>
          </w:tcPr>
          <w:p/>
        </w:tc>
        <w:tc>
          <w:tcPr>
            <w:tcW w:type="dxa" w:w="5083"/>
            <w:shd w:fill="EDF4FA"/>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Primary model</w:t>
            </w:r>
          </w:p>
          <w:p>
            <w:pPr>
              <w:spacing w:after="0" w:line="259" w:lineRule="auto"/>
            </w:pPr>
            <w:r>
              <w:rPr>
                <w:rFonts w:ascii="Arial" w:hAnsi="Arial"/>
                <w:color w:val="27313B"/>
                <w:sz w:val="19"/>
              </w:rPr>
              <w:t>Score ~ TAL × Architecture × Benchmark + (1 | Benchmark:Task)</w:t>
            </w:r>
          </w:p>
        </w:tc>
      </w:tr>
    </w:tbl>
    <w:p>
      <w:pPr>
        <w:spacing w:after="0"/>
      </w:pPr>
    </w:p>
    <w:p>
      <w:pPr>
        <w:pStyle w:val="Heading2"/>
        <w:spacing w:before="140" w:after="80"/>
        <w:keepNext/>
      </w:pPr>
      <w:r>
        <w:rPr>
          <w:rFonts w:ascii="Arial" w:hAnsi="Arial"/>
          <w:b/>
          <w:color w:val="169C96"/>
          <w:sz w:val="24"/>
          <w:lang w:val="en-US"/>
        </w:rPr>
        <w:t>9.2 Confirmatory tests</w:t>
      </w:r>
    </w:p>
    <w:p>
      <w:pPr>
        <w:spacing w:after="50" w:line="259" w:lineRule="auto"/>
        <w:ind w:left="403" w:hanging="403"/>
      </w:pPr>
      <w:r>
        <w:rPr>
          <w:rFonts w:ascii="Arial" w:hAnsi="Arial"/>
          <w:b/>
          <w:color w:val="102A43"/>
          <w:sz w:val="20"/>
          <w:lang w:val="en-US"/>
        </w:rPr>
        <w:t xml:space="preserve">1. </w:t>
      </w:r>
      <w:r>
        <w:rPr>
          <w:rFonts w:ascii="Arial" w:hAnsi="Arial"/>
          <w:color w:val="27313B"/>
          <w:sz w:val="20"/>
          <w:lang w:val="en-US"/>
        </w:rPr>
        <w:t>Overall paired TAL effect across the five architectures under the matched-generated-token regime.</w:t>
      </w:r>
    </w:p>
    <w:p>
      <w:pPr>
        <w:spacing w:after="50" w:line="259" w:lineRule="auto"/>
        <w:ind w:left="403" w:hanging="403"/>
      </w:pPr>
      <w:r>
        <w:rPr>
          <w:rFonts w:ascii="Arial" w:hAnsi="Arial"/>
          <w:b/>
          <w:color w:val="102A43"/>
          <w:sz w:val="20"/>
          <w:lang w:val="en-US"/>
        </w:rPr>
        <w:t xml:space="preserve">2. </w:t>
      </w:r>
      <w:r>
        <w:rPr>
          <w:rFonts w:ascii="Arial" w:hAnsi="Arial"/>
          <w:color w:val="27313B"/>
          <w:sz w:val="20"/>
          <w:lang w:val="en-US"/>
        </w:rPr>
        <w:t>TAL × architecture interaction, testing whether the intervention changes architecture rankings or benefits.</w:t>
      </w:r>
    </w:p>
    <w:p>
      <w:pPr>
        <w:spacing w:after="50" w:line="259" w:lineRule="auto"/>
        <w:ind w:left="403" w:hanging="403"/>
      </w:pPr>
      <w:r>
        <w:rPr>
          <w:rFonts w:ascii="Arial" w:hAnsi="Arial"/>
          <w:b/>
          <w:color w:val="102A43"/>
          <w:sz w:val="20"/>
          <w:lang w:val="en-US"/>
        </w:rPr>
        <w:t xml:space="preserve">3. </w:t>
      </w:r>
      <w:r>
        <w:rPr>
          <w:rFonts w:ascii="Arial" w:hAnsi="Arial"/>
          <w:color w:val="27313B"/>
          <w:sz w:val="20"/>
          <w:lang w:val="en-US"/>
        </w:rPr>
        <w:t>TAL × benchmark interaction, testing whether the net effect differs between Finance-Agent and PlanCraft.</w:t>
      </w:r>
    </w:p>
    <w:p>
      <w:pPr>
        <w:spacing w:after="50" w:line="259" w:lineRule="auto"/>
        <w:ind w:left="403" w:hanging="403"/>
      </w:pPr>
      <w:r>
        <w:rPr>
          <w:rFonts w:ascii="Arial" w:hAnsi="Arial"/>
          <w:b/>
          <w:color w:val="102A43"/>
          <w:sz w:val="20"/>
          <w:lang w:val="en-US"/>
        </w:rPr>
        <w:t xml:space="preserve">4. </w:t>
      </w:r>
      <w:r>
        <w:rPr>
          <w:rFonts w:ascii="Arial" w:hAnsi="Arial"/>
          <w:color w:val="27313B"/>
          <w:sz w:val="20"/>
          <w:lang w:val="en-US"/>
        </w:rPr>
        <w:t>Strict-budget TAL effect on the pre-registered sensitivity subset.</w:t>
      </w:r>
    </w:p>
    <w:p>
      <w:pPr>
        <w:pStyle w:val="Heading2"/>
        <w:spacing w:before="140" w:after="80"/>
        <w:keepNext/>
      </w:pPr>
      <w:r>
        <w:rPr>
          <w:rFonts w:ascii="Arial" w:hAnsi="Arial"/>
          <w:b/>
          <w:color w:val="169C96"/>
          <w:sz w:val="24"/>
          <w:lang w:val="en-US"/>
        </w:rPr>
        <w:t>9.3 Architecture-specific contrasts</w:t>
      </w:r>
    </w:p>
    <w:p>
      <w:pPr>
        <w:spacing w:after="120" w:line="269" w:lineRule="auto"/>
        <w:keepLines/>
      </w:pPr>
      <w:r>
        <w:rPr>
          <w:rFonts w:ascii="Arial" w:hAnsi="Arial"/>
          <w:color w:val="27313B"/>
          <w:sz w:val="20"/>
          <w:lang w:val="en-US"/>
        </w:rPr>
        <w:t>Within each architecture, ordinary and TAL runs are paired on the same tasks. Paired bootstrap confidence intervals will be reported for score, total tokens, latency, and cost. Binary success outcomes will use McNemar tests where applicable. Holm correction will control the familywise error rate across the five architecture-specific score contrasts.</w:t>
      </w:r>
    </w:p>
    <w:p>
      <w:pPr>
        <w:pStyle w:val="Heading2"/>
        <w:spacing w:before="140" w:after="80"/>
        <w:keepNext/>
      </w:pPr>
      <w:r>
        <w:rPr>
          <w:rFonts w:ascii="Arial" w:hAnsi="Arial"/>
          <w:b/>
          <w:color w:val="169C96"/>
          <w:sz w:val="24"/>
          <w:lang w:val="en-US"/>
        </w:rPr>
        <w:t>9.4 Exploratory mechanism analyses</w:t>
      </w:r>
    </w:p>
    <w:p>
      <w:pPr>
        <w:pStyle w:val="ListBullet"/>
        <w:spacing w:after="50" w:line="259" w:lineRule="auto"/>
      </w:pPr>
      <w:r>
        <w:rPr>
          <w:rFonts w:ascii="Arial" w:hAnsi="Arial"/>
          <w:color w:val="27313B"/>
          <w:sz w:val="20"/>
          <w:lang w:val="en-US"/>
        </w:rPr>
        <w:t>Regression of paired score difference on incremental TAL context share.</w:t>
      </w:r>
    </w:p>
    <w:p>
      <w:pPr>
        <w:pStyle w:val="ListBullet"/>
        <w:spacing w:after="50" w:line="259" w:lineRule="auto"/>
      </w:pPr>
      <w:r>
        <w:rPr>
          <w:rFonts w:ascii="Arial" w:hAnsi="Arial"/>
          <w:color w:val="27313B"/>
          <w:sz w:val="20"/>
          <w:lang w:val="en-US"/>
        </w:rPr>
        <w:t>Association between rejection/repair cycles and final success.</w:t>
      </w:r>
    </w:p>
    <w:p>
      <w:pPr>
        <w:pStyle w:val="ListBullet"/>
        <w:spacing w:after="50" w:line="259" w:lineRule="auto"/>
      </w:pPr>
      <w:r>
        <w:rPr>
          <w:rFonts w:ascii="Arial" w:hAnsi="Arial"/>
          <w:color w:val="27313B"/>
          <w:sz w:val="20"/>
          <w:lang w:val="en-US"/>
        </w:rPr>
        <w:t>Architecture-specific relationship between inter-agent message overhead and score gain.</w:t>
      </w:r>
    </w:p>
    <w:p>
      <w:pPr>
        <w:pStyle w:val="ListBullet"/>
        <w:spacing w:after="50" w:line="259" w:lineRule="auto"/>
      </w:pPr>
      <w:r>
        <w:rPr>
          <w:rFonts w:ascii="Arial" w:hAnsi="Arial"/>
          <w:color w:val="27313B"/>
          <w:sz w:val="20"/>
          <w:lang w:val="en-US"/>
        </w:rPr>
        <w:t>Whether context truncation mediates negative TAL effects on PlanCraft or Hybrid systems.</w:t>
      </w:r>
    </w:p>
    <w:p>
      <w:pPr>
        <w:pStyle w:val="ListBullet"/>
        <w:spacing w:after="50" w:line="259" w:lineRule="auto"/>
      </w:pPr>
      <w:r>
        <w:rPr>
          <w:rFonts w:ascii="Arial" w:hAnsi="Arial"/>
          <w:color w:val="27313B"/>
          <w:sz w:val="20"/>
          <w:lang w:val="en-US"/>
        </w:rPr>
        <w:t>Cost-effectiveness frontier comparing score, total tokens, latency, and cost.</w:t>
      </w:r>
    </w:p>
    <w:p>
      <w:pPr>
        <w:pStyle w:val="Heading2"/>
        <w:spacing w:before="140" w:after="80"/>
        <w:keepNext/>
      </w:pPr>
      <w:r>
        <w:rPr>
          <w:rFonts w:ascii="Arial" w:hAnsi="Arial"/>
          <w:b/>
          <w:color w:val="169C96"/>
          <w:sz w:val="24"/>
          <w:lang w:val="en-US"/>
        </w:rPr>
        <w:t>9.5 Reporting principles</w:t>
      </w:r>
    </w:p>
    <w:p>
      <w:pPr>
        <w:spacing w:after="120" w:line="269" w:lineRule="auto"/>
        <w:keepLines/>
      </w:pPr>
      <w:r>
        <w:rPr>
          <w:rFonts w:ascii="Arial" w:hAnsi="Arial"/>
          <w:color w:val="27313B"/>
          <w:sz w:val="20"/>
          <w:lang w:val="en-US"/>
        </w:rPr>
        <w:t>The report will present effect sizes and confidence intervals rather than relying on significance alone. Benchmark-specific results will remain visible even when a pooled model is reported. Repeated model calls and sensitivity reruns will not be treated as independent tasks. Negative and ambiguous findings will be retained.</w:t>
      </w:r>
    </w:p>
    <w:p>
      <w:pPr>
        <w:pStyle w:val="Heading1"/>
        <w:spacing w:before="200" w:after="80"/>
        <w:keepNext/>
      </w:pPr>
      <w:r>
        <w:rPr>
          <w:rFonts w:ascii="Arial" w:hAnsi="Arial"/>
          <w:b/>
          <w:color w:val="102A43"/>
          <w:sz w:val="32"/>
          <w:lang w:val="en-US"/>
        </w:rPr>
        <w:t>10. Pilot, Certification, and Reproducibility</w:t>
      </w:r>
    </w:p>
    <w:p>
      <w:pPr>
        <w:pStyle w:val="Heading2"/>
        <w:spacing w:before="140" w:after="80"/>
        <w:keepNext/>
      </w:pPr>
      <w:r>
        <w:rPr>
          <w:rFonts w:ascii="Arial" w:hAnsi="Arial"/>
          <w:b/>
          <w:color w:val="169C96"/>
          <w:sz w:val="24"/>
          <w:lang w:val="en-US"/>
        </w:rPr>
        <w:t>10.1 Offline TAL certification</w:t>
      </w:r>
    </w:p>
    <w:p>
      <w:pPr>
        <w:spacing w:after="120" w:line="269" w:lineRule="auto"/>
        <w:keepLines/>
      </w:pPr>
      <w:r>
        <w:rPr>
          <w:rFonts w:ascii="Arial" w:hAnsi="Arial"/>
          <w:color w:val="27313B"/>
          <w:sz w:val="20"/>
          <w:lang w:val="en-US"/>
        </w:rPr>
        <w:t>Before live-model evaluation, a deterministic scripted adapter will exercise every TAL response kind, rejection class, terminal state, and state-transition path used by the selected benchmarks. This follows the TAL specification’s requirement to prove harness behavior independently of model quality [3].</w:t>
      </w:r>
    </w:p>
    <w:p>
      <w:pPr>
        <w:pStyle w:val="ListBullet"/>
        <w:spacing w:after="50" w:line="259" w:lineRule="auto"/>
      </w:pPr>
      <w:r>
        <w:rPr>
          <w:rFonts w:ascii="Arial" w:hAnsi="Arial"/>
          <w:color w:val="27313B"/>
          <w:sz w:val="20"/>
          <w:lang w:val="en-US"/>
        </w:rPr>
        <w:t>Rejected proposals never change authoritative benchmark or harness state.</w:t>
      </w:r>
    </w:p>
    <w:p>
      <w:pPr>
        <w:pStyle w:val="ListBullet"/>
        <w:spacing w:after="50" w:line="259" w:lineRule="auto"/>
      </w:pPr>
      <w:r>
        <w:rPr>
          <w:rFonts w:ascii="Arial" w:hAnsi="Arial"/>
          <w:color w:val="27313B"/>
          <w:sz w:val="20"/>
          <w:lang w:val="en-US"/>
        </w:rPr>
        <w:t>Unknown fields, nonexistent references, and invalid operation kinds are rejected.</w:t>
      </w:r>
    </w:p>
    <w:p>
      <w:pPr>
        <w:pStyle w:val="ListBullet"/>
        <w:spacing w:after="50" w:line="259" w:lineRule="auto"/>
      </w:pPr>
      <w:r>
        <w:rPr>
          <w:rFonts w:ascii="Arial" w:hAnsi="Arial"/>
          <w:color w:val="27313B"/>
          <w:sz w:val="20"/>
          <w:lang w:val="en-US"/>
        </w:rPr>
        <w:t>Tool calls outside the effective set are blocked.</w:t>
      </w:r>
    </w:p>
    <w:p>
      <w:pPr>
        <w:pStyle w:val="ListBullet"/>
        <w:spacing w:after="50" w:line="259" w:lineRule="auto"/>
      </w:pPr>
      <w:r>
        <w:rPr>
          <w:rFonts w:ascii="Arial" w:hAnsi="Arial"/>
          <w:color w:val="27313B"/>
          <w:sz w:val="20"/>
          <w:lang w:val="en-US"/>
        </w:rPr>
        <w:t>Duplicate side effects or repeated semantic actions are handled consistently.</w:t>
      </w:r>
    </w:p>
    <w:p>
      <w:pPr>
        <w:pStyle w:val="ListBullet"/>
        <w:spacing w:after="50" w:line="259" w:lineRule="auto"/>
      </w:pPr>
      <w:r>
        <w:rPr>
          <w:rFonts w:ascii="Arial" w:hAnsi="Arial"/>
          <w:color w:val="27313B"/>
          <w:sz w:val="20"/>
          <w:lang w:val="en-US"/>
        </w:rPr>
        <w:t>Completion requires the declared evidence and cannot be produced by unsupported model assertion.</w:t>
      </w:r>
    </w:p>
    <w:p>
      <w:pPr>
        <w:pStyle w:val="ListBullet"/>
        <w:spacing w:after="50" w:line="259" w:lineRule="auto"/>
      </w:pPr>
      <w:r>
        <w:rPr>
          <w:rFonts w:ascii="Arial" w:hAnsi="Arial"/>
          <w:color w:val="27313B"/>
          <w:sz w:val="20"/>
          <w:lang w:val="en-US"/>
        </w:rPr>
        <w:t>Replay reconstructs the same accepted state from the same event sequence.</w:t>
      </w:r>
    </w:p>
    <w:p>
      <w:pPr>
        <w:pStyle w:val="Heading2"/>
        <w:spacing w:before="140" w:after="80"/>
        <w:keepNext/>
      </w:pPr>
      <w:r>
        <w:rPr>
          <w:rFonts w:ascii="Arial" w:hAnsi="Arial"/>
          <w:b/>
          <w:color w:val="169C96"/>
          <w:sz w:val="24"/>
          <w:lang w:val="en-US"/>
        </w:rPr>
        <w:t>10.2 Excluded live pilot</w:t>
      </w:r>
    </w:p>
    <w:p>
      <w:pPr>
        <w:spacing w:after="120" w:line="269" w:lineRule="auto"/>
        <w:keepLines/>
      </w:pPr>
      <w:r>
        <w:rPr>
          <w:rFonts w:ascii="Arial" w:hAnsi="Arial"/>
          <w:color w:val="27313B"/>
          <w:sz w:val="20"/>
          <w:lang w:val="en-US"/>
        </w:rPr>
        <w:t>Five instances per benchmark will be run across all ten conditions and excluded from the final analysis. The pilot will validate model choice, task difficulty, grammar size, schema compliance, runtime stability, token accounting, projected cost, and baseline parity.</w:t>
      </w:r>
    </w:p>
    <w:tbl>
      <w:tblPr>
        <w:tblStyle w:val="TableGrid"/>
        <w:tblW w:type="auto" w:w="0"/>
        <w:jc w:val="center"/>
        <w:tblLayout w:type="fixed"/>
        <w:tblLook w:firstColumn="1" w:firstRow="1" w:lastColumn="0" w:lastRow="0" w:noHBand="0" w:noVBand="1" w:val="04A0"/>
      </w:tblPr>
      <w:tblGrid>
        <w:gridCol w:w="2088"/>
        <w:gridCol w:w="7704"/>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Pilot gate</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Required outcome before protocol freeze</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Baseline parity</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Instrumented ordinary runner matches the unmodified repository within the predefined tolerance.</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validity</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At least 95% of responses are valid after no more than one repair, or a lower threshold is explicitly justified.</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Task range</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selected model is neither at floor nor ceiling across both benchmarks.</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Token ledger</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Prompt categories reconcile with provider totals closely enough for overhead attribution.</w:t>
            </w:r>
          </w:p>
        </w:tc>
      </w:tr>
      <w:tr>
        <w:trPr>
          <w:cantSplit/>
        </w:trPr>
        <w:tc>
          <w:tcPr>
            <w:tcW w:type="dxa" w:w="208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No hidden reasoning</w:t>
            </w:r>
          </w:p>
        </w:tc>
        <w:tc>
          <w:tcPr>
            <w:tcW w:type="dxa" w:w="770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Harness logs demonstrate that deterministic components validate but do not solve benchmark content.</w:t>
            </w:r>
          </w:p>
        </w:tc>
      </w:tr>
      <w:tr>
        <w:trPr>
          <w:cantSplit/>
        </w:trPr>
        <w:tc>
          <w:tcPr>
            <w:tcW w:type="dxa" w:w="208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Cost gate</w:t>
            </w:r>
          </w:p>
        </w:tc>
        <w:tc>
          <w:tcPr>
            <w:tcW w:type="dxa" w:w="770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Projected primary and sensitivity runs fit within the staged inference budget with reserve.</w:t>
            </w:r>
          </w:p>
        </w:tc>
      </w:tr>
    </w:tbl>
    <w:p>
      <w:pPr>
        <w:spacing w:after="0"/>
      </w:pPr>
    </w:p>
    <w:p>
      <w:pPr>
        <w:pStyle w:val="Heading2"/>
        <w:spacing w:before="140" w:after="80"/>
        <w:keepNext/>
      </w:pPr>
      <w:r>
        <w:rPr>
          <w:rFonts w:ascii="Arial" w:hAnsi="Arial"/>
          <w:b/>
          <w:color w:val="169C96"/>
          <w:sz w:val="24"/>
          <w:lang w:val="en-US"/>
        </w:rPr>
        <w:t>10.3 Protocol freeze</w:t>
      </w:r>
    </w:p>
    <w:p>
      <w:pPr>
        <w:spacing w:after="120" w:line="269" w:lineRule="auto"/>
        <w:keepLines/>
      </w:pPr>
      <w:r>
        <w:rPr>
          <w:rFonts w:ascii="Arial" w:hAnsi="Arial"/>
          <w:color w:val="27313B"/>
          <w:sz w:val="20"/>
          <w:lang w:val="en-US"/>
        </w:rPr>
        <w:t>After the pilot, the following artifacts will be versioned, hashed, and frozen: repository commit and release tag, TAL grammar, schemas, harness version, benchmark setup, instance lists, prompts, model identifier, generation parameters, architecture limits, token ceilings, tool definitions, scoring code, randomization seeds, exclusion rules, and analysis scripts.</w:t>
      </w:r>
    </w:p>
    <w:p>
      <w:pPr>
        <w:pStyle w:val="Heading2"/>
        <w:spacing w:before="140" w:after="80"/>
        <w:keepNext/>
      </w:pPr>
      <w:r>
        <w:rPr>
          <w:rFonts w:ascii="Arial" w:hAnsi="Arial"/>
          <w:b/>
          <w:color w:val="169C96"/>
          <w:sz w:val="24"/>
          <w:lang w:val="en-US"/>
        </w:rPr>
        <w:t>10.4 Randomization and provider drift</w:t>
      </w:r>
    </w:p>
    <w:p>
      <w:pPr>
        <w:spacing w:after="120" w:line="269" w:lineRule="auto"/>
        <w:keepLines/>
      </w:pPr>
      <w:r>
        <w:rPr>
          <w:rFonts w:ascii="Arial" w:hAnsi="Arial"/>
          <w:color w:val="27313B"/>
          <w:sz w:val="20"/>
          <w:lang w:val="en-US"/>
        </w:rPr>
        <w:t>Condition order will be randomized within each task block, and architecture-condition cells will be interleaved rather than run in large sequential batches. Exact timestamps, provider model identifiers, API versions, usage records, errors, retries, and raw responses will be preserved. Any provider change during the experiment will be documented and may trigger a protocol-defined block restart.</w:t>
      </w:r>
    </w:p>
    <w:p>
      <w:pPr>
        <w:pStyle w:val="Heading2"/>
        <w:spacing w:before="140" w:after="80"/>
        <w:keepNext/>
      </w:pPr>
      <w:r>
        <w:rPr>
          <w:rFonts w:ascii="Arial" w:hAnsi="Arial"/>
          <w:b/>
          <w:color w:val="169C96"/>
          <w:sz w:val="24"/>
          <w:lang w:val="en-US"/>
        </w:rPr>
        <w:t>10.5 Human trace review</w:t>
      </w:r>
    </w:p>
    <w:p>
      <w:pPr>
        <w:spacing w:after="120" w:line="269" w:lineRule="auto"/>
        <w:keepLines/>
      </w:pPr>
      <w:r>
        <w:rPr>
          <w:rFonts w:ascii="Arial" w:hAnsi="Arial"/>
          <w:color w:val="27313B"/>
          <w:sz w:val="20"/>
          <w:lang w:val="en-US"/>
        </w:rPr>
        <w:t>Most process outcomes will be computed automatically from structured logs. Human review will be limited to a blinded, stratified sample of discordant pairs, unexpected failures, and matched successes. This prevents the project from becoming an unmanageable manual annotation effort and reduces confirmation bias.</w:t>
      </w:r>
    </w:p>
    <w:p>
      <w:pPr>
        <w:pStyle w:val="Heading1"/>
        <w:spacing w:before="200" w:after="80"/>
        <w:keepNext/>
      </w:pPr>
      <w:r>
        <w:rPr>
          <w:rFonts w:ascii="Arial" w:hAnsi="Arial"/>
          <w:b/>
          <w:color w:val="102A43"/>
          <w:sz w:val="32"/>
          <w:lang w:val="en-US"/>
        </w:rPr>
        <w:t>11. Budget and Feasibility</w:t>
      </w:r>
    </w:p>
    <w:p>
      <w:pPr>
        <w:pStyle w:val="Heading2"/>
        <w:spacing w:before="140" w:after="80"/>
        <w:keepNext/>
      </w:pPr>
      <w:r>
        <w:rPr>
          <w:rFonts w:ascii="Arial" w:hAnsi="Arial"/>
          <w:b/>
          <w:color w:val="169C96"/>
          <w:sz w:val="24"/>
          <w:lang w:val="en-US"/>
        </w:rPr>
        <w:t>11.1 Proposed budget</w:t>
      </w:r>
    </w:p>
    <w:tbl>
      <w:tblPr>
        <w:tblStyle w:val="TableGrid"/>
        <w:tblW w:type="auto" w:w="0"/>
        <w:jc w:val="center"/>
        <w:tblLayout w:type="fixed"/>
        <w:tblLook w:firstColumn="1" w:firstRow="1" w:lastColumn="0" w:lastRow="0" w:noHBand="0" w:noVBand="1" w:val="04A0"/>
      </w:tblPr>
      <w:tblGrid>
        <w:gridCol w:w="2952"/>
        <w:gridCol w:w="1224"/>
        <w:gridCol w:w="5616"/>
      </w:tblGrid>
      <w:tr>
        <w:trPr>
          <w:tblHeader w:val="true"/>
          <w:cantSplit/>
        </w:trPr>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Category</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Maximum</w:t>
            </w:r>
          </w:p>
        </w:tc>
        <w:tc>
          <w:tcPr>
            <w:tcW w:type="dxa" w:w="3389"/>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Purpose</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Primary API inference</w:t>
            </w:r>
          </w:p>
        </w:tc>
        <w:tc>
          <w:tcPr>
            <w:tcW w:type="dxa" w:w="122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$220</w:t>
            </w:r>
          </w:p>
        </w:tc>
        <w:tc>
          <w:tcPr>
            <w:tcW w:type="dxa" w:w="56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Main 1,000-episode matrix, pilot, and required paired reruns</w:t>
            </w:r>
          </w:p>
        </w:tc>
      </w:tr>
      <w:tr>
        <w:trPr>
          <w:cantSplit/>
        </w:trPr>
        <w:tc>
          <w:tcPr>
            <w:tcW w:type="dxa" w:w="29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Strict-budget sensitivity</w:t>
            </w:r>
          </w:p>
        </w:tc>
        <w:tc>
          <w:tcPr>
            <w:tcW w:type="dxa" w:w="122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$80</w:t>
            </w:r>
          </w:p>
        </w:tc>
        <w:tc>
          <w:tcPr>
            <w:tcW w:type="dxa" w:w="56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Additional 400 episodes under total-token matching</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Optional second-model replication</w:t>
            </w:r>
          </w:p>
        </w:tc>
        <w:tc>
          <w:tcPr>
            <w:tcW w:type="dxa" w:w="122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w:t>
            </w:r>
          </w:p>
        </w:tc>
        <w:tc>
          <w:tcPr>
            <w:tcW w:type="dxa" w:w="56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Small SAS/Centralized/Hybrid replication if core study is complete</w:t>
            </w:r>
          </w:p>
        </w:tc>
      </w:tr>
      <w:tr>
        <w:trPr>
          <w:cantSplit/>
        </w:trPr>
        <w:tc>
          <w:tcPr>
            <w:tcW w:type="dxa" w:w="29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Storage / compute / backup</w:t>
            </w:r>
          </w:p>
        </w:tc>
        <w:tc>
          <w:tcPr>
            <w:tcW w:type="dxa" w:w="122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$40</w:t>
            </w:r>
          </w:p>
        </w:tc>
        <w:tc>
          <w:tcPr>
            <w:tcW w:type="dxa" w:w="56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Logs, artifacts, local Docker or temporary compute needs</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Poster and presentation</w:t>
            </w:r>
          </w:p>
        </w:tc>
        <w:tc>
          <w:tcPr>
            <w:tcW w:type="dxa" w:w="122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w:t>
            </w:r>
          </w:p>
        </w:tc>
        <w:tc>
          <w:tcPr>
            <w:tcW w:type="dxa" w:w="56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Undergraduate research poster, printing, or mounting</w:t>
            </w:r>
          </w:p>
        </w:tc>
      </w:tr>
      <w:tr>
        <w:trPr>
          <w:cantSplit/>
        </w:trPr>
        <w:tc>
          <w:tcPr>
            <w:tcW w:type="dxa" w:w="29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Contingency</w:t>
            </w:r>
          </w:p>
        </w:tc>
        <w:tc>
          <w:tcPr>
            <w:tcW w:type="dxa" w:w="122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$60</w:t>
            </w:r>
          </w:p>
        </w:tc>
        <w:tc>
          <w:tcPr>
            <w:tcW w:type="dxa" w:w="561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Provider changes, failed blocks, unexpected tool or storage costs</w:t>
            </w:r>
          </w:p>
        </w:tc>
      </w:tr>
      <w:tr>
        <w:trPr>
          <w:cantSplit/>
        </w:trPr>
        <w:tc>
          <w:tcPr>
            <w:tcW w:type="dxa" w:w="29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Total ceiling</w:t>
            </w:r>
          </w:p>
        </w:tc>
        <w:tc>
          <w:tcPr>
            <w:tcW w:type="dxa" w:w="122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$500</w:t>
            </w:r>
          </w:p>
        </w:tc>
        <w:tc>
          <w:tcPr>
            <w:tcW w:type="dxa" w:w="561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Expected actual spending may be substantially lower</w:t>
            </w:r>
          </w:p>
        </w:tc>
      </w:tr>
    </w:tbl>
    <w:p>
      <w:pPr>
        <w:spacing w:after="0"/>
      </w:pPr>
    </w:p>
    <w:p>
      <w:pPr>
        <w:pStyle w:val="Heading2"/>
        <w:spacing w:before="140" w:after="80"/>
        <w:keepNext/>
      </w:pPr>
      <w:r>
        <w:rPr>
          <w:rFonts w:ascii="Arial" w:hAnsi="Arial"/>
          <w:b/>
          <w:color w:val="169C96"/>
          <w:sz w:val="24"/>
          <w:lang w:val="en-US"/>
        </w:rPr>
        <w:t>11.2 Spending controls</w:t>
      </w:r>
    </w:p>
    <w:p>
      <w:pPr>
        <w:pStyle w:val="ListBullet"/>
        <w:spacing w:after="50" w:line="259" w:lineRule="auto"/>
      </w:pPr>
      <w:r>
        <w:rPr>
          <w:rFonts w:ascii="Arial" w:hAnsi="Arial"/>
          <w:color w:val="27313B"/>
          <w:sz w:val="20"/>
          <w:lang w:val="en-US"/>
        </w:rPr>
        <w:t>Do not purchase the full inference allocation before pilot-derived cost projection.</w:t>
      </w:r>
    </w:p>
    <w:p>
      <w:pPr>
        <w:pStyle w:val="ListBullet"/>
        <w:spacing w:after="50" w:line="259" w:lineRule="auto"/>
      </w:pPr>
      <w:r>
        <w:rPr>
          <w:rFonts w:ascii="Arial" w:hAnsi="Arial"/>
          <w:color w:val="27313B"/>
          <w:sz w:val="20"/>
          <w:lang w:val="en-US"/>
        </w:rPr>
        <w:t>Complete the primary matrix before any optional model or benchmark extension.</w:t>
      </w:r>
    </w:p>
    <w:p>
      <w:pPr>
        <w:pStyle w:val="ListBullet"/>
        <w:spacing w:after="50" w:line="259" w:lineRule="auto"/>
      </w:pPr>
      <w:r>
        <w:rPr>
          <w:rFonts w:ascii="Arial" w:hAnsi="Arial"/>
          <w:color w:val="27313B"/>
          <w:sz w:val="20"/>
          <w:lang w:val="en-US"/>
        </w:rPr>
        <w:t>Use a hard study-level cost cap enforced by the runner.</w:t>
      </w:r>
    </w:p>
    <w:p>
      <w:pPr>
        <w:pStyle w:val="ListBullet"/>
        <w:spacing w:after="50" w:line="259" w:lineRule="auto"/>
      </w:pPr>
      <w:r>
        <w:rPr>
          <w:rFonts w:ascii="Arial" w:hAnsi="Arial"/>
          <w:color w:val="27313B"/>
          <w:sz w:val="20"/>
          <w:lang w:val="en-US"/>
        </w:rPr>
        <w:t>Record raw and cached token cost separately; re-check provider pricing immediately before the main run.</w:t>
      </w:r>
    </w:p>
    <w:p>
      <w:pPr>
        <w:pStyle w:val="ListBullet"/>
        <w:spacing w:after="50" w:line="259" w:lineRule="auto"/>
      </w:pPr>
      <w:r>
        <w:rPr>
          <w:rFonts w:ascii="Arial" w:hAnsi="Arial"/>
          <w:color w:val="27313B"/>
          <w:sz w:val="20"/>
          <w:lang w:val="en-US"/>
        </w:rPr>
        <w:t>If projected cost rises, reduce optional replication before reducing the 50-instance primary benchmark samples.</w:t>
      </w:r>
    </w:p>
    <w:p>
      <w:pPr>
        <w:pStyle w:val="Heading2"/>
        <w:spacing w:before="140" w:after="80"/>
        <w:keepNext/>
      </w:pPr>
      <w:r>
        <w:rPr>
          <w:rFonts w:ascii="Arial" w:hAnsi="Arial"/>
          <w:b/>
          <w:color w:val="169C96"/>
          <w:sz w:val="24"/>
          <w:lang w:val="en-US"/>
        </w:rPr>
        <w:t>11.3 Feasibility assessment</w:t>
      </w:r>
    </w:p>
    <w:p>
      <w:pPr>
        <w:spacing w:after="120" w:line="269" w:lineRule="auto"/>
        <w:keepLines/>
      </w:pPr>
      <w:r>
        <w:rPr>
          <w:rFonts w:ascii="Arial" w:hAnsi="Arial"/>
          <w:color w:val="27313B"/>
          <w:sz w:val="20"/>
          <w:lang w:val="en-US"/>
        </w:rPr>
        <w:t>The $500 ceiling is sufficient for a one-model study using current low-cost models from the original pool, but the main feasibility risk is engineering rather than inference. The project depends on reproducing the released baseline, adapting two benchmark interfaces to TAL, validating a non-reasoning harness, and maintaining exact token accounting. The scope is realistic only if the primary benchmark pair is protected from optional feature expansion.</w:t>
      </w:r>
    </w:p>
    <w:p>
      <w:pPr>
        <w:pStyle w:val="Heading1"/>
        <w:spacing w:before="200" w:after="80"/>
        <w:keepNext/>
      </w:pPr>
      <w:r>
        <w:rPr>
          <w:rFonts w:ascii="Arial" w:hAnsi="Arial"/>
          <w:b/>
          <w:color w:val="102A43"/>
          <w:sz w:val="32"/>
          <w:lang w:val="en-US"/>
        </w:rPr>
        <w:t>12. Proposed Schedule</w:t>
      </w:r>
    </w:p>
    <w:tbl>
      <w:tblPr>
        <w:tblStyle w:val="TableGrid"/>
        <w:tblW w:type="auto" w:w="0"/>
        <w:jc w:val="center"/>
        <w:tblLayout w:type="fixed"/>
        <w:tblLook w:firstColumn="1" w:firstRow="1" w:lastColumn="0" w:lastRow="0" w:noHBand="0" w:noVBand="1" w:val="04A0"/>
      </w:tblPr>
      <w:tblGrid>
        <w:gridCol w:w="864"/>
        <w:gridCol w:w="8928"/>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Week</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Work</w:t>
            </w:r>
          </w:p>
        </w:tc>
      </w:tr>
      <w:tr>
        <w:trPr>
          <w:cantSplit/>
        </w:trPr>
        <w:tc>
          <w:tcPr>
            <w:tcW w:type="dxa" w:w="8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w:t>
            </w:r>
          </w:p>
        </w:tc>
        <w:tc>
          <w:tcPr>
            <w:tcW w:type="dxa" w:w="89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Review protocol with faculty mentor; clone and freeze the manuscript repository release.</w:t>
            </w:r>
          </w:p>
        </w:tc>
      </w:tr>
      <w:tr>
        <w:trPr>
          <w:cantSplit/>
        </w:trPr>
        <w:tc>
          <w:tcPr>
            <w:tcW w:type="dxa" w:w="8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2</w:t>
            </w:r>
          </w:p>
        </w:tc>
        <w:tc>
          <w:tcPr>
            <w:tcW w:type="dxa" w:w="89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Run unmodified baseline; validate Finance-Agent and PlanCraft setup; select candidate model.</w:t>
            </w:r>
          </w:p>
        </w:tc>
      </w:tr>
      <w:tr>
        <w:trPr>
          <w:cantSplit/>
        </w:trPr>
        <w:tc>
          <w:tcPr>
            <w:tcW w:type="dxa" w:w="8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3</w:t>
            </w:r>
          </w:p>
        </w:tc>
        <w:tc>
          <w:tcPr>
            <w:tcW w:type="dxa" w:w="89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Implement instrumentation and baseline parity tests.</w:t>
            </w:r>
          </w:p>
        </w:tc>
      </w:tr>
      <w:tr>
        <w:trPr>
          <w:cantSplit/>
        </w:trPr>
        <w:tc>
          <w:tcPr>
            <w:tcW w:type="dxa" w:w="8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4</w:t>
            </w:r>
          </w:p>
        </w:tc>
        <w:tc>
          <w:tcPr>
            <w:tcW w:type="dxa" w:w="89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Implement TAL context builder, proposal parser, validation, action gate, and overhead ledger.</w:t>
            </w:r>
          </w:p>
        </w:tc>
      </w:tr>
      <w:tr>
        <w:trPr>
          <w:cantSplit/>
        </w:trPr>
        <w:tc>
          <w:tcPr>
            <w:tcW w:type="dxa" w:w="8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5</w:t>
            </w:r>
          </w:p>
        </w:tc>
        <w:tc>
          <w:tcPr>
            <w:tcW w:type="dxa" w:w="89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Adapt the five architectures while preserving their reasoning topology and scheduler.</w:t>
            </w:r>
          </w:p>
        </w:tc>
      </w:tr>
      <w:tr>
        <w:trPr>
          <w:cantSplit/>
        </w:trPr>
        <w:tc>
          <w:tcPr>
            <w:tcW w:type="dxa" w:w="8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6</w:t>
            </w:r>
          </w:p>
        </w:tc>
        <w:tc>
          <w:tcPr>
            <w:tcW w:type="dxa" w:w="89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Complete scripted certification and excluded live pilot.</w:t>
            </w:r>
          </w:p>
        </w:tc>
      </w:tr>
      <w:tr>
        <w:trPr>
          <w:cantSplit/>
        </w:trPr>
        <w:tc>
          <w:tcPr>
            <w:tcW w:type="dxa" w:w="8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7</w:t>
            </w:r>
          </w:p>
        </w:tc>
        <w:tc>
          <w:tcPr>
            <w:tcW w:type="dxa" w:w="89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Run cost/power simulation; freeze protocol, instance manifests, model, prompts, and analysis.</w:t>
            </w:r>
          </w:p>
        </w:tc>
      </w:tr>
      <w:tr>
        <w:trPr>
          <w:cantSplit/>
        </w:trPr>
        <w:tc>
          <w:tcPr>
            <w:tcW w:type="dxa" w:w="8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8-9</w:t>
            </w:r>
          </w:p>
        </w:tc>
        <w:tc>
          <w:tcPr>
            <w:tcW w:type="dxa" w:w="89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Execute the 1,000 primary episodes with randomized interleaving and continuous integrity checks.</w:t>
            </w:r>
          </w:p>
        </w:tc>
      </w:tr>
      <w:tr>
        <w:trPr>
          <w:cantSplit/>
        </w:trPr>
        <w:tc>
          <w:tcPr>
            <w:tcW w:type="dxa" w:w="8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10</w:t>
            </w:r>
          </w:p>
        </w:tc>
        <w:tc>
          <w:tcPr>
            <w:tcW w:type="dxa" w:w="89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Execute strict total-token sensitivity block and required paired reruns.</w:t>
            </w:r>
          </w:p>
        </w:tc>
      </w:tr>
      <w:tr>
        <w:trPr>
          <w:cantSplit/>
        </w:trPr>
        <w:tc>
          <w:tcPr>
            <w:tcW w:type="dxa" w:w="86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11</w:t>
            </w:r>
          </w:p>
        </w:tc>
        <w:tc>
          <w:tcPr>
            <w:tcW w:type="dxa" w:w="89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Run statistical analysis, cost-effectiveness analysis, and blinded trace review.</w:t>
            </w:r>
          </w:p>
        </w:tc>
      </w:tr>
      <w:tr>
        <w:trPr>
          <w:cantSplit/>
        </w:trPr>
        <w:tc>
          <w:tcPr>
            <w:tcW w:type="dxa" w:w="86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12</w:t>
            </w:r>
          </w:p>
        </w:tc>
        <w:tc>
          <w:tcPr>
            <w:tcW w:type="dxa" w:w="89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Write report, prepare figures and poster, package code, manifests, traces, and limitations.</w:t>
            </w:r>
          </w:p>
        </w:tc>
      </w:tr>
    </w:tbl>
    <w:p>
      <w:pPr>
        <w:spacing w:after="0"/>
      </w:pPr>
    </w:p>
    <w:p>
      <w:pPr>
        <w:pStyle w:val="Heading1"/>
        <w:pageBreakBefore/>
        <w:spacing w:before="200" w:after="80"/>
        <w:keepNext/>
      </w:pPr>
      <w:r>
        <w:rPr>
          <w:rFonts w:ascii="Arial" w:hAnsi="Arial"/>
          <w:b/>
          <w:color w:val="102A43"/>
          <w:sz w:val="32"/>
          <w:lang w:val="en-US"/>
        </w:rPr>
        <w:t>13. Risks, Limitations, and Interpretation</w:t>
      </w:r>
    </w:p>
    <w:tbl>
      <w:tblPr>
        <w:tblStyle w:val="TableGrid"/>
        <w:tblW w:type="auto" w:w="0"/>
        <w:jc w:val="center"/>
        <w:tblLayout w:type="fixed"/>
        <w:tblLook w:firstColumn="1" w:firstRow="1" w:lastColumn="0" w:lastRow="0" w:noHBand="0" w:noVBand="1" w:val="04A0"/>
      </w:tblPr>
      <w:tblGrid>
        <w:gridCol w:w="3240"/>
        <w:gridCol w:w="6552"/>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Risk or limitation</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Mitigation / interpretation</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v0.1 does not define a full distributed-agent standard.</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Use a narrow research adapter, preserve original topology, and label the extension explicitly.</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TAL treatment bundles language and harness mechanisms.</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Make only a system-level claim; reserve component ablations for later work.</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harness centralizes governance across all topologies.</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Distinguish cognitive topology from governance topology and do not claim TAL-Independent is fully decentralized at the execution layer.</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grammar may consume context without increasing billed cost because of caching.</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Report context occupancy, raw tokens, cached billing, and normalized uncached cost separately.</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One-action-per-cycle behavior may serialize useful work.</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Use the same scheduler and read-concurrency rules across paired conditions; analyze added turns explicitly.</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Only one primary model is tested.</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Limit claims to that model; add a small second-model block only after the core study is complete.</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Two benchmarks do not establish generality.</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Frame results as a contrast between one decomposable and one sequential regime.</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Adapting benchmarks may unintentionally favor TAL.</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Use original task data and evaluators, perform baseline parity tests, freeze adapters before main runs.</w:t>
            </w:r>
          </w:p>
        </w:tc>
      </w:tr>
      <w:tr>
        <w:trPr>
          <w:cantSplit/>
        </w:trPr>
        <w:tc>
          <w:tcPr>
            <w:tcW w:type="dxa" w:w="32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may appear safe because invalid actions are blocked by construction.</w:t>
            </w:r>
          </w:p>
        </w:tc>
        <w:tc>
          <w:tcPr>
            <w:tcW w:type="dxa" w:w="655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Separate unsafe model proposals, harness rejections, and end-to-end outcomes.</w:t>
            </w:r>
          </w:p>
        </w:tc>
      </w:tr>
      <w:tr>
        <w:trPr>
          <w:cantSplit/>
        </w:trPr>
        <w:tc>
          <w:tcPr>
            <w:tcW w:type="dxa" w:w="32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Provider or model drift may affect paired runs.</w:t>
            </w:r>
          </w:p>
        </w:tc>
        <w:tc>
          <w:tcPr>
            <w:tcW w:type="dxa" w:w="655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Interleave conditions, record exact versions and timestamps, and use protocol-defined restart rules.</w:t>
            </w:r>
          </w:p>
        </w:tc>
      </w:tr>
    </w:tbl>
    <w:p>
      <w:pPr>
        <w:spacing w:after="0"/>
      </w:pPr>
    </w:p>
    <w:p>
      <w:pPr>
        <w:pStyle w:val="Heading2"/>
        <w:spacing w:before="140" w:after="80"/>
        <w:keepNext/>
      </w:pPr>
      <w:r>
        <w:rPr>
          <w:rFonts w:ascii="Arial" w:hAnsi="Arial"/>
          <w:b/>
          <w:color w:val="169C96"/>
          <w:sz w:val="24"/>
          <w:lang w:val="en-US"/>
        </w:rPr>
        <w:t>13.1 Interpretation matrix</w:t>
      </w:r>
    </w:p>
    <w:tbl>
      <w:tblPr>
        <w:tblStyle w:val="TableGrid"/>
        <w:tblW w:type="auto" w:w="0"/>
        <w:jc w:val="center"/>
        <w:tblLayout w:type="fixed"/>
        <w:tblLook w:firstColumn="1" w:firstRow="1" w:lastColumn="0" w:lastRow="0" w:noHBand="0" w:noVBand="1" w:val="04A0"/>
      </w:tblPr>
      <w:tblGrid>
        <w:gridCol w:w="3672"/>
        <w:gridCol w:w="6120"/>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Finding</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Defensible conclusion</w:t>
            </w:r>
          </w:p>
        </w:tc>
      </w:tr>
      <w:tr>
        <w:trPr>
          <w:cantSplit/>
        </w:trPr>
        <w:tc>
          <w:tcPr>
            <w:tcW w:type="dxa" w:w="367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improves score and efficiency in multiple architectures.</w:t>
            </w:r>
          </w:p>
        </w:tc>
        <w:tc>
          <w:tcPr>
            <w:tcW w:type="dxa" w:w="612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Strong evidence that structured governance can pay for its context in the tested regimes.</w:t>
            </w:r>
          </w:p>
        </w:tc>
      </w:tr>
      <w:tr>
        <w:trPr>
          <w:cantSplit/>
        </w:trPr>
        <w:tc>
          <w:tcPr>
            <w:tcW w:type="dxa" w:w="367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improves score but lowers efficiency.</w:t>
            </w:r>
          </w:p>
        </w:tc>
        <w:tc>
          <w:tcPr>
            <w:tcW w:type="dxa" w:w="612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creates a measurable capability-cost trade-off; value depends on task stakes.</w:t>
            </w:r>
          </w:p>
        </w:tc>
      </w:tr>
      <w:tr>
        <w:trPr>
          <w:cantSplit/>
        </w:trPr>
        <w:tc>
          <w:tcPr>
            <w:tcW w:type="dxa" w:w="367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improves process reliability but not benchmark score.</w:t>
            </w:r>
          </w:p>
        </w:tc>
        <w:tc>
          <w:tcPr>
            <w:tcW w:type="dxa" w:w="612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is useful as a governance layer, not demonstrated as a capability enhancer.</w:t>
            </w:r>
          </w:p>
        </w:tc>
      </w:tr>
      <w:tr>
        <w:trPr>
          <w:cantSplit/>
        </w:trPr>
        <w:tc>
          <w:tcPr>
            <w:tcW w:type="dxa" w:w="367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helps Finance-Agent but harms PlanCraft.</w:t>
            </w:r>
          </w:p>
        </w:tc>
        <w:tc>
          <w:tcPr>
            <w:tcW w:type="dxa" w:w="612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is task-structure dependent and should be selectively deployed.</w:t>
            </w:r>
          </w:p>
        </w:tc>
      </w:tr>
      <w:tr>
        <w:trPr>
          <w:cantSplit/>
        </w:trPr>
        <w:tc>
          <w:tcPr>
            <w:tcW w:type="dxa" w:w="367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helps Centralized but not Hybrid or Decentralized.</w:t>
            </w:r>
          </w:p>
        </w:tc>
        <w:tc>
          <w:tcPr>
            <w:tcW w:type="dxa" w:w="612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is architecture-specific; repeated context and messaging may overwhelm high-communication topologies.</w:t>
            </w:r>
          </w:p>
        </w:tc>
      </w:tr>
      <w:tr>
        <w:trPr>
          <w:cantSplit/>
        </w:trPr>
        <w:tc>
          <w:tcPr>
            <w:tcW w:type="dxa" w:w="3672"/>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loses under matched reasoning but wins under actual billed cost because of caching.</w:t>
            </w:r>
          </w:p>
        </w:tc>
        <w:tc>
          <w:tcPr>
            <w:tcW w:type="dxa" w:w="612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Economic value exists, but context-window pressure remains a technical limitation.</w:t>
            </w:r>
          </w:p>
        </w:tc>
      </w:tr>
      <w:tr>
        <w:trPr>
          <w:cantSplit/>
        </w:trPr>
        <w:tc>
          <w:tcPr>
            <w:tcW w:type="dxa" w:w="3672"/>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TAL loses under both resource regimes.</w:t>
            </w:r>
          </w:p>
        </w:tc>
        <w:tc>
          <w:tcPr>
            <w:tcW w:type="dxa" w:w="612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The current grammar/context design does not justify its overhead for the tested configurations.</w:t>
            </w:r>
          </w:p>
        </w:tc>
      </w:tr>
    </w:tbl>
    <w:p>
      <w:pPr>
        <w:spacing w:after="0"/>
      </w:pPr>
    </w:p>
    <w:p>
      <w:pPr>
        <w:pStyle w:val="Heading2"/>
        <w:spacing w:before="140" w:after="80"/>
        <w:keepNext/>
      </w:pPr>
      <w:r>
        <w:rPr>
          <w:rFonts w:ascii="Arial" w:hAnsi="Arial"/>
          <w:b/>
          <w:color w:val="169C96"/>
          <w:sz w:val="24"/>
          <w:lang w:val="en-US"/>
        </w:rPr>
        <w:t>13.2 Scientific value of a negative result</w:t>
      </w:r>
    </w:p>
    <w:p>
      <w:pPr>
        <w:spacing w:after="120" w:line="269" w:lineRule="auto"/>
        <w:keepLines/>
      </w:pPr>
      <w:r>
        <w:rPr>
          <w:rFonts w:ascii="Arial" w:hAnsi="Arial"/>
          <w:color w:val="27313B"/>
          <w:sz w:val="20"/>
          <w:lang w:val="en-US"/>
        </w:rPr>
        <w:t>A negative result would identify an important boundary for governed agent design. It could show that repeated protocol instructions crowd out useful task context, that one-action cycles add too many turns, that validation repair consumes the saved coordination effort, or that the original architectures already contain enough structure. Those findings would directly guide TAL compression, caching, schema simplification, or selective activation.</w:t>
      </w:r>
    </w:p>
    <w:p>
      <w:pPr>
        <w:pStyle w:val="Heading1"/>
        <w:spacing w:before="200" w:after="80"/>
        <w:keepNext/>
      </w:pPr>
      <w:r>
        <w:rPr>
          <w:rFonts w:ascii="Arial" w:hAnsi="Arial"/>
          <w:b/>
          <w:color w:val="102A43"/>
          <w:sz w:val="32"/>
          <w:lang w:val="en-US"/>
        </w:rPr>
        <w:t>14. Expected Deliverables</w:t>
      </w:r>
    </w:p>
    <w:p>
      <w:pPr>
        <w:spacing w:after="50" w:line="259" w:lineRule="auto"/>
        <w:ind w:left="403" w:hanging="403"/>
      </w:pPr>
      <w:r>
        <w:rPr>
          <w:rFonts w:ascii="Arial" w:hAnsi="Arial"/>
          <w:b/>
          <w:color w:val="102A43"/>
          <w:sz w:val="20"/>
          <w:lang w:val="en-US"/>
        </w:rPr>
        <w:t xml:space="preserve">1. </w:t>
      </w:r>
      <w:r>
        <w:rPr>
          <w:rFonts w:ascii="Arial" w:hAnsi="Arial"/>
          <w:color w:val="27313B"/>
          <w:sz w:val="20"/>
          <w:lang w:val="en-US"/>
        </w:rPr>
        <w:t>A reproducible TAL adapter for the released agent-scaling framework.</w:t>
      </w:r>
    </w:p>
    <w:p>
      <w:pPr>
        <w:spacing w:after="50" w:line="259" w:lineRule="auto"/>
        <w:ind w:left="403" w:hanging="403"/>
      </w:pPr>
      <w:r>
        <w:rPr>
          <w:rFonts w:ascii="Arial" w:hAnsi="Arial"/>
          <w:b/>
          <w:color w:val="102A43"/>
          <w:sz w:val="20"/>
          <w:lang w:val="en-US"/>
        </w:rPr>
        <w:t xml:space="preserve">2. </w:t>
      </w:r>
      <w:r>
        <w:rPr>
          <w:rFonts w:ascii="Arial" w:hAnsi="Arial"/>
          <w:color w:val="27313B"/>
          <w:sz w:val="20"/>
          <w:lang w:val="en-US"/>
        </w:rPr>
        <w:t>Frozen ordinary and TAL configuration manifests for all five architectures.</w:t>
      </w:r>
    </w:p>
    <w:p>
      <w:pPr>
        <w:spacing w:after="50" w:line="259" w:lineRule="auto"/>
        <w:ind w:left="403" w:hanging="403"/>
      </w:pPr>
      <w:r>
        <w:rPr>
          <w:rFonts w:ascii="Arial" w:hAnsi="Arial"/>
          <w:b/>
          <w:color w:val="102A43"/>
          <w:sz w:val="20"/>
          <w:lang w:val="en-US"/>
        </w:rPr>
        <w:t xml:space="preserve">3. </w:t>
      </w:r>
      <w:r>
        <w:rPr>
          <w:rFonts w:ascii="Arial" w:hAnsi="Arial"/>
          <w:color w:val="27313B"/>
          <w:sz w:val="20"/>
          <w:lang w:val="en-US"/>
        </w:rPr>
        <w:t>A fixed Finance-Agent and PlanCraft instance manifest with hashes and randomization order.</w:t>
      </w:r>
    </w:p>
    <w:p>
      <w:pPr>
        <w:spacing w:after="50" w:line="259" w:lineRule="auto"/>
        <w:ind w:left="403" w:hanging="403"/>
      </w:pPr>
      <w:r>
        <w:rPr>
          <w:rFonts w:ascii="Arial" w:hAnsi="Arial"/>
          <w:b/>
          <w:color w:val="102A43"/>
          <w:sz w:val="20"/>
          <w:lang w:val="en-US"/>
        </w:rPr>
        <w:t xml:space="preserve">4. </w:t>
      </w:r>
      <w:r>
        <w:rPr>
          <w:rFonts w:ascii="Arial" w:hAnsi="Arial"/>
          <w:color w:val="27313B"/>
          <w:sz w:val="20"/>
          <w:lang w:val="en-US"/>
        </w:rPr>
        <w:t>Per-call context-overhead records and per-episode cost, score, latency, and reliability metrics.</w:t>
      </w:r>
    </w:p>
    <w:p>
      <w:pPr>
        <w:spacing w:after="50" w:line="259" w:lineRule="auto"/>
        <w:ind w:left="403" w:hanging="403"/>
      </w:pPr>
      <w:r>
        <w:rPr>
          <w:rFonts w:ascii="Arial" w:hAnsi="Arial"/>
          <w:b/>
          <w:color w:val="102A43"/>
          <w:sz w:val="20"/>
          <w:lang w:val="en-US"/>
        </w:rPr>
        <w:t xml:space="preserve">5. </w:t>
      </w:r>
      <w:r>
        <w:rPr>
          <w:rFonts w:ascii="Arial" w:hAnsi="Arial"/>
          <w:color w:val="27313B"/>
          <w:sz w:val="20"/>
          <w:lang w:val="en-US"/>
        </w:rPr>
        <w:t>A paired result dataset and statistical analysis package.</w:t>
      </w:r>
    </w:p>
    <w:p>
      <w:pPr>
        <w:spacing w:after="50" w:line="259" w:lineRule="auto"/>
        <w:ind w:left="403" w:hanging="403"/>
      </w:pPr>
      <w:r>
        <w:rPr>
          <w:rFonts w:ascii="Arial" w:hAnsi="Arial"/>
          <w:b/>
          <w:color w:val="102A43"/>
          <w:sz w:val="20"/>
          <w:lang w:val="en-US"/>
        </w:rPr>
        <w:t xml:space="preserve">6. </w:t>
      </w:r>
      <w:r>
        <w:rPr>
          <w:rFonts w:ascii="Arial" w:hAnsi="Arial"/>
          <w:color w:val="27313B"/>
          <w:sz w:val="20"/>
          <w:lang w:val="en-US"/>
        </w:rPr>
        <w:t>A written undergraduate research report and poster.</w:t>
      </w:r>
    </w:p>
    <w:p>
      <w:pPr>
        <w:spacing w:after="50" w:line="259" w:lineRule="auto"/>
        <w:ind w:left="403" w:hanging="403"/>
      </w:pPr>
      <w:r>
        <w:rPr>
          <w:rFonts w:ascii="Arial" w:hAnsi="Arial"/>
          <w:b/>
          <w:color w:val="102A43"/>
          <w:sz w:val="20"/>
          <w:lang w:val="en-US"/>
        </w:rPr>
        <w:t xml:space="preserve">7. </w:t>
      </w:r>
      <w:r>
        <w:rPr>
          <w:rFonts w:ascii="Arial" w:hAnsi="Arial"/>
          <w:color w:val="27313B"/>
          <w:sz w:val="20"/>
          <w:lang w:val="en-US"/>
        </w:rPr>
        <w:t>A limitations statement distinguishing system-level TAL effects from language-only effects.</w:t>
      </w:r>
    </w:p>
    <w:p>
      <w:pPr>
        <w:spacing w:after="50" w:line="259" w:lineRule="auto"/>
        <w:ind w:left="403" w:hanging="403"/>
      </w:pPr>
      <w:r>
        <w:rPr>
          <w:rFonts w:ascii="Arial" w:hAnsi="Arial"/>
          <w:b/>
          <w:color w:val="102A43"/>
          <w:sz w:val="20"/>
          <w:lang w:val="en-US"/>
        </w:rPr>
        <w:t xml:space="preserve">8. </w:t>
      </w:r>
      <w:r>
        <w:rPr>
          <w:rFonts w:ascii="Arial" w:hAnsi="Arial"/>
          <w:color w:val="27313B"/>
          <w:sz w:val="20"/>
          <w:lang w:val="en-US"/>
        </w:rPr>
        <w:t>A prioritized list of TAL design revisions supported by the observed failures and overhead.</w:t>
      </w:r>
    </w:p>
    <w:p>
      <w:pPr>
        <w:pStyle w:val="Heading1"/>
        <w:spacing w:before="200" w:after="80"/>
        <w:keepNext/>
      </w:pPr>
      <w:r>
        <w:rPr>
          <w:rFonts w:ascii="Arial" w:hAnsi="Arial"/>
          <w:b/>
          <w:color w:val="102A43"/>
          <w:sz w:val="32"/>
          <w:lang w:val="en-US"/>
        </w:rPr>
        <w:t>15. Conclusion</w:t>
      </w:r>
    </w:p>
    <w:p>
      <w:pPr>
        <w:spacing w:after="120" w:line="269" w:lineRule="auto"/>
        <w:keepLines/>
      </w:pPr>
      <w:r>
        <w:rPr>
          <w:rFonts w:ascii="Arial" w:hAnsi="Arial"/>
          <w:color w:val="27313B"/>
          <w:sz w:val="20"/>
          <w:lang w:val="en-US"/>
        </w:rPr>
        <w:t>The proposed study is a focused follow-up to the original science-of-agent-scaling experiment. It retains the same five canonical architectures and uses benchmark regimes that previously produced opposite coordination outcomes. It then introduces one new system-level variable: whether the architecture operates through the TAL harness.</w:t>
      </w:r>
    </w:p>
    <w:p>
      <w:pPr>
        <w:spacing w:after="120" w:line="269" w:lineRule="auto"/>
        <w:keepLines/>
      </w:pPr>
      <w:r>
        <w:rPr>
          <w:rFonts w:ascii="Arial" w:hAnsi="Arial"/>
          <w:color w:val="27313B"/>
          <w:sz w:val="20"/>
          <w:lang w:val="en-US"/>
        </w:rPr>
        <w:t>The study is deliberately designed so that TAL receives no free advantage. Its grammar, schema, state packets, validation cycles, extra calls, and latency are counted. The strongest result would show that TAL improves the performance-cost frontier of one or more architectures. The most useful negative result would show exactly where structured governance consumes more context than it saves. Either outcome would provide credible evidence for the next version of TAL and for the broader design of reliable agent systems.</w:t>
      </w:r>
    </w:p>
    <w:p>
      <w:pPr>
        <w:pStyle w:val="Heading1"/>
        <w:pageBreakBefore/>
        <w:spacing w:before="200" w:after="80"/>
        <w:keepNext/>
      </w:pPr>
      <w:r>
        <w:rPr>
          <w:rFonts w:ascii="Arial" w:hAnsi="Arial"/>
          <w:b/>
          <w:color w:val="102A43"/>
          <w:sz w:val="32"/>
          <w:lang w:val="en-US"/>
        </w:rPr>
        <w:t>Appendix A. Exact Experimental Matrix</w:t>
      </w:r>
    </w:p>
    <w:tbl>
      <w:tblPr>
        <w:tblStyle w:val="TableGrid"/>
        <w:tblW w:type="auto" w:w="0"/>
        <w:jc w:val="center"/>
        <w:tblLayout w:type="fixed"/>
        <w:tblLook w:firstColumn="1" w:firstRow="1" w:lastColumn="0" w:lastRow="0" w:noHBand="0" w:noVBand="1" w:val="04A0"/>
      </w:tblPr>
      <w:tblGrid>
        <w:gridCol w:w="1728"/>
        <w:gridCol w:w="1800"/>
        <w:gridCol w:w="1728"/>
        <w:gridCol w:w="1656"/>
        <w:gridCol w:w="1440"/>
        <w:gridCol w:w="1440"/>
      </w:tblGrid>
      <w:tr>
        <w:trPr>
          <w:tblHeader w:val="true"/>
          <w:cantSplit/>
        </w:trPr>
        <w:tc>
          <w:tcPr>
            <w:tcW w:type="dxa" w:w="1694"/>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Benchmark</w:t>
            </w:r>
          </w:p>
        </w:tc>
        <w:tc>
          <w:tcPr>
            <w:tcW w:type="dxa" w:w="1694"/>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Architecture</w:t>
            </w:r>
          </w:p>
        </w:tc>
        <w:tc>
          <w:tcPr>
            <w:tcW w:type="dxa" w:w="1694"/>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Ordinary</w:t>
            </w:r>
          </w:p>
        </w:tc>
        <w:tc>
          <w:tcPr>
            <w:tcW w:type="dxa" w:w="1694"/>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TAL</w:t>
            </w:r>
          </w:p>
        </w:tc>
        <w:tc>
          <w:tcPr>
            <w:tcW w:type="dxa" w:w="1694"/>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Primary instances</w:t>
            </w:r>
          </w:p>
        </w:tc>
        <w:tc>
          <w:tcPr>
            <w:tcW w:type="dxa" w:w="1694"/>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6"/>
              </w:rPr>
              <w:t>Sensitivity instances</w:t>
            </w:r>
          </w:p>
        </w:tc>
      </w:tr>
      <w:tr>
        <w:trPr>
          <w:cantSplit/>
        </w:trPr>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Finance-Agent</w:t>
            </w:r>
          </w:p>
        </w:tc>
        <w:tc>
          <w:tcPr>
            <w:tcW w:type="dxa" w:w="18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Single</w:t>
            </w:r>
          </w:p>
        </w:tc>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Original-SAS</w:t>
            </w:r>
          </w:p>
        </w:tc>
        <w:tc>
          <w:tcPr>
            <w:tcW w:type="dxa" w:w="16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TAL-SAS</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Finance-Agent</w:t>
            </w:r>
          </w:p>
        </w:tc>
        <w:tc>
          <w:tcPr>
            <w:tcW w:type="dxa" w:w="18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Independent</w:t>
            </w:r>
          </w:p>
        </w:tc>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Original-IND</w:t>
            </w:r>
          </w:p>
        </w:tc>
        <w:tc>
          <w:tcPr>
            <w:tcW w:type="dxa" w:w="16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TAL-IND</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Finance-Agent</w:t>
            </w:r>
          </w:p>
        </w:tc>
        <w:tc>
          <w:tcPr>
            <w:tcW w:type="dxa" w:w="18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Centralized</w:t>
            </w:r>
          </w:p>
        </w:tc>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Original-CEN</w:t>
            </w:r>
          </w:p>
        </w:tc>
        <w:tc>
          <w:tcPr>
            <w:tcW w:type="dxa" w:w="16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TAL-CEN</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Finance-Agent</w:t>
            </w:r>
          </w:p>
        </w:tc>
        <w:tc>
          <w:tcPr>
            <w:tcW w:type="dxa" w:w="18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Decentralized</w:t>
            </w:r>
          </w:p>
        </w:tc>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Original-DEC</w:t>
            </w:r>
          </w:p>
        </w:tc>
        <w:tc>
          <w:tcPr>
            <w:tcW w:type="dxa" w:w="16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TAL-DEC</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Finance-Agent</w:t>
            </w:r>
          </w:p>
        </w:tc>
        <w:tc>
          <w:tcPr>
            <w:tcW w:type="dxa" w:w="18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Hybrid</w:t>
            </w:r>
          </w:p>
        </w:tc>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Original-HYB</w:t>
            </w:r>
          </w:p>
        </w:tc>
        <w:tc>
          <w:tcPr>
            <w:tcW w:type="dxa" w:w="16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TAL-HYB</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PlanCraft</w:t>
            </w:r>
          </w:p>
        </w:tc>
        <w:tc>
          <w:tcPr>
            <w:tcW w:type="dxa" w:w="18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Single</w:t>
            </w:r>
          </w:p>
        </w:tc>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Original-SAS</w:t>
            </w:r>
          </w:p>
        </w:tc>
        <w:tc>
          <w:tcPr>
            <w:tcW w:type="dxa" w:w="16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TAL-SAS</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PlanCraft</w:t>
            </w:r>
          </w:p>
        </w:tc>
        <w:tc>
          <w:tcPr>
            <w:tcW w:type="dxa" w:w="18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Independent</w:t>
            </w:r>
          </w:p>
        </w:tc>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Original-IND</w:t>
            </w:r>
          </w:p>
        </w:tc>
        <w:tc>
          <w:tcPr>
            <w:tcW w:type="dxa" w:w="16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TAL-IND</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PlanCraft</w:t>
            </w:r>
          </w:p>
        </w:tc>
        <w:tc>
          <w:tcPr>
            <w:tcW w:type="dxa" w:w="18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Centralized</w:t>
            </w:r>
          </w:p>
        </w:tc>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Original-CEN</w:t>
            </w:r>
          </w:p>
        </w:tc>
        <w:tc>
          <w:tcPr>
            <w:tcW w:type="dxa" w:w="16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TAL-CEN</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PlanCraft</w:t>
            </w:r>
          </w:p>
        </w:tc>
        <w:tc>
          <w:tcPr>
            <w:tcW w:type="dxa" w:w="180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Decentralized</w:t>
            </w:r>
          </w:p>
        </w:tc>
        <w:tc>
          <w:tcPr>
            <w:tcW w:type="dxa" w:w="172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Original-DEC</w:t>
            </w:r>
          </w:p>
        </w:tc>
        <w:tc>
          <w:tcPr>
            <w:tcW w:type="dxa" w:w="1656"/>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TAL-DEC</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r>
        <w:trPr>
          <w:cantSplit/>
        </w:trPr>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PlanCraft</w:t>
            </w:r>
          </w:p>
        </w:tc>
        <w:tc>
          <w:tcPr>
            <w:tcW w:type="dxa" w:w="180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Hybrid</w:t>
            </w:r>
          </w:p>
        </w:tc>
        <w:tc>
          <w:tcPr>
            <w:tcW w:type="dxa" w:w="172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Original-HYB</w:t>
            </w:r>
          </w:p>
        </w:tc>
        <w:tc>
          <w:tcPr>
            <w:tcW w:type="dxa" w:w="1656"/>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TAL-HYB</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50</w:t>
            </w:r>
          </w:p>
        </w:tc>
        <w:tc>
          <w:tcPr>
            <w:tcW w:type="dxa" w:w="1440"/>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6"/>
              </w:rPr>
              <w:t>20</w:t>
            </w:r>
          </w:p>
        </w:tc>
      </w:tr>
    </w:tbl>
    <w:p>
      <w:pPr>
        <w:spacing w:after="0"/>
      </w:pPr>
    </w:p>
    <w:p>
      <w:pPr>
        <w:pStyle w:val="Heading1"/>
        <w:spacing w:before="200" w:after="80"/>
        <w:keepNext/>
      </w:pPr>
      <w:r>
        <w:rPr>
          <w:rFonts w:ascii="Arial" w:hAnsi="Arial"/>
          <w:b/>
          <w:color w:val="102A43"/>
          <w:sz w:val="32"/>
          <w:lang w:val="en-US"/>
        </w:rPr>
        <w:t>Appendix B. Minimum Overhead-Ledger Schema</w:t>
      </w:r>
    </w:p>
    <w:tbl>
      <w:tblPr>
        <w:tblStyle w:val="TableGrid"/>
        <w:tblW w:type="auto" w:w="0"/>
        <w:jc w:val="center"/>
        <w:tblLayout w:type="fixed"/>
        <w:tblLook w:firstColumn="1" w:firstRow="1" w:lastColumn="0" w:lastRow="0" w:noHBand="0" w:noVBand="1" w:val="04A0"/>
      </w:tblPr>
      <w:tblGrid>
        <w:gridCol w:w="1944"/>
        <w:gridCol w:w="7848"/>
      </w:tblGrid>
      <w:tr>
        <w:trPr>
          <w:tblHeader w:val="true"/>
          <w:cantSplit/>
        </w:trPr>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Group</w:t>
            </w:r>
          </w:p>
        </w:tc>
        <w:tc>
          <w:tcPr>
            <w:tcW w:type="dxa" w:w="5083"/>
            <w:shd w:fill="102A43"/>
            <w:tcMar>
              <w:top w:w="85" w:type="dxa"/>
              <w:start w:w="90" w:type="dxa"/>
              <w:bottom w:w="85" w:type="dxa"/>
              <w:end w:w="90" w:type="dxa"/>
            </w:tcMar>
            <w:vAlign w:val="center"/>
            <w:tcBorders>
              <w:top w:val="single" w:sz="4" w:color="B7C4CF"/>
              <w:left w:val="single" w:sz="4" w:color="B7C4CF"/>
              <w:bottom w:val="single" w:sz="4" w:color="B7C4CF"/>
              <w:right w:val="single" w:sz="4" w:color="B7C4CF"/>
            </w:tcBorders>
          </w:tcPr>
          <w:p>
            <w:pPr>
              <w:spacing w:after="0"/>
              <w:jc w:val="left"/>
            </w:pPr>
            <w:r>
              <w:rPr>
                <w:rFonts w:ascii="Arial" w:hAnsi="Arial"/>
                <w:b/>
                <w:color w:val="FFFFFF"/>
                <w:sz w:val="17"/>
              </w:rPr>
              <w:t>Example fields</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Identity</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run_id, task_id, benchmark, architecture, condition, model_id, timestamp</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Prompt tokens</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system_base, architecture, task, grammar, schema, manifest, runtime_state, authority, evidence, events, inter_agent_messages</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Generation</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output_tokens, reasoning_tokens_if_exposed, response_kind, validity, repair_count, stop_reason</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Execution</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model_calls, tool_calls, rounds, concurrent_branches, accepted_proposals, rejected_proposals</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Context pressure</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peak_context_tokens, truncation_count, dropped_items, summarized_items, cached_input_tokens</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Outcome</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native_score, normalized_score, binary_success, terminal_reason</w:t>
            </w:r>
          </w:p>
        </w:tc>
      </w:tr>
      <w:tr>
        <w:trPr>
          <w:cantSplit/>
        </w:trPr>
        <w:tc>
          <w:tcPr>
            <w:tcW w:type="dxa" w:w="1944"/>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Economics</w:t>
            </w:r>
          </w:p>
        </w:tc>
        <w:tc>
          <w:tcPr>
            <w:tcW w:type="dxa" w:w="7848"/>
            <w:shd w:fill="FFFFFF"/>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actual_cost, normalized_uncached_cost, latency_seconds, cost_per_success_contribution</w:t>
            </w:r>
          </w:p>
        </w:tc>
      </w:tr>
      <w:tr>
        <w:trPr>
          <w:cantSplit/>
        </w:trPr>
        <w:tc>
          <w:tcPr>
            <w:tcW w:type="dxa" w:w="1944"/>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Integrity</w:t>
            </w:r>
          </w:p>
        </w:tc>
        <w:tc>
          <w:tcPr>
            <w:tcW w:type="dxa" w:w="7848"/>
            <w:shd w:fill="F3F5F7"/>
            <w:tcMar>
              <w:top w:w="80" w:type="dxa"/>
              <w:start w:w="90" w:type="dxa"/>
              <w:bottom w:w="80" w:type="dxa"/>
              <w:end w:w="90" w:type="dxa"/>
            </w:tcMar>
            <w:vAlign w:val="top"/>
            <w:tcBorders>
              <w:top w:val="single" w:sz="4" w:color="B7C4CF"/>
              <w:left w:val="single" w:sz="4" w:color="B7C4CF"/>
              <w:bottom w:val="single" w:sz="4" w:color="B7C4CF"/>
              <w:right w:val="single" w:sz="4" w:color="B7C4CF"/>
            </w:tcBorders>
          </w:tcPr>
          <w:p>
            <w:pPr>
              <w:spacing w:after="0" w:line="245" w:lineRule="auto"/>
            </w:pPr>
            <w:r>
              <w:rPr>
                <w:rFonts w:ascii="Arial" w:hAnsi="Arial"/>
                <w:color w:val="27313B"/>
                <w:sz w:val="17"/>
              </w:rPr>
              <w:t>state_hash, config_hash, manifest_hash, replay_status, infrastructure_error_class</w:t>
            </w:r>
          </w:p>
        </w:tc>
      </w:tr>
    </w:tbl>
    <w:p>
      <w:pPr>
        <w:spacing w:after="0"/>
      </w:pPr>
    </w:p>
    <w:p>
      <w:pPr>
        <w:pStyle w:val="Heading1"/>
        <w:spacing w:before="200" w:after="80"/>
        <w:keepNext/>
      </w:pPr>
      <w:r>
        <w:rPr>
          <w:rFonts w:ascii="Arial" w:hAnsi="Arial"/>
          <w:b/>
          <w:color w:val="102A43"/>
          <w:sz w:val="32"/>
          <w:lang w:val="en-US"/>
        </w:rPr>
        <w:t>Appendix C. Preregistration Checklist</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Research questions, hypotheses, primary outcome, and primary interaction are fixed.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Repository tag and commit are recorded; baseline parity results are archived.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TAL grammar, schemas, harness, and benchmark adapters are versioned and hashed.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Primary model, provider, generation settings, and tokenizer/counting method are frozen.</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Finance-Agent and PlanCraft task lists, exclusions, and order are frozen.</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Generated-token and strict total-token ceilings are fixed.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Tool-call, retry, repair, wall-clock, and context-truncation rules are fixed.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Randomized condition orders and restart rules are generated before execution.</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Infrastructure-error and rerun rules are fixed.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Statistical model, paired contrasts, correction method, and sensitivity analysis are fixed.</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Optional Workbench or second-model work is clearly separated from confirmatory analysis.</w:t>
      </w:r>
    </w:p>
    <w:p>
      <w:pPr>
        <w:spacing w:after="60" w:line="259" w:lineRule="auto"/>
        <w:ind w:left="403" w:hanging="403"/>
      </w:pPr>
      <w:r>
        <w:rPr>
          <w:rFonts w:ascii="Arial" w:hAnsi="Arial"/>
          <w:color w:val="102A43"/>
          <w:sz w:val="20"/>
          <w:lang w:val="en-US"/>
        </w:rPr>
        <w:t xml:space="preserve">☐ </w:t>
      </w:r>
      <w:r>
        <w:rPr>
          <w:rFonts w:ascii="Arial" w:hAnsi="Arial"/>
          <w:color w:val="27313B"/>
          <w:sz w:val="19"/>
          <w:lang w:val="en-US"/>
        </w:rPr>
        <w:t>The report template includes negative, null, cost, and reliability outcomes.</w:t>
      </w:r>
    </w:p>
    <w:p>
      <w:pPr>
        <w:pStyle w:val="Heading1"/>
        <w:spacing w:before="200" w:after="80"/>
        <w:keepNext/>
      </w:pPr>
      <w:r>
        <w:rPr>
          <w:rFonts w:ascii="Arial" w:hAnsi="Arial"/>
          <w:b/>
          <w:color w:val="102A43"/>
          <w:sz w:val="32"/>
          <w:lang w:val="en-US"/>
        </w:rPr>
        <w:t>Appendix D. References</w:t>
      </w:r>
    </w:p>
    <w:p>
      <w:pPr>
        <w:spacing w:after="100"/>
        <w:ind w:left="259" w:hanging="259"/>
      </w:pPr>
      <w:r>
        <w:rPr>
          <w:rFonts w:ascii="Arial" w:hAnsi="Arial"/>
          <w:b/>
          <w:color w:val="102A43"/>
          <w:sz w:val="18"/>
          <w:lang w:val="en-US"/>
        </w:rPr>
        <w:t xml:space="preserve">[1] </w:t>
      </w:r>
      <w:r>
        <w:rPr>
          <w:rFonts w:ascii="Arial" w:hAnsi="Arial"/>
          <w:color w:val="27313B"/>
          <w:sz w:val="18"/>
          <w:lang w:val="en-US"/>
        </w:rPr>
        <w:t xml:space="preserve">Kim, Y., Gu, K., Park, C., et al. (2026). Towards a Science of Scaling Agent Systems (arXiv:2512.08296v3). </w:t>
      </w:r>
      <w:hyperlink r:id="rId12">
        <w:r>
          <w:rPr>
            <w:color w:val="0563C1"/>
            <w:u w:val="single"/>
            <w:rFonts w:ascii="Arial" w:hAnsi="Arial"/>
          </w:rPr>
          <w:t>arXiv abstract</w:t>
        </w:r>
      </w:hyperlink>
    </w:p>
    <w:p>
      <w:pPr>
        <w:spacing w:after="100"/>
        <w:ind w:left="259" w:hanging="259"/>
      </w:pPr>
      <w:r>
        <w:rPr>
          <w:rFonts w:ascii="Arial" w:hAnsi="Arial"/>
          <w:b/>
          <w:color w:val="102A43"/>
          <w:sz w:val="18"/>
          <w:lang w:val="en-US"/>
        </w:rPr>
        <w:t xml:space="preserve">[2] </w:t>
      </w:r>
      <w:r>
        <w:rPr>
          <w:rFonts w:ascii="Arial" w:hAnsi="Arial"/>
          <w:color w:val="27313B"/>
          <w:sz w:val="18"/>
          <w:lang w:val="en-US"/>
        </w:rPr>
        <w:t xml:space="preserve">Kim, Y. et al. Agent Scaling repository, manuscript release v2.1.3. </w:t>
      </w:r>
      <w:hyperlink r:id="rId13">
        <w:r>
          <w:rPr>
            <w:color w:val="0563C1"/>
            <w:u w:val="single"/>
            <w:rFonts w:ascii="Arial" w:hAnsi="Arial"/>
          </w:rPr>
          <w:t>GitHub repository</w:t>
        </w:r>
      </w:hyperlink>
    </w:p>
    <w:p>
      <w:pPr>
        <w:spacing w:after="100"/>
        <w:ind w:left="259" w:hanging="259"/>
      </w:pPr>
      <w:r>
        <w:rPr>
          <w:rFonts w:ascii="Arial" w:hAnsi="Arial"/>
          <w:b/>
          <w:color w:val="102A43"/>
          <w:sz w:val="18"/>
          <w:lang w:val="en-US"/>
        </w:rPr>
        <w:t xml:space="preserve">[3] </w:t>
      </w:r>
      <w:r>
        <w:rPr>
          <w:rFonts w:ascii="Arial" w:hAnsi="Arial"/>
          <w:color w:val="27313B"/>
          <w:sz w:val="18"/>
          <w:lang w:val="en-US"/>
        </w:rPr>
        <w:t>Tervoro Research &amp; Engineering. (2026). Tervoro Agentic Language (TAL): Language and Enforcement Harness Specification. Concept Specification v0.1.</w:t>
      </w:r>
    </w:p>
    <w:p>
      <w:pPr>
        <w:spacing w:after="100"/>
        <w:ind w:left="259" w:hanging="259"/>
      </w:pPr>
      <w:r>
        <w:rPr>
          <w:rFonts w:ascii="Arial" w:hAnsi="Arial"/>
          <w:b/>
          <w:color w:val="102A43"/>
          <w:sz w:val="18"/>
          <w:lang w:val="en-US"/>
        </w:rPr>
        <w:t xml:space="preserve">[4] </w:t>
      </w:r>
      <w:r>
        <w:rPr>
          <w:rFonts w:ascii="Arial" w:hAnsi="Arial"/>
          <w:color w:val="27313B"/>
          <w:sz w:val="18"/>
          <w:lang w:val="en-US"/>
        </w:rPr>
        <w:t xml:space="preserve">OpenAI. GPT-5 mini model and API pricing documentation. Accessed August 2026. </w:t>
      </w:r>
      <w:hyperlink r:id="rId14">
        <w:r>
          <w:rPr>
            <w:color w:val="0563C1"/>
            <w:u w:val="single"/>
            <w:rFonts w:ascii="Arial" w:hAnsi="Arial"/>
          </w:rPr>
          <w:t>OpenAI documentation</w:t>
        </w:r>
      </w:hyperlink>
    </w:p>
    <w:p>
      <w:pPr>
        <w:spacing w:after="100"/>
        <w:ind w:left="259" w:hanging="259"/>
      </w:pPr>
      <w:r>
        <w:rPr>
          <w:rFonts w:ascii="Arial" w:hAnsi="Arial"/>
          <w:b/>
          <w:color w:val="102A43"/>
          <w:sz w:val="18"/>
          <w:lang w:val="en-US"/>
        </w:rPr>
        <w:t xml:space="preserve">[5] </w:t>
      </w:r>
      <w:r>
        <w:rPr>
          <w:rFonts w:ascii="Arial" w:hAnsi="Arial"/>
          <w:color w:val="27313B"/>
          <w:sz w:val="18"/>
          <w:lang w:val="en-US"/>
        </w:rPr>
        <w:t xml:space="preserve">Google AI for Developers. Gemini 2.5 Flash model and API pricing documentation. Accessed August 2026. </w:t>
      </w:r>
      <w:hyperlink r:id="rId15">
        <w:r>
          <w:rPr>
            <w:color w:val="0563C1"/>
            <w:u w:val="single"/>
            <w:rFonts w:ascii="Arial" w:hAnsi="Arial"/>
          </w:rPr>
          <w:t>Google AI documentation</w:t>
        </w:r>
      </w:hyperlink>
    </w:p>
    <w:tbl>
      <w:tblPr>
        <w:tblW w:type="auto" w:w="0"/>
        <w:jc w:val="center"/>
        <w:tblLayout w:type="fixed"/>
        <w:tblLook w:firstColumn="1" w:firstRow="1" w:lastColumn="0" w:lastRow="0" w:noHBand="0" w:noVBand="1" w:val="04A0"/>
      </w:tblPr>
      <w:tblGrid>
        <w:gridCol w:w="144"/>
        <w:gridCol w:w="9648"/>
      </w:tblGrid>
      <w:tr>
        <w:trPr>
          <w:cantSplit/>
        </w:trPr>
        <w:tc>
          <w:tcPr>
            <w:tcW w:type="dxa" w:w="5083"/>
            <w:shd w:fill="5F6B76"/>
            <w:tcMar>
              <w:top w:w="0" w:type="dxa"/>
              <w:start w:w="0" w:type="dxa"/>
              <w:bottom w:w="0" w:type="dxa"/>
              <w:end w:w="0" w:type="dxa"/>
            </w:tcMar>
            <w:tcBorders>
              <w:top w:val="nil"/>
              <w:left w:val="nil"/>
              <w:bottom w:val="nil"/>
              <w:right w:val="nil"/>
            </w:tcBorders>
          </w:tcPr>
          <w:p/>
        </w:tc>
        <w:tc>
          <w:tcPr>
            <w:tcW w:type="dxa" w:w="5083"/>
            <w:shd w:fill="F3F5F7"/>
            <w:tcMar>
              <w:top w:w="110" w:type="dxa"/>
              <w:start w:w="150" w:type="dxa"/>
              <w:bottom w:w="110" w:type="dxa"/>
              <w:end w:w="150" w:type="dxa"/>
            </w:tcMar>
            <w:tcBorders>
              <w:top w:val="nil"/>
              <w:left w:val="nil"/>
              <w:bottom w:val="nil"/>
              <w:right w:val="nil"/>
            </w:tcBorders>
          </w:tcPr>
          <w:p>
            <w:pPr>
              <w:spacing w:after="40"/>
            </w:pPr>
            <w:r>
              <w:rPr>
                <w:rFonts w:ascii="Arial" w:hAnsi="Arial"/>
                <w:b/>
                <w:color w:val="102A43"/>
                <w:sz w:val="21"/>
              </w:rPr>
              <w:t>Protocol status</w:t>
            </w:r>
          </w:p>
          <w:p>
            <w:pPr>
              <w:spacing w:after="0" w:line="259" w:lineRule="auto"/>
            </w:pPr>
            <w:r>
              <w:rPr>
                <w:rFonts w:ascii="Arial" w:hAnsi="Arial"/>
                <w:color w:val="27313B"/>
                <w:sz w:val="19"/>
              </w:rPr>
              <w:t>This document is a research proposal, not a completed preregistration. Exact model, instance identifiers, token ceilings, baseline parity tolerance, and analysis implementation must be finalized with the faculty mentor after the excluded pilot and before the main experiment.</w:t>
            </w:r>
          </w:p>
        </w:tc>
      </w:tr>
    </w:tbl>
    <w:p>
      <w:pPr>
        <w:spacing w:after="0"/>
      </w:pPr>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496"/>
      <w:gridCol w:w="1656"/>
    </w:tblGrid>
    <w:tr>
      <w:tc>
        <w:tcPr>
          <w:tcW w:type="dxa" w:w="5076"/>
          <w:tcBorders>
            <w:top w:val="nil"/>
            <w:left w:val="nil"/>
            <w:bottom w:val="nil"/>
            <w:right w:val="nil"/>
          </w:tcBorders>
          <w:tcMar>
            <w:top w:w="0" w:type="dxa"/>
            <w:start w:w="0" w:type="dxa"/>
            <w:bottom w:w="0" w:type="dxa"/>
            <w:end w:w="0" w:type="dxa"/>
          </w:tcMar>
        </w:tcPr>
        <w:p>
          <w:pPr>
            <w:spacing w:after="0"/>
          </w:pPr>
          <w:r>
            <w:rPr>
              <w:rFonts w:ascii="Arial" w:hAnsi="Arial"/>
              <w:color w:val="5F6B76"/>
              <w:sz w:val="16"/>
            </w:rPr>
            <w:t>Tervoro Research &amp; Engineering  •  Undergraduate Research Proposal</w:t>
          </w:r>
        </w:p>
      </w:tc>
      <w:tc>
        <w:tcPr>
          <w:tcW w:type="dxa" w:w="5076"/>
          <w:tcBorders>
            <w:top w:val="nil"/>
            <w:left w:val="nil"/>
            <w:bottom w:val="nil"/>
            <w:right w:val="nil"/>
          </w:tcBorders>
          <w:tcMar>
            <w:top w:w="0" w:type="dxa"/>
            <w:start w:w="0" w:type="dxa"/>
            <w:bottom w:w="0" w:type="dxa"/>
            <w:end w:w="0" w:type="dxa"/>
          </w:tcMar>
        </w:tcPr>
        <w:p>
          <w:pPr>
            <w:jc w:val="right"/>
          </w:pPr>
          <w:r>
            <w:rPr>
              <w:color w:val="5F6B76"/>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2" w:color="169C96"/>
      </w:pBdr>
    </w:pPr>
    <w:r>
      <w:rPr>
        <w:rFonts w:ascii="Arial" w:hAnsi="Arial"/>
        <w:b/>
        <w:color w:val="5F6B76"/>
        <w:sz w:val="16"/>
      </w:rPr>
      <w:t>TAL HARNESS FOLLOW-UP STUDY  |  UMASS DARTMOUTH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9C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F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512.08296" TargetMode="External"/><Relationship Id="rId13" Type="http://schemas.openxmlformats.org/officeDocument/2006/relationships/hyperlink" Target="https://github.com/ybkim95/agent-scaling" TargetMode="External"/><Relationship Id="rId14" Type="http://schemas.openxmlformats.org/officeDocument/2006/relationships/hyperlink" Target="https://developers.openai.com/api/docs/models/gpt-5-mini" TargetMode="External"/><Relationship Id="rId15" Type="http://schemas.openxmlformats.org/officeDocument/2006/relationships/hyperlink" Target="https://ai.google.dev/gemini-api/docs/models/gemini-2.5-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Structured Agent Governance Pay for Its Context?</dc:title>
  <dc:subject>Undergraduate research proposal evaluating the TAL harness across agent architectures</dc:subject>
  <dc:creator>Tervoro Research &amp; Engineering</dc:creator>
  <cp:keywords>TAL, agent systems, multi-agent systems, coordination overhead, undergraduate research</cp:keywords>
  <dc:description>Prepared for faculty review. Concept protocol; model and exact run parameters to be frozen after pilot.</dc:description>
  <cp:lastModifiedBy/>
  <cp:revision>1</cp:revision>
  <dcterms:created xsi:type="dcterms:W3CDTF">2013-12-23T23:15:00Z</dcterms:created>
  <dcterms:modified xsi:type="dcterms:W3CDTF">2013-12-23T23:15:00Z</dcterms:modified>
  <cp:category/>
</cp:coreProperties>
</file>