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外核输入与前台产品执行方案 V0.1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2"/>
        </w:rPr>
        <w:t>把复杂内核包装成用户能进入、能看懂、能反馈的最小体验</w:t>
      </w:r>
    </w:p>
    <w:p/>
    <w:p>
      <w:pPr>
        <w:pStyle w:val="Heading1"/>
      </w:pPr>
      <w:r>
        <w:t>一、外核定位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外核不是完整展示系统能力。外核只做三件事：让用户说出一件事，让用户看见这事的底，让用户用最小动作完成反馈。</w:t>
      </w:r>
    </w:p>
    <w:p>
      <w:pPr>
        <w:spacing w:after="100"/>
      </w:pPr>
      <w:r>
        <w:rPr>
          <w:rFonts w:ascii="Microsoft YaHei" w:hAnsi="Microsoft YaHei" w:eastAsia="Microsoft YaHei"/>
          <w:b/>
          <w:sz w:val="20"/>
        </w:rPr>
        <w:t>首屏只保留一句话：今天有哪件事心里没底？</w:t>
      </w:r>
    </w:p>
    <w:p>
      <w:pPr>
        <w:pStyle w:val="Heading1"/>
      </w:pPr>
      <w:r>
        <w:t>二、前台路径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用户任务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内核调用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说出一件心里没底的事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DecisionCase.create + LifeEventLedger.append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沙盘输入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补充目标、恐惧、时间窗口、相关人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MindVariableService.extract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03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摆开页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看见真正卡点、关键变量、最坏情况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SituationEngine.detect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04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三种走法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理解每种选择的收益、代价、承接要求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ChoiceSimulationEngine.simulate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05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这事的底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得到最小一步与回看点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PolicyEngine.generate + EvidenceGraph.build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06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回看页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反馈准不准、做没做、结果如何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CorrectionEngine.update</w:t>
            </w:r>
          </w:p>
        </w:tc>
      </w:tr>
      <w:tr>
        <w:tc>
          <w:tcPr>
            <w:tcW w:type="dxa" w:w="5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07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通鉴页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查看选择史与反复卡点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PersonalPatternModel.read</w:t>
            </w:r>
          </w:p>
        </w:tc>
      </w:tr>
    </w:tbl>
    <w:p/>
    <w:p>
      <w:pPr>
        <w:pStyle w:val="Heading1"/>
      </w:pPr>
      <w:r>
        <w:t>三、最小反馈设计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对象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反馈按钮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进入内核字段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 / 部分准 / 不准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claim_confirm_score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做了 / 做了一半 / 没做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execution_score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变好了 / 变复杂了 / 没变化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result_direction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原因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真正原因是什么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user_reflection_text</w:t>
            </w:r>
          </w:p>
        </w:tc>
      </w:tr>
    </w:tbl>
    <w:p/>
    <w:p>
      <w:pPr>
        <w:pStyle w:val="Heading1"/>
      </w:pPr>
      <w:r>
        <w:t>四、选择损益卡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每个选择都必须表达“升高什么、降低什么、是否值得、能否承接”。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选项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升高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降低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关键代价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系统表达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接下机会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事业机会、现金流机会、外部资源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健康缓冲、自由时间、情绪稳定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交付压力、过载风险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这是一次用时间和身体换机会的选择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暂缓机会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健康、稳定、复盘空间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短期收入、资源窗口、曝光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机会成本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这是一次用短期机会换底盘修复的选择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小规模试点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学习、关系验证、风险可控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增长速度、一次性收益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协商成本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这是一次保留窗口同时控制风险的选择</w:t>
            </w:r>
          </w:p>
        </w:tc>
      </w:tr>
    </w:tbl>
    <w:p/>
    <w:p>
      <w:pPr>
        <w:pStyle w:val="Heading1"/>
      </w:pPr>
      <w:r>
        <w:t>五、前台阶段版本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前台交付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不展示的复杂度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单事沙盘、这事的底、回看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命理盘、完整K线、多模型细节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通鉴、待回看、反复卡点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复杂权重、算法细节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相位沙盘、选择损益卡、潮汐摘要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完整工程对象与研究后台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枢密院会审、高价值决策报告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底层模型路由参数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