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w:t>
      </w:r>
      <w:proofErr w:type="gramStart"/>
      <w:r w:rsidRPr="00551541">
        <w:rPr>
          <w:rFonts w:ascii="Courier" w:hAnsi="Courier" w:cs="Courier New"/>
          <w:color w:val="000000"/>
          <w:sz w:val="18"/>
          <w:szCs w:val="18"/>
          <w:lang w:val="en-US"/>
        </w:rPr>
        <w:t>article</w:t>
      </w:r>
      <w:proofErr w:type="gramEnd"/>
      <w:r w:rsidRPr="00551541">
        <w:rPr>
          <w:rFonts w:ascii="Courier" w:hAnsi="Courier" w:cs="Courier New"/>
          <w:color w:val="000000"/>
          <w:sz w:val="18"/>
          <w:szCs w:val="18"/>
          <w:lang w:val="en-US"/>
        </w:rPr>
        <w:t xml:space="preserv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w:t>
      </w:r>
      <w:proofErr w:type="gramStart"/>
      <w:r w:rsidRPr="00551541">
        <w:rPr>
          <w:rFonts w:ascii="Courier" w:hAnsi="Courier" w:cs="Courier New"/>
          <w:color w:val="000000"/>
          <w:sz w:val="18"/>
          <w:szCs w:val="18"/>
          <w:lang w:val="en-US"/>
        </w:rPr>
        <w:t>Moreover</w:t>
      </w:r>
      <w:proofErr w:type="gramEnd"/>
      <w:r w:rsidRPr="00551541">
        <w:rPr>
          <w:rFonts w:ascii="Courier" w:hAnsi="Courier" w:cs="Courier New"/>
          <w:color w:val="000000"/>
          <w:sz w:val="18"/>
          <w:szCs w:val="18"/>
          <w:lang w:val="en-US"/>
        </w:rPr>
        <w:t xml:space="preserve">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xml:space="preserve">* A suggestion would be to mention how such tables may arise in other, non-physical contexts.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w:t>
      </w:r>
      <w:proofErr w:type="spellStart"/>
      <w:r>
        <w:rPr>
          <w:rFonts w:ascii="Courier" w:hAnsi="Courier" w:cs="Courier New"/>
          <w:color w:val="FF0000"/>
          <w:sz w:val="18"/>
          <w:szCs w:val="18"/>
          <w:lang w:val="en-US"/>
        </w:rPr>
        <w:t>contextuality</w:t>
      </w:r>
      <w:proofErr w:type="spellEnd"/>
      <w:r>
        <w:rPr>
          <w:rFonts w:ascii="Courier" w:hAnsi="Courier" w:cs="Courier New"/>
          <w:color w:val="FF0000"/>
          <w:sz w:val="18"/>
          <w:szCs w:val="18"/>
          <w:lang w:val="en-US"/>
        </w:rPr>
        <w:t>,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xml:space="preserve">* Tables should be numbered and referred to at the appropriate points in the text (throughout the article, and not only in this section); </w:t>
      </w:r>
      <w:proofErr w:type="gramStart"/>
      <w:r w:rsidRPr="00921C8F">
        <w:rPr>
          <w:rFonts w:ascii="Courier" w:hAnsi="Courier" w:cs="Courier New"/>
          <w:strike/>
          <w:color w:val="000000"/>
          <w:sz w:val="18"/>
          <w:szCs w:val="18"/>
          <w:lang w:val="en-US"/>
        </w:rPr>
        <w:t>likewise</w:t>
      </w:r>
      <w:proofErr w:type="gramEnd"/>
      <w:r w:rsidRPr="00921C8F">
        <w:rPr>
          <w:rFonts w:ascii="Courier" w:hAnsi="Courier" w:cs="Courier New"/>
          <w:strike/>
          <w:color w:val="000000"/>
          <w:sz w:val="18"/>
          <w:szCs w:val="18"/>
          <w:lang w:val="en-US"/>
        </w:rPr>
        <w:t xml:space="preserv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proofErr w:type="gramStart"/>
      <w:r w:rsidRPr="004375FD">
        <w:rPr>
          <w:rFonts w:ascii="Courier" w:hAnsi="Courier" w:cs="Courier New"/>
          <w:strike/>
          <w:color w:val="000000"/>
          <w:sz w:val="18"/>
          <w:szCs w:val="18"/>
          <w:lang w:val="en-US"/>
        </w:rPr>
        <w:t>non specialists</w:t>
      </w:r>
      <w:proofErr w:type="spellEnd"/>
      <w:proofErr w:type="gramEnd"/>
      <w:r w:rsidRPr="004375FD">
        <w:rPr>
          <w:rFonts w:ascii="Courier" w:hAnsi="Courier" w:cs="Courier New"/>
          <w:strike/>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xml:space="preserve">* It needs to be explained somewhere why the Table at the top of p3 is quantum </w:t>
      </w:r>
      <w:proofErr w:type="spellStart"/>
      <w:r w:rsidRPr="007279F6">
        <w:rPr>
          <w:rFonts w:ascii="Courier" w:hAnsi="Courier" w:cs="Courier New"/>
          <w:strike/>
          <w:color w:val="000000"/>
          <w:sz w:val="18"/>
          <w:szCs w:val="18"/>
          <w:lang w:val="en-US"/>
        </w:rPr>
        <w:t>realisable</w:t>
      </w:r>
      <w:proofErr w:type="spellEnd"/>
      <w:r w:rsidRPr="007279F6">
        <w:rPr>
          <w:rFonts w:ascii="Courier" w:hAnsi="Courier" w:cs="Courier New"/>
          <w:strike/>
          <w:color w:val="000000"/>
          <w:sz w:val="18"/>
          <w:szCs w:val="18"/>
          <w:lang w:val="en-US"/>
        </w:rPr>
        <w:t>.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w:t>
      </w:r>
      <w:proofErr w:type="spellStart"/>
      <w:r w:rsidRPr="007279F6">
        <w:rPr>
          <w:rFonts w:ascii="Courier" w:hAnsi="Courier" w:cs="Courier New"/>
          <w:strike/>
          <w:color w:val="000000"/>
          <w:sz w:val="18"/>
          <w:szCs w:val="18"/>
          <w:lang w:val="en-US"/>
        </w:rPr>
        <w:t>quantumly</w:t>
      </w:r>
      <w:proofErr w:type="spellEnd"/>
      <w:r w:rsidRPr="007279F6">
        <w:rPr>
          <w:rFonts w:ascii="Courier" w:hAnsi="Courier" w:cs="Courier New"/>
          <w:strike/>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65593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655935">
        <w:rPr>
          <w:rFonts w:ascii="Courier" w:hAnsi="Courier" w:cs="Courier New"/>
          <w:strike/>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232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2329">
        <w:rPr>
          <w:rFonts w:ascii="Courier" w:hAnsi="Courier" w:cs="Courier New"/>
          <w:strike/>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CF6957"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F6957">
        <w:rPr>
          <w:rFonts w:ascii="Courier" w:hAnsi="Courier" w:cs="Courier New"/>
          <w:strike/>
          <w:color w:val="000000"/>
          <w:sz w:val="18"/>
          <w:szCs w:val="18"/>
          <w:lang w:val="en-US"/>
        </w:rPr>
        <w:t>* It was not clear to me why only clauses of the kinds found in equations (1) and (2) are looked at.</w:t>
      </w:r>
    </w:p>
    <w:p w14:paraId="4A75BE4D" w14:textId="77777777" w:rsidR="00551541" w:rsidRPr="00DD586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DD5865">
        <w:rPr>
          <w:rFonts w:ascii="Courier" w:hAnsi="Courier" w:cs="Courier New"/>
          <w:strike/>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41A22E2E" w:rsidR="00551541" w:rsidRPr="008E2D4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8E2D4B">
        <w:rPr>
          <w:rFonts w:ascii="Courier" w:hAnsi="Courier" w:cs="Courier New"/>
          <w:strike/>
          <w:color w:val="000000"/>
          <w:sz w:val="18"/>
          <w:szCs w:val="18"/>
          <w:lang w:val="en-US"/>
        </w:rPr>
        <w:t>* It was also confusing to me to read “Now, to test whether or not the instance is 2-robust” when from the statement of the Lemma I thought that this was being assumed from the outset</w:t>
      </w:r>
      <w:r w:rsidR="008E2D4B">
        <w:rPr>
          <w:rFonts w:ascii="Courier" w:hAnsi="Courier" w:cs="Courier New"/>
          <w:strike/>
          <w:color w:val="000000"/>
          <w:sz w:val="18"/>
          <w:szCs w:val="18"/>
          <w:lang w:val="en-US"/>
        </w:rPr>
        <w:t xml:space="preserve"> </w:t>
      </w:r>
      <w:r w:rsidR="008E2D4B">
        <w:rPr>
          <w:rFonts w:ascii="Courier" w:hAnsi="Courier" w:cs="Courier New"/>
          <w:color w:val="FF0000"/>
          <w:sz w:val="18"/>
          <w:szCs w:val="18"/>
          <w:lang w:val="en-US"/>
        </w:rPr>
        <w:t xml:space="preserve">Hopefully I have added enough explanation to </w:t>
      </w:r>
      <w:r w:rsidR="003905D8">
        <w:rPr>
          <w:rFonts w:ascii="Courier" w:hAnsi="Courier" w:cs="Courier New"/>
          <w:color w:val="FF0000"/>
          <w:sz w:val="18"/>
          <w:szCs w:val="18"/>
          <w:lang w:val="en-US"/>
        </w:rPr>
        <w:t>make this reasonable.</w:t>
      </w:r>
    </w:p>
    <w:p w14:paraId="368C2C95"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E9220C9" w14:textId="07008468" w:rsidR="00BC569E" w:rsidRPr="00BC569E" w:rsidRDefault="00BC569E"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FF0000"/>
          <w:sz w:val="18"/>
          <w:szCs w:val="18"/>
          <w:lang w:val="en-US"/>
        </w:rPr>
        <w:t>Not sure about this</w:t>
      </w:r>
    </w:p>
    <w:p w14:paraId="3A9719EF" w14:textId="77777777" w:rsidR="00551541" w:rsidRPr="00BD378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D3785">
        <w:rPr>
          <w:rFonts w:ascii="Courier" w:hAnsi="Courier" w:cs="Courier New"/>
          <w:strike/>
          <w:color w:val="000000"/>
          <w:sz w:val="18"/>
          <w:szCs w:val="18"/>
          <w:lang w:val="en-US"/>
        </w:rPr>
        <w:t>* Typo: “</w:t>
      </w:r>
      <w:proofErr w:type="spellStart"/>
      <w:r w:rsidRPr="00BD3785">
        <w:rPr>
          <w:rFonts w:ascii="Courier" w:hAnsi="Courier" w:cs="Courier New"/>
          <w:strike/>
          <w:color w:val="000000"/>
          <w:sz w:val="18"/>
          <w:szCs w:val="18"/>
          <w:lang w:val="en-US"/>
        </w:rPr>
        <w:t>sitll</w:t>
      </w:r>
      <w:proofErr w:type="spellEnd"/>
      <w:r w:rsidRPr="00BD3785">
        <w:rPr>
          <w:rFonts w:ascii="Courier" w:hAnsi="Courier" w:cs="Courier New"/>
          <w:strike/>
          <w:color w:val="000000"/>
          <w:sz w:val="18"/>
          <w:szCs w:val="18"/>
          <w:lang w:val="en-US"/>
        </w:rPr>
        <w:t>”</w:t>
      </w:r>
    </w:p>
    <w:p w14:paraId="51CABC71"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B474A1">
        <w:rPr>
          <w:rFonts w:ascii="Courier" w:hAnsi="Courier" w:cs="Courier New"/>
          <w:strike/>
          <w:color w:val="000000"/>
          <w:sz w:val="18"/>
          <w:szCs w:val="18"/>
          <w:lang w:val="en-US"/>
        </w:rPr>
        <w:t>etc</w:t>
      </w:r>
      <w:proofErr w:type="spellEnd"/>
      <w:r w:rsidRPr="00B474A1">
        <w:rPr>
          <w:rFonts w:ascii="Courier" w:hAnsi="Courier" w:cs="Courier New"/>
          <w:strike/>
          <w:color w:val="000000"/>
          <w:sz w:val="18"/>
          <w:szCs w:val="18"/>
          <w:lang w:val="en-US"/>
        </w:rPr>
        <w:t>, and tables of the kind that are under consideration, are likely to have difficulty in following at this point again otherwise.</w:t>
      </w:r>
    </w:p>
    <w:p w14:paraId="69AC13FD"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The term “deterministic grid” is used near the beginning of p5. This is very </w:t>
      </w:r>
      <w:proofErr w:type="spellStart"/>
      <w:r w:rsidRPr="00B474A1">
        <w:rPr>
          <w:rFonts w:ascii="Courier" w:hAnsi="Courier" w:cs="Courier New"/>
          <w:strike/>
          <w:color w:val="000000"/>
          <w:sz w:val="18"/>
          <w:szCs w:val="18"/>
          <w:lang w:val="en-US"/>
        </w:rPr>
        <w:t>specialised</w:t>
      </w:r>
      <w:proofErr w:type="spellEnd"/>
      <w:r w:rsidRPr="00B474A1">
        <w:rPr>
          <w:rFonts w:ascii="Courier" w:hAnsi="Courier" w:cs="Courier New"/>
          <w:strike/>
          <w:color w:val="000000"/>
          <w:sz w:val="18"/>
          <w:szCs w:val="18"/>
          <w:lang w:val="en-US"/>
        </w:rPr>
        <w:t xml:space="preserve"> terminology and has not been defined elsewhere in the article.</w:t>
      </w:r>
    </w:p>
    <w:p w14:paraId="0987C20E"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deduction at the end of the proof of Lemma 2 relies on no-</w:t>
      </w:r>
      <w:proofErr w:type="spellStart"/>
      <w:r w:rsidRPr="00B474A1">
        <w:rPr>
          <w:rFonts w:ascii="Courier" w:hAnsi="Courier" w:cs="Courier New"/>
          <w:strike/>
          <w:color w:val="000000"/>
          <w:sz w:val="18"/>
          <w:szCs w:val="18"/>
          <w:lang w:val="en-US"/>
        </w:rPr>
        <w:t>signalling</w:t>
      </w:r>
      <w:proofErr w:type="spellEnd"/>
      <w:r w:rsidRPr="00B474A1">
        <w:rPr>
          <w:rFonts w:ascii="Courier" w:hAnsi="Courier" w:cs="Courier New"/>
          <w:strike/>
          <w:color w:val="000000"/>
          <w:sz w:val="18"/>
          <w:szCs w:val="18"/>
          <w:lang w:val="en-US"/>
        </w:rPr>
        <w:t>, but this has not been explained anywhere, and the non-specialist reader would surely have trouble in reproducing the reasoning here</w:t>
      </w:r>
    </w:p>
    <w:p w14:paraId="382C5134" w14:textId="6FA0EECF" w:rsidR="00551541" w:rsidRPr="0001660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FF0000"/>
          <w:sz w:val="18"/>
          <w:szCs w:val="18"/>
          <w:lang w:val="en-US"/>
        </w:rPr>
      </w:pPr>
      <w:r w:rsidRPr="001B6079">
        <w:rPr>
          <w:rFonts w:ascii="Courier" w:hAnsi="Courier" w:cs="Courier New"/>
          <w:strike/>
          <w:color w:val="000000"/>
          <w:sz w:val="18"/>
          <w:szCs w:val="18"/>
          <w:lang w:val="en-US"/>
        </w:rPr>
        <w:t>* The final paragraph of this section could actually be stated as a result (a proposition perhaps) in its own right</w:t>
      </w:r>
      <w:r w:rsidR="00016601">
        <w:rPr>
          <w:rFonts w:ascii="Courier" w:hAnsi="Courier" w:cs="Courier New"/>
          <w:strike/>
          <w:color w:val="000000"/>
          <w:sz w:val="18"/>
          <w:szCs w:val="18"/>
          <w:lang w:val="en-US"/>
        </w:rPr>
        <w:t xml:space="preserve"> </w:t>
      </w:r>
      <w:r w:rsidR="00016601" w:rsidRPr="00016601">
        <w:rPr>
          <w:rFonts w:ascii="Courier" w:hAnsi="Courier" w:cs="Courier New"/>
          <w:color w:val="FF0000"/>
          <w:sz w:val="18"/>
          <w:szCs w:val="18"/>
          <w:lang w:val="en-US"/>
        </w:rPr>
        <w:t xml:space="preserve">I’m not quite sure how </w:t>
      </w:r>
      <w:proofErr w:type="spellStart"/>
      <w:r w:rsidR="00016601" w:rsidRPr="00016601">
        <w:rPr>
          <w:rFonts w:ascii="Courier" w:hAnsi="Courier" w:cs="Courier New"/>
          <w:color w:val="FF0000"/>
          <w:sz w:val="18"/>
          <w:szCs w:val="18"/>
          <w:lang w:val="en-US"/>
        </w:rPr>
        <w:t>tot</w:t>
      </w:r>
      <w:proofErr w:type="spellEnd"/>
      <w:r w:rsidR="00016601" w:rsidRPr="00016601">
        <w:rPr>
          <w:rFonts w:ascii="Courier" w:hAnsi="Courier" w:cs="Courier New"/>
          <w:color w:val="FF0000"/>
          <w:sz w:val="18"/>
          <w:szCs w:val="18"/>
          <w:lang w:val="en-US"/>
        </w:rPr>
        <w:t xml:space="preserve"> make this work- it is the theorem title. Perhaps I’ve misunderstood.</w:t>
      </w:r>
    </w:p>
    <w:p w14:paraId="1734019F" w14:textId="77777777" w:rsidR="00551541" w:rsidRPr="009B2A9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B2A99">
        <w:rPr>
          <w:rFonts w:ascii="Courier" w:hAnsi="Courier" w:cs="Courier New"/>
          <w:strike/>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bookmarkStart w:id="0" w:name="_GoBack"/>
      <w:bookmarkEnd w:id="0"/>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Near the beginning of p6 there is a typo: “we will now present </w:t>
      </w:r>
      <w:proofErr w:type="gramStart"/>
      <w:r w:rsidRPr="00551541">
        <w:rPr>
          <w:rFonts w:ascii="Courier" w:hAnsi="Courier" w:cs="Courier New"/>
          <w:color w:val="000000"/>
          <w:sz w:val="18"/>
          <w:szCs w:val="18"/>
          <w:lang w:val="en-US"/>
        </w:rPr>
        <w:t>a constructions</w:t>
      </w:r>
      <w:proofErr w:type="gramEnd"/>
      <w:r w:rsidRPr="00551541">
        <w:rPr>
          <w:rFonts w:ascii="Courier" w:hAnsi="Courier" w:cs="Courier New"/>
          <w:color w:val="000000"/>
          <w:sz w:val="18"/>
          <w:szCs w:val="18"/>
          <w:lang w:val="en-US"/>
        </w:rPr>
        <w:t xml:space="preserve">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additional comments, I quite liked the discussion of why it is not clear that relaxing the assumptions, on the </w:t>
      </w:r>
      <w:proofErr w:type="gramStart"/>
      <w:r w:rsidRPr="00551541">
        <w:rPr>
          <w:rFonts w:ascii="Courier" w:hAnsi="Courier" w:cs="Courier New"/>
          <w:color w:val="000000"/>
          <w:sz w:val="18"/>
          <w:szCs w:val="18"/>
          <w:lang w:val="en-US"/>
        </w:rPr>
        <w:t>left hand</w:t>
      </w:r>
      <w:proofErr w:type="gramEnd"/>
      <w:r w:rsidRPr="00551541">
        <w:rPr>
          <w:rFonts w:ascii="Courier" w:hAnsi="Courier" w:cs="Courier New"/>
          <w:color w:val="000000"/>
          <w:sz w:val="18"/>
          <w:szCs w:val="18"/>
          <w:lang w:val="en-US"/>
        </w:rPr>
        <w:t xml:space="preserve">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9B2A99"/>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16601"/>
    <w:rsid w:val="000D3CAC"/>
    <w:rsid w:val="00102223"/>
    <w:rsid w:val="00150309"/>
    <w:rsid w:val="00154D32"/>
    <w:rsid w:val="001B6079"/>
    <w:rsid w:val="00276D36"/>
    <w:rsid w:val="003905D8"/>
    <w:rsid w:val="003A0A12"/>
    <w:rsid w:val="004375FD"/>
    <w:rsid w:val="00444F45"/>
    <w:rsid w:val="004E46CE"/>
    <w:rsid w:val="00551541"/>
    <w:rsid w:val="00552329"/>
    <w:rsid w:val="00595C7F"/>
    <w:rsid w:val="00655935"/>
    <w:rsid w:val="007279F6"/>
    <w:rsid w:val="00792464"/>
    <w:rsid w:val="007C2F36"/>
    <w:rsid w:val="008C784A"/>
    <w:rsid w:val="008E2D4B"/>
    <w:rsid w:val="00921C8F"/>
    <w:rsid w:val="009B2A99"/>
    <w:rsid w:val="00A3349C"/>
    <w:rsid w:val="00A37182"/>
    <w:rsid w:val="00B073CA"/>
    <w:rsid w:val="00B474A1"/>
    <w:rsid w:val="00BC569E"/>
    <w:rsid w:val="00BD3785"/>
    <w:rsid w:val="00C31911"/>
    <w:rsid w:val="00C44BB5"/>
    <w:rsid w:val="00CF6957"/>
    <w:rsid w:val="00D0262B"/>
    <w:rsid w:val="00D85CCA"/>
    <w:rsid w:val="00DA03CD"/>
    <w:rsid w:val="00DD5865"/>
    <w:rsid w:val="00E704B6"/>
    <w:rsid w:val="00ED4CF4"/>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1984</Words>
  <Characters>11315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2017-06-15T13:47:00Z</dcterms:created>
  <dcterms:modified xsi:type="dcterms:W3CDTF">2017-06-28T12:36:00Z</dcterms:modified>
</cp:coreProperties>
</file>