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article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Moreover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“a table of probabilities for a Bell </w:t>
      </w:r>
      <w:proofErr w:type="spellStart"/>
      <w:r w:rsidRPr="00551541">
        <w:rPr>
          <w:rFonts w:ascii="Courier" w:hAnsi="Courier" w:cs="Courier New"/>
          <w:color w:val="000000"/>
          <w:sz w:val="18"/>
          <w:szCs w:val="18"/>
          <w:lang w:val="en-US"/>
        </w:rPr>
        <w:t>experiement</w:t>
      </w:r>
      <w:proofErr w:type="spellEnd"/>
      <w:r w:rsidRPr="00551541">
        <w:rPr>
          <w:rFonts w:ascii="Courier" w:hAnsi="Courier" w:cs="Courier New"/>
          <w:color w:val="000000"/>
          <w:sz w:val="18"/>
          <w:szCs w:val="18"/>
          <w:lang w:val="en-US"/>
        </w:rPr>
        <w: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bookmarkStart w:id="0" w:name="_GoBack"/>
      <w:r w:rsidRPr="004E46CE">
        <w:rPr>
          <w:rFonts w:ascii="Courier" w:hAnsi="Courier" w:cs="Courier New"/>
          <w:strike/>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4E46CE">
        <w:rPr>
          <w:rFonts w:ascii="Courier" w:hAnsi="Courier" w:cs="Courier New"/>
          <w:strike/>
          <w:color w:val="000000"/>
          <w:sz w:val="18"/>
          <w:szCs w:val="18"/>
          <w:lang w:val="en-US"/>
        </w:rPr>
        <w:t>Soares</w:t>
      </w:r>
      <w:proofErr w:type="spellEnd"/>
      <w:r w:rsidRPr="004E46CE">
        <w:rPr>
          <w:rFonts w:ascii="Courier" w:hAnsi="Courier" w:cs="Courier New"/>
          <w:strike/>
          <w:color w:val="000000"/>
          <w:sz w:val="18"/>
          <w:szCs w:val="18"/>
          <w:lang w:val="en-US"/>
        </w:rPr>
        <w:t xml:space="preserve"> Barbosa’s </w:t>
      </w:r>
      <w:proofErr w:type="spellStart"/>
      <w:r w:rsidRPr="004E46CE">
        <w:rPr>
          <w:rFonts w:ascii="Courier" w:hAnsi="Courier" w:cs="Courier New"/>
          <w:strike/>
          <w:color w:val="000000"/>
          <w:sz w:val="18"/>
          <w:szCs w:val="18"/>
          <w:lang w:val="en-US"/>
        </w:rPr>
        <w:t>Extendability</w:t>
      </w:r>
      <w:proofErr w:type="spellEnd"/>
      <w:r w:rsidRPr="004E46CE">
        <w:rPr>
          <w:rFonts w:ascii="Courier" w:hAnsi="Courier" w:cs="Courier New"/>
          <w:strike/>
          <w:color w:val="000000"/>
          <w:sz w:val="18"/>
          <w:szCs w:val="18"/>
          <w:lang w:val="en-US"/>
        </w:rPr>
        <w:t xml:space="preserve"> paper.</w:t>
      </w:r>
    </w:p>
    <w:bookmarkEnd w:id="0"/>
    <w:p w14:paraId="32B696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wrong probability is given above definition 1. Unless the labelling is changed, this should surely be 3/8</w:t>
      </w:r>
    </w:p>
    <w:p w14:paraId="21BE932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e.g. “with j and k being the maximum number…” is a difficult sentence to parse, and could perhaps be reworked.</w:t>
      </w:r>
    </w:p>
    <w:p w14:paraId="406D841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r w:rsidRPr="00551541">
        <w:rPr>
          <w:rFonts w:ascii="Courier" w:hAnsi="Courier" w:cs="Courier New"/>
          <w:color w:val="000000"/>
          <w:sz w:val="18"/>
          <w:szCs w:val="18"/>
          <w:lang w:val="en-US"/>
        </w:rPr>
        <w:t>non specialists</w:t>
      </w:r>
      <w:proofErr w:type="spellEnd"/>
      <w:r w:rsidRPr="00551541">
        <w:rPr>
          <w:rFonts w:ascii="Courier" w:hAnsi="Courier" w:cs="Courier New"/>
          <w:color w:val="000000"/>
          <w:sz w:val="18"/>
          <w:szCs w:val="18"/>
          <w:lang w:val="en-US"/>
        </w:rPr>
        <w:t xml:space="preserve"> who will be unable to guess at its significance.</w:t>
      </w:r>
    </w:p>
    <w:p w14:paraId="39B5313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It needs to be explained somewhere why the Table at the top of p3 is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This is the kind of thing that quantum specialists will be able to deduce, with some consideration, but where others will be lost.</w:t>
      </w:r>
    </w:p>
    <w:p w14:paraId="10C3E90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notion of tables which are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family of tables has a maximum probability of paradox of 1/2 could do with further explanation or proof.</w:t>
      </w:r>
    </w:p>
    <w:p w14:paraId="21F0102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w:t>
      </w:r>
      <w:proofErr w:type="spellStart"/>
      <w:r w:rsidRPr="00551541">
        <w:rPr>
          <w:rFonts w:ascii="Courier" w:hAnsi="Courier" w:cs="Courier New"/>
          <w:color w:val="000000"/>
          <w:sz w:val="18"/>
          <w:szCs w:val="18"/>
          <w:lang w:val="en-US"/>
        </w:rPr>
        <w:t>sitll</w:t>
      </w:r>
      <w:proofErr w:type="spellEnd"/>
      <w:r w:rsidRPr="00551541">
        <w:rPr>
          <w:rFonts w:ascii="Courier" w:hAnsi="Courier" w:cs="Courier New"/>
          <w:color w:val="000000"/>
          <w:sz w:val="18"/>
          <w:szCs w:val="18"/>
          <w:lang w:val="en-US"/>
        </w:rPr>
        <w:t>”</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551541">
        <w:rPr>
          <w:rFonts w:ascii="Courier" w:hAnsi="Courier" w:cs="Courier New"/>
          <w:color w:val="000000"/>
          <w:sz w:val="18"/>
          <w:szCs w:val="18"/>
          <w:lang w:val="en-US"/>
        </w:rPr>
        <w:t>etc</w:t>
      </w:r>
      <w:proofErr w:type="spellEnd"/>
      <w:r w:rsidRPr="00551541">
        <w:rPr>
          <w:rFonts w:ascii="Courier" w:hAnsi="Courier" w:cs="Courier New"/>
          <w:color w:val="000000"/>
          <w:sz w:val="18"/>
          <w:szCs w:val="18"/>
          <w:lang w:val="en-US"/>
        </w:rPr>
        <w:t>,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term “deterministic grid” is used near the beginning of p5. This is very </w:t>
      </w:r>
      <w:proofErr w:type="spellStart"/>
      <w:r w:rsidRPr="00551541">
        <w:rPr>
          <w:rFonts w:ascii="Courier" w:hAnsi="Courier" w:cs="Courier New"/>
          <w:color w:val="000000"/>
          <w:sz w:val="18"/>
          <w:szCs w:val="18"/>
          <w:lang w:val="en-US"/>
        </w:rPr>
        <w:t>specialised</w:t>
      </w:r>
      <w:proofErr w:type="spellEnd"/>
      <w:r w:rsidRPr="00551541">
        <w:rPr>
          <w:rFonts w:ascii="Courier" w:hAnsi="Courier" w:cs="Courier New"/>
          <w:color w:val="000000"/>
          <w:sz w:val="18"/>
          <w:szCs w:val="18"/>
          <w:lang w:val="en-US"/>
        </w:rPr>
        <w:t xml:space="preserve">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Near the beginning of p6 there is a typo: “we will now present a constructions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4E46CE"/>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54D32"/>
    <w:rsid w:val="00444F45"/>
    <w:rsid w:val="004E46CE"/>
    <w:rsid w:val="00551541"/>
    <w:rsid w:val="00A3349C"/>
    <w:rsid w:val="00DA03CD"/>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1908</Words>
  <Characters>10879</Characters>
  <Application>Microsoft Macintosh Word</Application>
  <DocSecurity>0</DocSecurity>
  <Lines>90</Lines>
  <Paragraphs>25</Paragraphs>
  <ScaleCrop>false</ScaleCrop>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2017-06-15T13:47:00Z</dcterms:created>
  <dcterms:modified xsi:type="dcterms:W3CDTF">2017-06-19T11:54:00Z</dcterms:modified>
</cp:coreProperties>
</file>