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 this article the author considers the question of deciding possibilistic locality/nonlocality from empirical possibility tables. Previous results have shown certain scenarios (scenarios dictate the shape of the possibility table) to allow for efficient algorithms and identified others in which the problem becomes NP-Hard. The author identifies the remaining scenario which does not fall into the domain of applicability of previous results, and completes the characterisation of the complexity of deciding possibilistic locality by showing (2,3)-Possloc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The second contribution is that the author considers the issue of deciding complexity for classes of empirical possibility tables which are realisable by quantum theory (previous results hold for non-signalling tables, of which quantum realisable tables are a subclass). This is a very difficult topic on which relatively little is known. While the author does not resolve the issue, he does make notable progress by showing how to quantumly embed a large class of 3-SAT instances into (2,3)-Possloc. Moreover the reasoning and discussion here are interesting in themselves, and I believe they will be of interest and value to researchers working on this and other topics relating to quantum realisability.</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51E631C4" w:rsidR="00551541" w:rsidRPr="00D0262B"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As a general recommendation, I think the article would greatly benefit from a Background section immediately following the introduction in which the basic concepts are clearly introduced. For instance this could contain some explanation of how possibility tables could arise, what they are supposed to correspond to in the physical context, various devices for reasoning on possibility tables which are used throughout the article, such as the notion of possibilistic no signalling,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r w:rsidR="00D0262B">
        <w:rPr>
          <w:rFonts w:ascii="Courier" w:hAnsi="Courier" w:cs="Courier New"/>
          <w:color w:val="000000"/>
          <w:sz w:val="18"/>
          <w:szCs w:val="18"/>
          <w:lang w:val="en-US"/>
        </w:rPr>
        <w:t xml:space="preserve"> </w:t>
      </w:r>
      <w:r w:rsidR="00D0262B">
        <w:rPr>
          <w:rFonts w:ascii="Courier" w:hAnsi="Courier" w:cs="Courier New"/>
          <w:color w:val="FF0000"/>
          <w:sz w:val="18"/>
          <w:szCs w:val="18"/>
          <w:lang w:val="en-US"/>
        </w:rPr>
        <w:t xml:space="preserve">I have done this but in two sections; the </w:t>
      </w:r>
      <w:r w:rsidR="00F1035A">
        <w:rPr>
          <w:rFonts w:ascii="Courier" w:hAnsi="Courier" w:cs="Courier New"/>
          <w:color w:val="FF0000"/>
          <w:sz w:val="18"/>
          <w:szCs w:val="18"/>
          <w:lang w:val="en-US"/>
        </w:rPr>
        <w:t>explanation of the reasoning comes in section 3.</w:t>
      </w:r>
      <w:bookmarkStart w:id="0" w:name="_GoBack"/>
      <w:bookmarkEnd w:id="0"/>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 second general recommendation would be to stress the generality of the problem from the outset, mentioning that locality is ultimately a feature of possibility tables, which in the case of quantumly realisable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“table of possibilities” is too vague even for an abstract. You could mention that these may arise from empirical data for instance.</w:t>
      </w:r>
    </w:p>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A suggestion would be to mention how such tables may arise in other, non-physical contexts. For instance I believe that Abramsky has considered how in the context of relational databases locality corresponds to the existence of universal relations, etc. This point is only a suggestion, however.</w:t>
      </w:r>
    </w:p>
    <w:p w14:paraId="6F0364EC" w14:textId="5B6B8F91" w:rsidR="00B073CA" w:rsidRPr="00B073CA" w:rsidRDefault="00B073CA"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Pr>
          <w:rFonts w:ascii="Courier" w:hAnsi="Courier" w:cs="Courier New"/>
          <w:color w:val="000000"/>
          <w:sz w:val="18"/>
          <w:szCs w:val="18"/>
          <w:lang w:val="en-US"/>
        </w:rPr>
        <w:tab/>
      </w:r>
      <w:r w:rsidRPr="00B073CA">
        <w:rPr>
          <w:rFonts w:ascii="Courier" w:hAnsi="Courier" w:cs="Courier New"/>
          <w:color w:val="FF0000"/>
          <w:sz w:val="18"/>
          <w:szCs w:val="18"/>
          <w:lang w:val="en-US"/>
        </w:rPr>
        <w:t>I have</w:t>
      </w:r>
      <w:r>
        <w:rPr>
          <w:rFonts w:ascii="Courier" w:hAnsi="Courier" w:cs="Courier New"/>
          <w:color w:val="FF0000"/>
          <w:sz w:val="18"/>
          <w:szCs w:val="18"/>
          <w:lang w:val="en-US"/>
        </w:rPr>
        <w:t xml:space="preserve"> not done this; Abramsky’s universal relations paper refers to the generalization of nonlocality to contextuality, and I would rather not engage with that in this paper.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Typo: seperate-&gt;separate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95C7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95C7F">
        <w:rPr>
          <w:rFonts w:ascii="Courier" w:hAnsi="Courier" w:cs="Courier New"/>
          <w:strike/>
          <w:color w:val="000000"/>
          <w:sz w:val="18"/>
          <w:szCs w:val="18"/>
          <w:lang w:val="en-US"/>
        </w:rPr>
        <w:t>* “a table of probabilities for a Bell experiement” is too vague. This could be remedied by explaining in a background section how probability/possibility tables arise.</w:t>
      </w:r>
    </w:p>
    <w:p w14:paraId="19497913" w14:textId="77777777" w:rsidR="00551541" w:rsidRPr="004E46C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E46CE">
        <w:rPr>
          <w:rFonts w:ascii="Courier" w:hAnsi="Courier" w:cs="Courier New"/>
          <w:strike/>
          <w:color w:val="000000"/>
          <w:sz w:val="18"/>
          <w:szCs w:val="18"/>
          <w:lang w:val="en-US"/>
        </w:rPr>
        <w:t>* On the topic of how possibility tables arise from possibility tables, there are some non-trivial questions here, some of which are addressed for instance by Abramsky’s Relational Hidden Variables paper, or Mansfield and Soares Barbosa’s Extendability paper.</w:t>
      </w:r>
    </w:p>
    <w:p w14:paraId="32B696A9" w14:textId="77777777" w:rsidR="00551541" w:rsidRPr="0015030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50309">
        <w:rPr>
          <w:rFonts w:ascii="Courier" w:hAnsi="Courier" w:cs="Courier New"/>
          <w:strike/>
          <w:color w:val="000000"/>
          <w:sz w:val="18"/>
          <w:szCs w:val="18"/>
          <w:lang w:val="en-US"/>
        </w:rPr>
        <w:t>* The wrong probability is given above definition 1. Unless the labelling is changed, this should surely be 3/8</w:t>
      </w:r>
    </w:p>
    <w:p w14:paraId="21BE932F" w14:textId="77777777" w:rsidR="00551541" w:rsidRPr="003A0A1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3A0A12">
        <w:rPr>
          <w:rFonts w:ascii="Courier" w:hAnsi="Courier" w:cs="Courier New"/>
          <w:strike/>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e.g. “with j and k being the maximum number…” is a difficult sentence to parse, and could perhaps be reworked.</w:t>
      </w:r>
    </w:p>
    <w:p w14:paraId="406D8415"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Tables should be numbered and referred to at the appropriate points in the text (throughout the article, and not only in this section); likewise for figures, which don’t seem to be referred to everywhere that could be relevant in the main text</w:t>
      </w:r>
    </w:p>
    <w:p w14:paraId="4470E2AF" w14:textId="77777777" w:rsidR="00551541" w:rsidRPr="004375FD"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375FD">
        <w:rPr>
          <w:rFonts w:ascii="Courier" w:hAnsi="Courier" w:cs="Courier New"/>
          <w:strike/>
          <w:color w:val="000000"/>
          <w:sz w:val="18"/>
          <w:szCs w:val="18"/>
          <w:lang w:val="en-US"/>
        </w:rPr>
        <w:t>* Figure 2 is a very interesting device, but it’s not explained sufficiently, nor how it relates to possibility tables or paradoxes or locality. This badly needs explanation especially for non specialists who will be unable to guess at its significance.</w:t>
      </w:r>
    </w:p>
    <w:p w14:paraId="39B5313C" w14:textId="77777777" w:rsidR="00551541" w:rsidRPr="00ED4CF4"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ED4CF4">
        <w:rPr>
          <w:rFonts w:ascii="Courier" w:hAnsi="Courier" w:cs="Courier New"/>
          <w:strike/>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It needs to be explained somewhere why the Table at the top of p3 is quantum realisable. This is the kind of thing that quantum specialists will be able to deduce, with some consideration, but where others will be lost.</w:t>
      </w:r>
    </w:p>
    <w:p w14:paraId="10C3E904"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The notion of tables which are “quantumly accessible” are mentioned for the first time on this page. I think this could have been introduced earlier (e.g. in a background section).</w:t>
      </w:r>
    </w:p>
    <w:p w14:paraId="46CEF00E" w14:textId="77777777" w:rsidR="00551541" w:rsidRPr="00102223"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02223">
        <w:rPr>
          <w:rFonts w:ascii="Courier" w:hAnsi="Courier" w:cs="Courier New"/>
          <w:strike/>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A3718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A37182">
        <w:rPr>
          <w:rFonts w:ascii="Courier" w:hAnsi="Courier" w:cs="Courier New"/>
          <w:strike/>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C44BB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44BB5">
        <w:rPr>
          <w:rFonts w:ascii="Courier" w:hAnsi="Courier" w:cs="Courier New"/>
          <w:strike/>
          <w:color w:val="000000"/>
          <w:sz w:val="18"/>
          <w:szCs w:val="18"/>
          <w:lang w:val="en-US"/>
        </w:rPr>
        <w:t>* The fact that the family of tables has a maximum probability of paradox of 1/2 could do with further explanation or proof.</w:t>
      </w:r>
    </w:p>
    <w:p w14:paraId="21F0102E" w14:textId="77777777" w:rsidR="00551541" w:rsidRPr="00276D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276D36">
        <w:rPr>
          <w:rFonts w:ascii="Courier" w:hAnsi="Courier" w:cs="Courier New"/>
          <w:strike/>
          <w:color w:val="000000"/>
          <w:sz w:val="18"/>
          <w:szCs w:val="18"/>
          <w:lang w:val="en-US"/>
        </w:rPr>
        <w:t>* The word “violation” is used here. I think it needs to be explained why probability of paradox relates to violation of a Bell inequality which will not be immediately clear for most readers</w:t>
      </w:r>
    </w:p>
    <w:p w14:paraId="11A98BC8" w14:textId="4C0527D9" w:rsidR="00551541" w:rsidRPr="00C3191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r w:rsidR="00C31911">
        <w:rPr>
          <w:rFonts w:ascii="Courier" w:hAnsi="Courier" w:cs="Courier New"/>
          <w:color w:val="000000"/>
          <w:sz w:val="18"/>
          <w:szCs w:val="18"/>
          <w:lang w:val="en-US"/>
        </w:rPr>
        <w:t xml:space="preserve"> </w:t>
      </w:r>
      <w:r w:rsidR="00C31911">
        <w:rPr>
          <w:rFonts w:ascii="Courier" w:hAnsi="Courier" w:cs="Courier New"/>
          <w:color w:val="FF0000"/>
          <w:sz w:val="18"/>
          <w:szCs w:val="18"/>
          <w:lang w:val="en-US"/>
        </w:rPr>
        <w:t>I have left this relatively unchanged- only added reference.</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p w14:paraId="1EFD4A2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find Definition 3 to be confusingly stated. Instead of using brackets, would it not be clearer to first define 0-validity and after words say that 1-valid is defined similarly.</w:t>
      </w:r>
    </w:p>
    <w:p w14:paraId="7612CE00"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not clear to me why only clauses of the kinds found in equations (1) and (2) are looked at.</w:t>
      </w:r>
    </w:p>
    <w:p w14:paraId="4A75BE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also confusing to me to read “Now, to test whether or not the instance is 2-robust” when from the statement of the Lemma I thought that this was being assumed from the outset</w:t>
      </w:r>
    </w:p>
    <w:p w14:paraId="368C2C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A9719E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Typo: “sitll”</w:t>
      </w:r>
    </w:p>
    <w:p w14:paraId="51CABC7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When in the proof of Lemma 2 I see “we add a measurement to the party…” I can’t help but feel that measurement (or what it corresponds to in a possibility table) and party should have been defined clearly before now. Those not familiar with Bell experiments, etc, and tables of the kind that are under consideration, are likely to have difficulty in following at this point again otherwise.</w:t>
      </w:r>
    </w:p>
    <w:p w14:paraId="69AC13F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term “deterministic grid” is used near the beginning of p5. This is very specialised terminology and has not been defined elsewhere in the article.</w:t>
      </w:r>
    </w:p>
    <w:p w14:paraId="0987C2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deduction at the end of the proof of Lemma 2 relies on no-signalling, but this has not been explained anywhere, and the non-specialist reader would surely have trouble in reproducing the reasoning here</w:t>
      </w:r>
    </w:p>
    <w:p w14:paraId="382C513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of this section could actually be stated as a result (a proposition perhaps) in its own right</w:t>
      </w:r>
    </w:p>
    <w:p w14:paraId="1734019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p>
    <w:p w14:paraId="141550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first sentence here would be fine if it was simply recalling something from earlier in the article, but it’s too late and too brief to be introducing such a point at this stage. The notion of generalised no-signalling distribution should be made clear in a background section perhaps.</w:t>
      </w:r>
    </w:p>
    <w:p w14:paraId="10C4250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Near the beginning of p6 there is a typo: “we will now present a constructions will”</w:t>
      </w:r>
    </w:p>
    <w:p w14:paraId="19041C4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pointer to a generalised Hardy paradox “given above” is not clear enough. Also, I wonder if it’s not a bit confusing to refer to generalised Hardy paradox especially given that there are many alternative generalisations, and that (if I located the correct one in this instance) the paradox in question is not really in the original Hardy form. Perhaps there is some better terminology here, though I only mention this as a thought rather than a firm recommendation for a change.</w:t>
      </w:r>
    </w:p>
    <w:p w14:paraId="01C24AC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As additional comments, I quite liked the discussion of why it is not clear that relaxing the assumptions, on the left hand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E86D0A" w:rsidRDefault="00F1035A"/>
    <w:sectPr w:rsidR="00E86D0A"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D3CAC"/>
    <w:rsid w:val="00102223"/>
    <w:rsid w:val="00150309"/>
    <w:rsid w:val="00154D32"/>
    <w:rsid w:val="00276D36"/>
    <w:rsid w:val="003A0A12"/>
    <w:rsid w:val="004375FD"/>
    <w:rsid w:val="00444F45"/>
    <w:rsid w:val="004E46CE"/>
    <w:rsid w:val="00551541"/>
    <w:rsid w:val="00595C7F"/>
    <w:rsid w:val="007279F6"/>
    <w:rsid w:val="00792464"/>
    <w:rsid w:val="007C2F36"/>
    <w:rsid w:val="008C784A"/>
    <w:rsid w:val="00921C8F"/>
    <w:rsid w:val="00A3349C"/>
    <w:rsid w:val="00A37182"/>
    <w:rsid w:val="00B073CA"/>
    <w:rsid w:val="00C31911"/>
    <w:rsid w:val="00C44BB5"/>
    <w:rsid w:val="00D0262B"/>
    <w:rsid w:val="00D85CCA"/>
    <w:rsid w:val="00DA03CD"/>
    <w:rsid w:val="00E704B6"/>
    <w:rsid w:val="00ED4CF4"/>
    <w:rsid w:val="00F1035A"/>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1957</Words>
  <Characters>11159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2017-06-15T13:47:00Z</dcterms:created>
  <dcterms:modified xsi:type="dcterms:W3CDTF">2017-06-20T16:32:00Z</dcterms:modified>
</cp:coreProperties>
</file>