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0"/>
              <w:left w:val="single" w:color="1B3A5C" w:sz="0"/>
              <w:bottom w:val="single" w:color="1B3A5C" w:sz="0"/>
              <w:right w:val="single" w:color="1B3A5C" w:sz="0"/>
            </w:tcBorders>
            <w:shd w:fill="1B3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GENERAL PAPER  ·  SYLLABUS 8881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PAPER 2: COMPREHENSION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AADDDD"/>
                <w:sz w:val="20"/>
                <w:szCs w:val="20"/>
              </w:rPr>
              <w:t xml:space="preserve">Practice Paper — Question Booklet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EEEE"/>
                <w:sz w:val="20"/>
                <w:szCs w:val="20"/>
              </w:rPr>
              <w:t xml:space="preserve">Theme: Urban Loneliness and the Erosion of Community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7F8A" w:sz="6"/>
              <w:left w:val="single" w:color="2A7F8A" w:sz="6"/>
              <w:bottom w:val="single" w:color="2A7F8A" w:sz="6"/>
              <w:right w:val="single" w:color="2A7F8A" w:sz="6"/>
            </w:tcBorders>
            <w:shd w:fill="F6F6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Instructions to Candidates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Answer </w:t>
            </w: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all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questions in Sections A, B and C.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Use your own words as far as possible throughout.</w:t>
            </w:r>
          </w:p>
          <w:p>
            <w:pPr>
              <w:spacing w:after="56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Write your answers in the spaces provided below each question.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Total marks: 22  |  Recommended time: 35 minutes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0"/>
              <w:left w:val="single" w:color="1B3A5C" w:sz="0"/>
              <w:bottom w:val="single" w:color="1B3A5C" w:sz="0"/>
              <w:right w:val="single" w:color="1B3A5C" w:sz="0"/>
            </w:tcBorders>
            <w:shd w:fill="1B3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PASSAGE 1</w:t>
            </w:r>
            <w:r>
              <w:rPr>
                <w:rFonts w:ascii="Arial" w:cs="Arial" w:eastAsia="Arial" w:hAnsi="Arial"/>
                <w:color w:val="BBDDDD"/>
                <w:sz w:val="20"/>
                <w:szCs w:val="20"/>
              </w:rPr>
              <w:t xml:space="preserve">     The City That Forgot Its Neighbours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CCCC"/>
                <w:sz w:val="18"/>
                <w:szCs w:val="18"/>
              </w:rPr>
              <w:t xml:space="preserve">Adapted from an essay on urban design, architecture, and social isolation.</w:t>
            </w:r>
          </w:p>
        </w:tc>
      </w:tr>
    </w:tbl>
    <w:p>
      <w:pPr>
        <w:spacing w:after="80"/>
      </w:pP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1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Consider the last time you spoke to your neighbour — not a nod in a corridor, but a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2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real conversation. For most city-dwellers today, such exchanges have become almost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3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unimaginable. The modern city, for all its density of population, has become a place of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4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profound solitude. We live stacked upon one another in towers of glass and steel, yet we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5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move through our days in near-perfect isolation, sealed off from the lives unfolding just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6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centimetres beyond our walls.</w:t>
      </w:r>
    </w:p>
    <w:p>
      <w:pPr>
        <w:spacing w:after="80"/>
      </w:pP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8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This is not an accident. The architecture of the twentieth century </w:t>
      </w: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engineered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 community out of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9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existence — quite deliberately. Post-war housing blocks replaced shared courtyards and street-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10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level shops with uniform facades and private balconies, eliminating the informal gathering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11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spaces in which residents had previously collided by chance. When the old tenement buildings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12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of Glasgow were demolished in the 1960s and replaced with tower blocks, residents reported a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13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dramatic loss of the social cohesion that had sustained those communities through decades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14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of poverty and hardship. The buildings themselves had been the social infrastructure; once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15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gone, the community was gone with them.</w:t>
      </w:r>
    </w:p>
    <w:p>
      <w:pPr>
        <w:spacing w:after="80"/>
      </w:pP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17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Urban planning has compounded this damage by prioritising the movement of vehicles over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18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the movement of people. Streets designed for cars are hostile to the kind of spontaneous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19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human encounter that builds familiarity and, in time, trust. Pavements narrow. Benches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20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disappear. The spaces in which people might once have lingered are redesigned for transit,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21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not habitation. What remains, if anything at all, is the 'community' — a word that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22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persists long after the substance it described has been </w:t>
      </w: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quietly demolished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.</w:t>
      </w:r>
    </w:p>
    <w:p>
      <w:pPr>
        <w:spacing w:after="80"/>
      </w:pP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24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The city, in this sense, has become an archipelago — a scattering of private islands whose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25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inhabitants can see each other across the water but do not cross it. We pass each other on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26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trains and in lifts, registering faces without names, proximity without intimacy. Each island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27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is self-sufficient; none is whole. The tragedy is not that we are alone — it is that we are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28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alone together, within speaking distance of hundreds and genuinely known to almost none.</w:t>
      </w:r>
    </w:p>
    <w:p>
      <w:pPr>
        <w:spacing w:after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0"/>
              <w:left w:val="single" w:color="1B3A5C" w:sz="0"/>
              <w:bottom w:val="single" w:color="1B3A5C" w:sz="0"/>
              <w:right w:val="single" w:color="1B3A5C" w:sz="0"/>
            </w:tcBorders>
            <w:shd w:fill="1B3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PASSAGE 2</w:t>
            </w:r>
            <w:r>
              <w:rPr>
                <w:rFonts w:ascii="Arial" w:cs="Arial" w:eastAsia="Arial" w:hAnsi="Arial"/>
                <w:color w:val="BBDDDD"/>
                <w:sz w:val="20"/>
                <w:szCs w:val="20"/>
              </w:rPr>
              <w:t xml:space="preserve">     The Case for the Anonymous City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CCCC"/>
                <w:sz w:val="18"/>
                <w:szCs w:val="18"/>
              </w:rPr>
              <w:t xml:space="preserve">Adapted from a sociological commentary on urban belonging and community formation.</w:t>
            </w:r>
          </w:p>
        </w:tc>
      </w:tr>
    </w:tbl>
    <w:p>
      <w:pPr>
        <w:spacing w:after="80"/>
      </w:pP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1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What if loneliness is not what cities produce, but what we bring to them? The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2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assumption that density ought to generate community — that neighbours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3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should become friends merely because they share a postcode — is itself a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4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relatively recent and rather peculiar expectation. For most of urban history,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5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the city was defined not by intimacy but by anonymity: the freedom to be unknown,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6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unchosen, uncategorised. This was its gift, not its failure.</w:t>
      </w:r>
    </w:p>
    <w:p>
      <w:pPr>
        <w:spacing w:after="80"/>
      </w:pP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8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Far from dismantling belonging, urban life has generated new and arguably richer forms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9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of it. City-dwellers form communities of choice rather than proximity: the book group, the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10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running club, the mosque, the night-market crowd. These affiliations are voluntary, fluid and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11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often surprisingly durable. Even the brief, transactional exchanges of city life — the nod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12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from a barista, the held-open door, the shared eye-roll at a delayed train — contribute to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13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what sociologists call 'ambient sociality': a low-level but sustaining sense that one moves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14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through a shared world, populated by others who are, in their small ways,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15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acknowledging your existence.</w:t>
      </w:r>
    </w:p>
    <w:p>
      <w:pPr>
        <w:spacing w:after="80"/>
      </w:pP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17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The process by which urban dwellers build this kind of belonging is incremental and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18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largely invisible. First, repeated exposure to the same faces in the same spaces — the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19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corner shop, the bus stop, the park — creates what psychologists term 'familiarity without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20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acquaintance'. Next, small acts of mutual recognition accumulate into what feels, over time,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21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like a social fabric, thin perhaps, but real. Finally, when disruption occurs — a neighbour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22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falls ill, a fire breaks out — it is precisely these anonymous threads that mobilise, often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23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with astonishing speed, into concrete acts of solidarity.</w:t>
      </w:r>
    </w:p>
    <w:p>
      <w:pPr>
        <w:spacing w:after="80"/>
      </w:pP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25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It is, paradoxically, the very impermanence and transience of urban contact that makes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26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it so valuable. Because no single encounter carries the weight of obligation that village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27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life once imposed, city-dwellers can engage freely, generously, and without the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28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accumulated resentments that often poison more coercive forms of community. The city does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29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not ask you to love your neighbour — it merely asks you to </w:t>
      </w: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notice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 them.</w:t>
      </w:r>
    </w:p>
    <w:p>
      <w:pPr>
        <w:spacing w:after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0"/>
              <w:left w:val="single" w:color="1B3A5C" w:sz="0"/>
              <w:bottom w:val="single" w:color="1B3A5C" w:sz="0"/>
              <w:right w:val="single" w:color="1B3A5C" w:sz="0"/>
            </w:tcBorders>
            <w:shd w:fill="1B3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PASSAGE 3</w:t>
            </w:r>
            <w:r>
              <w:rPr>
                <w:rFonts w:ascii="Arial" w:cs="Arial" w:eastAsia="Arial" w:hAnsi="Arial"/>
                <w:color w:val="BBDDDD"/>
                <w:sz w:val="20"/>
                <w:szCs w:val="20"/>
              </w:rPr>
              <w:t xml:space="preserve">     Designing for Togetherness: What Policy Can and Cannot 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CCCC"/>
                <w:sz w:val="18"/>
                <w:szCs w:val="18"/>
              </w:rPr>
              <w:t xml:space="preserve">Adapted from an academic journal article on urban policy, housing research, and social cohesion.</w:t>
            </w:r>
          </w:p>
        </w:tc>
      </w:tr>
    </w:tbl>
    <w:p>
      <w:pPr>
        <w:spacing w:after="80"/>
      </w:pP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1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The belief that urban loneliness can be solved through better design has animated two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2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decades of planning policy. Shared courtyards are mandated in new developments. Benches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3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multiply. Community centres are funded and refurbished. The assumption underlying all of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4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these interventions is the same: change the physical environment, and social behaviour will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5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follow. The evidence, however, is considerably less obliging.</w:t>
      </w:r>
    </w:p>
    <w:p>
      <w:pPr>
        <w:spacing w:after="80"/>
      </w:pP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7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Longitudinal studies of urban housing — including extensive research conducted across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8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ten European cities between 2005 and 2020 — consistently find that the strongest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 9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predictors of social cohesion are not architectural but demographic and economic: income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10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stability, length of residence, ethnic homogeneity, and access to employment. Buildings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11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that were architecturally similar produced dramatically different levels of community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12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depending on who lived in them and under what material conditions. Architecture, the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13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research suggests, is neither sufficient nor necessary for community to flourish.</w:t>
      </w:r>
    </w:p>
    <w:p>
      <w:pPr>
        <w:spacing w:after="80"/>
      </w:pP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15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This does not mean that design is irrelevant — merely that its effects are mediated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16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through the social conditions it encounters. A shared courtyard in a building whose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17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residents are economically precarious and residentially transient will not generate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18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community simply by virtue of existing. The space must be inhabited by people with the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19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time, stability, and motivation to use it.</w:t>
      </w:r>
    </w:p>
    <w:p>
      <w:pPr>
        <w:spacing w:after="80"/>
      </w:pP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21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What the research does affirm, however, is the disproportionate importance of what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22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sociologists call 'weak ties' — the casual, non-intimate relationships between people who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23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recognise one another without being close. Studies from Harvard and the London School of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24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Economics find that it is the density of these weak ties, rather than the depth of close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25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friendships, that most reliably predicts urban residents' sense of belonging, reported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26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wellbeing, and capacity to mobilise collectively during crises. The neighbour you greet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27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without knowing their name is, it turns out, essential to the health of the community </w:t>
      </w:r>
    </w:p>
    <w:p>
      <w:pPr>
        <w:spacing w:after="56" w:line="300" w:lineRule="auto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 28</w:t>
      </w: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in ways that no amount of architectural intervention can easily replicate or replace.</w:t>
      </w:r>
    </w:p>
    <w:p>
      <w:pPr>
        <w:spacing w:after="22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0"/>
              <w:left w:val="single" w:color="1B3A5C" w:sz="0"/>
              <w:bottom w:val="single" w:color="1B3A5C" w:sz="0"/>
              <w:right w:val="single" w:color="1B3A5C" w:sz="0"/>
            </w:tcBorders>
            <w:shd w:fill="1B3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A  ·  SHORT-ANSWER QUESTIONS  (Questions 1–7)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All questions are based on Passage 1 only. Use your own words throughout.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1  </w:t>
            </w:r>
            <w:r>
              <w:rPr>
                <w:rFonts w:ascii="Arial" w:cs="Arial" w:eastAsia="Arial" w:hAnsi="Arial"/>
                <w:color w:val="AACCCC"/>
                <w:sz w:val="18"/>
                <w:szCs w:val="18"/>
              </w:rPr>
              <w:t xml:space="preserve">[2 marks]  Passage 1</w:t>
            </w:r>
          </w:p>
          <w:p>
            <w:pPr>
              <w:spacing w:after="56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According to the author of Passage 1, why has the modern city produced profound solitude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despite its high population density? (lines 8–22)</w:t>
            </w:r>
          </w:p>
        </w:tc>
      </w:tr>
      <w:tr>
        <w:tc>
          <w:tcPr>
            <w:tcW w:type="dxa" w:w="902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2  </w:t>
            </w:r>
            <w:r>
              <w:rPr>
                <w:rFonts w:ascii="Arial" w:cs="Arial" w:eastAsia="Arial" w:hAnsi="Arial"/>
                <w:color w:val="AACCCC"/>
                <w:sz w:val="18"/>
                <w:szCs w:val="18"/>
              </w:rPr>
              <w:t xml:space="preserve">[2 marks]  Passage 1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What device does the author use to open Passage 1, and what is its purpose? (lines 1–6)</w:t>
            </w:r>
          </w:p>
        </w:tc>
      </w:tr>
      <w:tr>
        <w:tc>
          <w:tcPr>
            <w:tcW w:type="dxa" w:w="902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3  </w:t>
            </w:r>
            <w:r>
              <w:rPr>
                <w:rFonts w:ascii="Arial" w:cs="Arial" w:eastAsia="Arial" w:hAnsi="Arial"/>
                <w:color w:val="AACCCC"/>
                <w:sz w:val="18"/>
                <w:szCs w:val="18"/>
              </w:rPr>
              <w:t xml:space="preserve">[1 mark]  Passage 1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Comment on the author's use of inverted commas around the word 'community' in line 21.</w:t>
            </w:r>
          </w:p>
        </w:tc>
      </w:tr>
      <w:tr>
        <w:tc>
          <w:tcPr>
            <w:tcW w:type="dxa" w:w="902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4  </w:t>
            </w:r>
            <w:r>
              <w:rPr>
                <w:rFonts w:ascii="Arial" w:cs="Arial" w:eastAsia="Arial" w:hAnsi="Arial"/>
                <w:color w:val="AACCCC"/>
                <w:sz w:val="18"/>
                <w:szCs w:val="18"/>
              </w:rPr>
              <w:t xml:space="preserve">[2 marks]  Passage 1</w:t>
            </w:r>
          </w:p>
          <w:p>
            <w:pPr>
              <w:spacing w:after="56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Refer to lines 11–15 ('When the old tenement buildings of Glasgow… the community was gone with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them.'). Explain why the author uses this example and how it supports the argument of Passage 1.</w:t>
            </w:r>
          </w:p>
        </w:tc>
      </w:tr>
      <w:tr>
        <w:tc>
          <w:tcPr>
            <w:tcW w:type="dxa" w:w="902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5  </w:t>
            </w:r>
            <w:r>
              <w:rPr>
                <w:rFonts w:ascii="Arial" w:cs="Arial" w:eastAsia="Arial" w:hAnsi="Arial"/>
                <w:color w:val="AACCCC"/>
                <w:sz w:val="18"/>
                <w:szCs w:val="18"/>
              </w:rPr>
              <w:t xml:space="preserve">[2 marks]  Passage 1</w:t>
            </w:r>
          </w:p>
          <w:p>
            <w:pPr>
              <w:spacing w:after="56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'The city, in this sense, has become an archipelago — a scattering of private islands whose</w:t>
            </w:r>
          </w:p>
          <w:p>
            <w:pPr>
              <w:spacing w:after="56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inhabitants can see each other across the water but do not cross it.' (lines 24–25)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Explain what this metaphor conveys about life in the modern city.</w:t>
            </w:r>
          </w:p>
        </w:tc>
      </w:tr>
      <w:tr>
        <w:tc>
          <w:tcPr>
            <w:tcW w:type="dxa" w:w="902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6  </w:t>
            </w:r>
            <w:r>
              <w:rPr>
                <w:rFonts w:ascii="Arial" w:cs="Arial" w:eastAsia="Arial" w:hAnsi="Arial"/>
                <w:color w:val="AACCCC"/>
                <w:sz w:val="18"/>
                <w:szCs w:val="18"/>
              </w:rPr>
              <w:t xml:space="preserve">[1 mark]  Passage 1</w:t>
            </w:r>
          </w:p>
          <w:p>
            <w:pPr>
              <w:spacing w:after="56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What is the author's attitude towards urban planners and architects, as revealed in lines 8–22?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Support your answer with evidence from the passage.</w:t>
            </w:r>
          </w:p>
        </w:tc>
      </w:tr>
      <w:tr>
        <w:tc>
          <w:tcPr>
            <w:tcW w:type="dxa" w:w="902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7  </w:t>
            </w:r>
            <w:r>
              <w:rPr>
                <w:rFonts w:ascii="Arial" w:cs="Arial" w:eastAsia="Arial" w:hAnsi="Arial"/>
                <w:color w:val="AACCCC"/>
                <w:sz w:val="18"/>
                <w:szCs w:val="18"/>
              </w:rPr>
              <w:t xml:space="preserve">[1 mark]  Passage 1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Comment on the effect of the phrase 'quietly demolished' (line 22) in the context of Passage 1.</w:t>
            </w:r>
          </w:p>
        </w:tc>
      </w:tr>
      <w:tr>
        <w:tc>
          <w:tcPr>
            <w:tcW w:type="dxa" w:w="902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0"/>
              <w:left w:val="single" w:color="1B3A5C" w:sz="0"/>
              <w:bottom w:val="single" w:color="1B3A5C" w:sz="0"/>
              <w:right w:val="single" w:color="1B3A5C" w:sz="0"/>
            </w:tcBorders>
            <w:shd w:fill="1B3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B  ·  CROSS-PASSAGE COMPARISON  (Questions 8)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Questions draw on Passages 1 and 2. Use your own words throughout.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8(a)  </w:t>
            </w:r>
            <w:r>
              <w:rPr>
                <w:rFonts w:ascii="Arial" w:cs="Arial" w:eastAsia="Arial" w:hAnsi="Arial"/>
                <w:color w:val="AACCCC"/>
                <w:sz w:val="18"/>
                <w:szCs w:val="18"/>
              </w:rPr>
              <w:t xml:space="preserve">[2 marks]  Passages 1 &amp; 2</w:t>
            </w:r>
          </w:p>
          <w:p>
            <w:pPr>
              <w:spacing w:after="56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In what TWO ways do the authors of Passage 1 and Passage 2 differ in their view of the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stranger — the unknown person encountered in city life?</w:t>
            </w:r>
          </w:p>
        </w:tc>
      </w:tr>
      <w:tr>
        <w:tc>
          <w:tcPr>
            <w:tcW w:type="dxa" w:w="902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8(b)  </w:t>
            </w:r>
            <w:r>
              <w:rPr>
                <w:rFonts w:ascii="Arial" w:cs="Arial" w:eastAsia="Arial" w:hAnsi="Arial"/>
                <w:color w:val="AACCCC"/>
                <w:sz w:val="18"/>
                <w:szCs w:val="18"/>
              </w:rPr>
              <w:t xml:space="preserve">[1 mark]  Passage 2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What is the effect of the word 'Even' at the start of line 11 in Passage 2?</w:t>
            </w:r>
          </w:p>
        </w:tc>
      </w:tr>
      <w:tr>
        <w:tc>
          <w:tcPr>
            <w:tcW w:type="dxa" w:w="902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8(c)  </w:t>
            </w:r>
            <w:r>
              <w:rPr>
                <w:rFonts w:ascii="Arial" w:cs="Arial" w:eastAsia="Arial" w:hAnsi="Arial"/>
                <w:color w:val="AACCCC"/>
                <w:sz w:val="18"/>
                <w:szCs w:val="18"/>
              </w:rPr>
              <w:t xml:space="preserve">[1 mark]  Passage 2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In your own words, explain what the author means by 'ambient sociality' (Passage 2, line 13).</w:t>
            </w:r>
          </w:p>
        </w:tc>
      </w:tr>
      <w:tr>
        <w:tc>
          <w:tcPr>
            <w:tcW w:type="dxa" w:w="902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8(d)  </w:t>
            </w:r>
            <w:r>
              <w:rPr>
                <w:rFonts w:ascii="Arial" w:cs="Arial" w:eastAsia="Arial" w:hAnsi="Arial"/>
                <w:color w:val="AACCCC"/>
                <w:sz w:val="18"/>
                <w:szCs w:val="18"/>
              </w:rPr>
              <w:t xml:space="preserve">[2 marks]  Passage 2</w:t>
            </w:r>
          </w:p>
          <w:p>
            <w:pPr>
              <w:spacing w:after="56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'It is, paradoxically, the very impermanence and transience of urban contact that makes it so</w:t>
            </w:r>
          </w:p>
          <w:p>
            <w:pPr>
              <w:spacing w:after="56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valuable.' (Passage 2, lines 25–26)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Explain the paradox in these lines.</w:t>
            </w:r>
          </w:p>
        </w:tc>
      </w:tr>
      <w:tr>
        <w:tc>
          <w:tcPr>
            <w:tcW w:type="dxa" w:w="902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8(e)  </w:t>
            </w:r>
            <w:r>
              <w:rPr>
                <w:rFonts w:ascii="Arial" w:cs="Arial" w:eastAsia="Arial" w:hAnsi="Arial"/>
                <w:color w:val="AACCCC"/>
                <w:sz w:val="18"/>
                <w:szCs w:val="18"/>
              </w:rPr>
              <w:t xml:space="preserve">[1 mark]  Passage 1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Comment on the author's use of 'We' and 'our' throughout Passage 1 (e.g. lines 4–5, 25–28).</w:t>
            </w:r>
          </w:p>
        </w:tc>
      </w:tr>
      <w:tr>
        <w:tc>
          <w:tcPr>
            <w:tcW w:type="dxa" w:w="902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0"/>
              <w:left w:val="single" w:color="1B3A5C" w:sz="0"/>
              <w:bottom w:val="single" w:color="1B3A5C" w:sz="0"/>
              <w:right w:val="single" w:color="1B3A5C" w:sz="0"/>
            </w:tcBorders>
            <w:shd w:fill="1B3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C  ·  NEW ITEM TYPE — CONNECTIONS  (Questions 9–10)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Questions require connections between Passage 3 and Passages 1 and 2.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9  </w:t>
            </w:r>
            <w:r>
              <w:rPr>
                <w:rFonts w:ascii="Arial" w:cs="Arial" w:eastAsia="Arial" w:hAnsi="Arial"/>
                <w:color w:val="AACCCC"/>
                <w:sz w:val="18"/>
                <w:szCs w:val="18"/>
              </w:rPr>
              <w:t xml:space="preserve">[2 marks]  NIT — Undermine  |  Passages 1 &amp; 3</w:t>
            </w:r>
          </w:p>
          <w:p>
            <w:pPr>
              <w:spacing w:after="56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In Passage 1, the author argues that the architectural decisions of urban planners — specifically,</w:t>
            </w:r>
          </w:p>
          <w:p>
            <w:pPr>
              <w:spacing w:after="56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the elimination of shared spaces — directly caused the collapse of community in modern cities.</w:t>
            </w:r>
          </w:p>
          <w:p>
            <w:pPr>
              <w:spacing w:after="56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Identify an idea from Passage 3 that undermines this claim. Explain clearly how the idea you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have identified contradicts the claim in Passage 1.</w:t>
            </w:r>
          </w:p>
        </w:tc>
      </w:tr>
      <w:tr>
        <w:tc>
          <w:tcPr>
            <w:tcW w:type="dxa" w:w="902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10  </w:t>
            </w:r>
            <w:r>
              <w:rPr>
                <w:rFonts w:ascii="Arial" w:cs="Arial" w:eastAsia="Arial" w:hAnsi="Arial"/>
                <w:color w:val="AACCCC"/>
                <w:sz w:val="18"/>
                <w:szCs w:val="18"/>
              </w:rPr>
              <w:t xml:space="preserve">[2 marks]  NIT — Support  |  Passages 2 &amp; 3</w:t>
            </w:r>
          </w:p>
          <w:p>
            <w:pPr>
              <w:spacing w:after="56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In Passage 2, the author argues that brief, non-intimate exchanges between urban strangers</w:t>
            </w:r>
          </w:p>
          <w:p>
            <w:pPr>
              <w:spacing w:after="56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— 'ambient sociality' — provide a genuine and sustaining sense of belonging for city-dwellers.</w:t>
            </w:r>
          </w:p>
          <w:p>
            <w:pPr>
              <w:spacing w:after="56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Identify an idea from Passage 3 that supports this claim. Explain clearly how the idea you have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FFFFFF"/>
                <w:sz w:val="22"/>
                <w:szCs w:val="22"/>
              </w:rPr>
              <w:t xml:space="preserve">identified reinforces the claim in Passage 2.</w:t>
            </w:r>
          </w:p>
        </w:tc>
      </w:tr>
      <w:tr>
        <w:tc>
          <w:tcPr>
            <w:tcW w:type="dxa" w:w="9026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BBBBBB" w:sz="2" w:space="1"/>
              </w:pBdr>
              <w:spacing w:before="0" w:after="0" w:line="520" w:lineRule="exact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Mark Allocation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2100"/>
        <w:gridCol w:w="700"/>
      </w:tblGrid>
      <w:tr>
        <w:tc>
          <w:tcPr>
            <w:tcW w:type="dxa" w:w="7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45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Type</w:t>
            </w:r>
          </w:p>
        </w:tc>
        <w:tc>
          <w:tcPr>
            <w:tcW w:type="dxa" w:w="21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Passage / Lines</w:t>
            </w:r>
          </w:p>
        </w:tc>
        <w:tc>
          <w:tcPr>
            <w:tcW w:type="dxa" w:w="7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Q1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Direct Paraphrasing — WHY</w:t>
            </w:r>
          </w:p>
        </w:tc>
        <w:tc>
          <w:tcPr>
            <w:tcW w:type="dxa" w:w="21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 lines 8–22</w:t>
            </w:r>
          </w:p>
        </w:tc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7F8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Q2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Intro Device</w:t>
            </w:r>
          </w:p>
        </w:tc>
        <w:tc>
          <w:tcPr>
            <w:tcW w:type="dxa" w:w="21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 lines 1–6</w:t>
            </w:r>
          </w:p>
        </w:tc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7F8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Q3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Inverted Commas</w:t>
            </w:r>
          </w:p>
        </w:tc>
        <w:tc>
          <w:tcPr>
            <w:tcW w:type="dxa" w:w="21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 line 21</w:t>
            </w:r>
          </w:p>
        </w:tc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7F8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Q4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of Illustrations / Examples</w:t>
            </w:r>
          </w:p>
        </w:tc>
        <w:tc>
          <w:tcPr>
            <w:tcW w:type="dxa" w:w="21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 lines 11–15</w:t>
            </w:r>
          </w:p>
        </w:tc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7F8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Q5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Figurative Language — Metaphor</w:t>
            </w:r>
          </w:p>
        </w:tc>
        <w:tc>
          <w:tcPr>
            <w:tcW w:type="dxa" w:w="21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 lines 24–25</w:t>
            </w:r>
          </w:p>
        </w:tc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7F8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Q6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Author's Attitude</w:t>
            </w:r>
          </w:p>
        </w:tc>
        <w:tc>
          <w:tcPr>
            <w:tcW w:type="dxa" w:w="21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 lines 8–22</w:t>
            </w:r>
          </w:p>
        </w:tc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7F8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Q7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Author's Use of Language</w:t>
            </w:r>
          </w:p>
        </w:tc>
        <w:tc>
          <w:tcPr>
            <w:tcW w:type="dxa" w:w="21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 line 22</w:t>
            </w:r>
          </w:p>
        </w:tc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7F8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Q8(a)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Comparison — Differences ×2</w:t>
            </w:r>
          </w:p>
        </w:tc>
        <w:tc>
          <w:tcPr>
            <w:tcW w:type="dxa" w:w="21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 &amp; P2</w:t>
            </w:r>
          </w:p>
        </w:tc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7F8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Q8(b)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Vocabulary — 'even'</w:t>
            </w:r>
          </w:p>
        </w:tc>
        <w:tc>
          <w:tcPr>
            <w:tcW w:type="dxa" w:w="21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 line 11</w:t>
            </w:r>
          </w:p>
        </w:tc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7F8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Q8(c)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Explain the Meaning Of</w:t>
            </w:r>
          </w:p>
        </w:tc>
        <w:tc>
          <w:tcPr>
            <w:tcW w:type="dxa" w:w="21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 lines 13–14</w:t>
            </w:r>
          </w:p>
        </w:tc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7F8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Q8(d)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Figurative Language — Paradox</w:t>
            </w:r>
          </w:p>
        </w:tc>
        <w:tc>
          <w:tcPr>
            <w:tcW w:type="dxa" w:w="21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 lines 25–26</w:t>
            </w:r>
          </w:p>
        </w:tc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7F8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Q8(e)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Personal Pronouns — 'we'/'our'</w:t>
            </w:r>
          </w:p>
        </w:tc>
        <w:tc>
          <w:tcPr>
            <w:tcW w:type="dxa" w:w="21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7F8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Q9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NIT — Undermine</w:t>
            </w:r>
          </w:p>
        </w:tc>
        <w:tc>
          <w:tcPr>
            <w:tcW w:type="dxa" w:w="21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 + P3</w:t>
            </w:r>
          </w:p>
        </w:tc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7F8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Q10</w:t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NIT — Support</w:t>
            </w:r>
          </w:p>
        </w:tc>
        <w:tc>
          <w:tcPr>
            <w:tcW w:type="dxa" w:w="21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 + P3</w:t>
            </w:r>
          </w:p>
        </w:tc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6F6F6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7F8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DF6F7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DF6F7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DF6F7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DF6F7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7F8A" w:sz="4" w:space="1"/>
      </w:pBdr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Theme: Urban Loneliness and the Erosion of Community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  <w:p>
    <w:pPr>
      <w:spacing w:before="30" w:after="0"/>
      <w:jc w:val="center"/>
    </w:pPr>
    <w:r>
      <w:drawing>
        <wp:inline xmlns:wp="http://schemas.openxmlformats.org/drawingml/2006/wordprocessingDrawing" distT="0" distB="0" distL="0" distR="0">
          <wp:extent cx="425197" cy="425197"/>
          <wp:effectExtent l="0" t="0" r="0" b="0"/>
          <wp:docPr id="1001" name="QRCo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" name="QRCode"/>
                  <pic:cNvPicPr/>
                </pic:nvPicPr>
                <pic:blipFill>
                  <a:blip r:embed="rIdQR1"/>
                  <a:stretch>
                    <a:fillRect/>
                  </a:stretch>
                </pic:blipFill>
                <pic:spPr>
                  <a:xfrm>
                    <a:off x="0" y="0"/>
                    <a:ext cx="425197" cy="4251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7F8A" w:sz="4" w:space="1"/>
      </w:pBdr>
      <w:spacing w:after="60"/>
    </w:pPr>
    <w:r>
      <w:rPr>
        <w:rFonts w:ascii="Arial" w:cs="Arial" w:eastAsia="Arial" w:hAnsi="Arial"/>
        <w:color w:val="888888"/>
        <w:sz w:val="18"/>
        <w:szCs w:val="18"/>
      </w:rPr>
      <w:t xml:space="preserve">General Paper  ·  Syllabus 8881  ·  Paper 2  ·  Question Booklet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QR1" Type="http://schemas.openxmlformats.org/officeDocument/2006/relationships/image" Target="media/qr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2026-03-07T04:53:44.824Z</dcterms:created>
  <dcterms:modified xsi:type="dcterms:W3CDTF">2026-03-07T04:53:44.825Z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