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1CE93">
      <w:pPr>
        <w:widowControl/>
        <w:adjustRightInd w:val="0"/>
        <w:snapToGrid w:val="0"/>
        <w:spacing w:line="300" w:lineRule="auto"/>
        <w:jc w:val="left"/>
        <w:rPr>
          <w:rFonts w:ascii="仿宋" w:eastAsia="仿宋"/>
          <w:b/>
          <w:bCs/>
          <w:sz w:val="28"/>
          <w:szCs w:val="28"/>
        </w:rPr>
      </w:pPr>
      <w:r>
        <w:rPr>
          <w:rFonts w:hint="eastAsia" w:ascii="仿宋" w:eastAsia="仿宋"/>
          <w:b/>
          <w:bCs/>
          <w:sz w:val="28"/>
          <w:szCs w:val="28"/>
        </w:rPr>
        <w:t>附件</w:t>
      </w:r>
      <w:r>
        <w:rPr>
          <w:rFonts w:ascii="仿宋" w:eastAsia="仿宋"/>
          <w:b/>
          <w:bCs/>
          <w:sz w:val="28"/>
          <w:szCs w:val="28"/>
        </w:rPr>
        <w:t>2：2026 年本科生创新创业训练计划项目</w:t>
      </w:r>
      <w:r>
        <w:rPr>
          <w:rFonts w:hint="eastAsia" w:ascii="仿宋" w:eastAsia="仿宋"/>
          <w:b/>
          <w:bCs/>
          <w:sz w:val="28"/>
          <w:szCs w:val="28"/>
        </w:rPr>
        <w:t>&amp;</w:t>
      </w:r>
      <w:r>
        <w:rPr>
          <w:rFonts w:ascii="仿宋" w:eastAsia="仿宋"/>
          <w:b/>
          <w:bCs/>
          <w:sz w:val="28"/>
          <w:szCs w:val="28"/>
        </w:rPr>
        <w:t>“理工创新智链”</w:t>
      </w:r>
      <w:r>
        <w:rPr>
          <w:rFonts w:hint="eastAsia" w:ascii="仿宋" w:eastAsia="仿宋"/>
          <w:b/>
          <w:bCs/>
          <w:sz w:val="28"/>
          <w:szCs w:val="28"/>
        </w:rPr>
        <w:t>基金项目</w:t>
      </w:r>
      <w:r>
        <w:rPr>
          <w:rFonts w:ascii="仿宋" w:eastAsia="仿宋"/>
          <w:b/>
          <w:bCs/>
          <w:sz w:val="28"/>
          <w:szCs w:val="28"/>
        </w:rPr>
        <w:t>申请书</w:t>
      </w:r>
    </w:p>
    <w:p w14:paraId="4FBEE506"/>
    <w:tbl>
      <w:tblPr>
        <w:tblStyle w:val="11"/>
        <w:tblW w:w="0" w:type="auto"/>
        <w:tblInd w:w="5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035"/>
      </w:tblGrid>
      <w:tr w14:paraId="0FD9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1559" w:type="dxa"/>
            <w:vAlign w:val="center"/>
          </w:tcPr>
          <w:p w14:paraId="6964E853">
            <w:pPr>
              <w:widowControl/>
              <w:spacing w:line="360" w:lineRule="auto"/>
              <w:jc w:val="center"/>
              <w:rPr>
                <w:rFonts w:ascii="华文中宋" w:eastAsia="华文中宋"/>
                <w:b/>
                <w:sz w:val="30"/>
                <w:szCs w:val="30"/>
              </w:rPr>
            </w:pPr>
            <w:r>
              <w:rPr>
                <w:rFonts w:hint="eastAsia" w:ascii="华文中宋" w:eastAsia="华文中宋"/>
                <w:b/>
                <w:spacing w:val="64"/>
                <w:kern w:val="0"/>
                <w:sz w:val="30"/>
                <w:szCs w:val="30"/>
                <w:fitText w:val="1159" w:id="10"/>
              </w:rPr>
              <w:t>受理</w:t>
            </w:r>
            <w:r>
              <w:rPr>
                <w:rFonts w:hint="eastAsia" w:ascii="华文中宋" w:eastAsia="华文中宋"/>
                <w:b/>
                <w:spacing w:val="1"/>
                <w:kern w:val="0"/>
                <w:sz w:val="30"/>
                <w:szCs w:val="30"/>
                <w:fitText w:val="1159" w:id="10"/>
              </w:rPr>
              <w:t>部</w:t>
            </w:r>
          </w:p>
        </w:tc>
        <w:tc>
          <w:tcPr>
            <w:tcW w:w="2035" w:type="dxa"/>
            <w:vAlign w:val="center"/>
          </w:tcPr>
          <w:p w14:paraId="5F31AD7D">
            <w:pPr>
              <w:widowControl/>
              <w:spacing w:line="600" w:lineRule="auto"/>
              <w:rPr>
                <w:rFonts w:ascii="华文中宋" w:eastAsia="华文中宋"/>
                <w:szCs w:val="21"/>
              </w:rPr>
            </w:pPr>
          </w:p>
        </w:tc>
      </w:tr>
      <w:tr w14:paraId="58DE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Align w:val="center"/>
          </w:tcPr>
          <w:p w14:paraId="25FC812E">
            <w:pPr>
              <w:widowControl/>
              <w:spacing w:line="360" w:lineRule="auto"/>
              <w:jc w:val="center"/>
              <w:rPr>
                <w:rFonts w:ascii="华文中宋" w:eastAsia="华文中宋"/>
                <w:sz w:val="30"/>
                <w:szCs w:val="30"/>
              </w:rPr>
            </w:pPr>
            <w:r>
              <w:rPr>
                <w:rFonts w:hint="eastAsia" w:ascii="华文中宋" w:eastAsia="华文中宋"/>
                <w:b/>
                <w:spacing w:val="0"/>
                <w:kern w:val="0"/>
                <w:sz w:val="30"/>
                <w:szCs w:val="30"/>
                <w:fitText w:val="1204" w:id="13"/>
              </w:rPr>
              <w:t>项目编号</w:t>
            </w:r>
          </w:p>
        </w:tc>
        <w:tc>
          <w:tcPr>
            <w:tcW w:w="2035" w:type="dxa"/>
            <w:vAlign w:val="center"/>
          </w:tcPr>
          <w:p w14:paraId="62F47FF9">
            <w:pPr>
              <w:widowControl/>
              <w:jc w:val="left"/>
              <w:rPr>
                <w:rFonts w:ascii="华文中宋" w:eastAsia="华文中宋"/>
                <w:sz w:val="30"/>
                <w:szCs w:val="30"/>
              </w:rPr>
            </w:pPr>
          </w:p>
        </w:tc>
      </w:tr>
    </w:tbl>
    <w:p w14:paraId="68B48FD1">
      <w:pPr>
        <w:widowControl/>
        <w:jc w:val="left"/>
        <w:rPr>
          <w:rFonts w:ascii="黑体" w:eastAsia="黑体"/>
          <w:sz w:val="30"/>
          <w:szCs w:val="30"/>
        </w:rPr>
      </w:pPr>
      <w:r>
        <w:drawing>
          <wp:anchor distT="0" distB="0" distL="114300" distR="114300" simplePos="0" relativeHeight="251662336" behindDoc="0" locked="0" layoutInCell="1" allowOverlap="1">
            <wp:simplePos x="0" y="0"/>
            <wp:positionH relativeFrom="margin">
              <wp:align>left</wp:align>
            </wp:positionH>
            <wp:positionV relativeFrom="paragraph">
              <wp:posOffset>-903605</wp:posOffset>
            </wp:positionV>
            <wp:extent cx="1327150" cy="1198245"/>
            <wp:effectExtent l="0" t="0" r="0" b="0"/>
            <wp:wrapNone/>
            <wp:docPr id="1" name="图片 1" descr="C:\Users\PC\Documents\WeChat Files\wxid_my5f6e6u6glp21\FileStorage\Temp\17120276434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PC\Documents\WeChat Files\wxid_my5f6e6u6glp21\FileStorage\Temp\1712027643462.png"/>
                    <pic:cNvPicPr>
                      <a:picLocks noChangeAspect="1"/>
                    </pic:cNvPicPr>
                  </pic:nvPicPr>
                  <pic:blipFill>
                    <a:blip r:embed="rId8"/>
                    <a:stretch>
                      <a:fillRect/>
                    </a:stretch>
                  </pic:blipFill>
                  <pic:spPr>
                    <a:xfrm>
                      <a:off x="0" y="0"/>
                      <a:ext cx="1327150" cy="1198245"/>
                    </a:xfrm>
                    <a:prstGeom prst="rect">
                      <a:avLst/>
                    </a:prstGeom>
                    <a:noFill/>
                    <a:ln w="12700" cap="flat" cmpd="sng">
                      <a:noFill/>
                      <a:prstDash val="solid"/>
                      <a:round/>
                    </a:ln>
                  </pic:spPr>
                </pic:pic>
              </a:graphicData>
            </a:graphic>
          </wp:anchor>
        </w:drawing>
      </w:r>
      <w:r>
        <w:rPr>
          <w:rFonts w:hint="eastAsia" w:ascii="黑体" w:eastAsia="黑体"/>
          <w:sz w:val="30"/>
          <w:szCs w:val="30"/>
        </w:rPr>
        <w:t xml:space="preserve"> </w:t>
      </w:r>
      <w:r>
        <w:rPr>
          <w:rFonts w:ascii="黑体" w:eastAsia="黑体"/>
          <w:sz w:val="30"/>
          <w:szCs w:val="30"/>
        </w:rPr>
        <w:t xml:space="preserve">                    </w:t>
      </w:r>
    </w:p>
    <w:p w14:paraId="71FE22BC">
      <w:pPr>
        <w:widowControl/>
        <w:spacing w:line="300" w:lineRule="auto"/>
        <w:jc w:val="center"/>
        <w:rPr>
          <w:rFonts w:ascii="华文中宋" w:eastAsia="华文中宋"/>
          <w:b/>
          <w:sz w:val="44"/>
          <w:szCs w:val="44"/>
        </w:rPr>
      </w:pPr>
      <w:r>
        <w:rPr>
          <w:rFonts w:hint="eastAsia" w:ascii="华文中宋" w:eastAsia="华文中宋"/>
          <w:b/>
          <w:sz w:val="44"/>
          <w:szCs w:val="44"/>
        </w:rPr>
        <w:t>武汉理工大学大学生创新创业训练计划项目&amp;“理工创新智链”基金项目</w:t>
      </w:r>
    </w:p>
    <w:p w14:paraId="3D877005">
      <w:pPr>
        <w:widowControl/>
        <w:spacing w:line="300" w:lineRule="auto"/>
        <w:jc w:val="center"/>
        <w:rPr>
          <w:rFonts w:ascii="华文中宋" w:eastAsia="华文中宋"/>
          <w:sz w:val="72"/>
          <w:szCs w:val="72"/>
        </w:rPr>
      </w:pPr>
      <w:r>
        <w:rPr>
          <w:rFonts w:hint="eastAsia" w:ascii="华文中宋" w:eastAsia="华文中宋"/>
          <w:sz w:val="72"/>
          <w:szCs w:val="72"/>
        </w:rPr>
        <w:t>申请书（2026版）</w:t>
      </w:r>
    </w:p>
    <w:p w14:paraId="0FE1550C">
      <w:pPr>
        <w:widowControl/>
        <w:spacing w:line="300" w:lineRule="auto"/>
        <w:jc w:val="center"/>
        <w:rPr>
          <w:rFonts w:ascii="华文中宋" w:eastAsia="华文中宋"/>
          <w:sz w:val="30"/>
          <w:szCs w:val="30"/>
        </w:rPr>
      </w:pPr>
    </w:p>
    <w:p w14:paraId="5288700B">
      <w:pPr>
        <w:widowControl/>
        <w:jc w:val="center"/>
        <w:rPr>
          <w:rFonts w:hint="eastAsia" w:ascii="宋体" w:hAnsi="宋体"/>
          <w:sz w:val="30"/>
          <w:szCs w:val="30"/>
        </w:rPr>
      </w:pPr>
    </w:p>
    <w:p w14:paraId="573F4929">
      <w:pPr>
        <w:widowControl/>
        <w:adjustRightInd w:val="0"/>
        <w:snapToGrid w:val="0"/>
        <w:ind w:firstLine="600" w:firstLineChars="200"/>
        <w:jc w:val="center"/>
        <w:rPr>
          <w:rFonts w:hint="eastAsia" w:ascii="宋体" w:hAnsi="宋体"/>
          <w:sz w:val="30"/>
          <w:szCs w:val="30"/>
        </w:rPr>
      </w:pPr>
    </w:p>
    <w:p w14:paraId="31E68AB4">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项目类型：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大创计划项目</w:t>
      </w:r>
      <w:r>
        <w:rPr>
          <w:rFonts w:ascii="黑体" w:eastAsia="黑体"/>
          <w:sz w:val="30"/>
          <w:szCs w:val="30"/>
          <w:u w:val="single"/>
        </w:rPr>
        <w:t xml:space="preserve">     </w:t>
      </w:r>
      <w:r>
        <w:rPr>
          <w:rFonts w:hint="eastAsia" w:ascii="黑体" w:eastAsia="黑体"/>
          <w:sz w:val="30"/>
          <w:szCs w:val="30"/>
          <w:u w:val="single"/>
        </w:rPr>
        <w:t xml:space="preserve">        </w:t>
      </w:r>
    </w:p>
    <w:p w14:paraId="7463E8F0">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项目子类：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创新训练项目      </w:t>
      </w:r>
      <w:r>
        <w:rPr>
          <w:rFonts w:ascii="黑体" w:eastAsia="黑体"/>
          <w:sz w:val="30"/>
          <w:szCs w:val="30"/>
          <w:u w:val="single"/>
        </w:rPr>
        <w:t xml:space="preserve">       </w:t>
      </w:r>
    </w:p>
    <w:p w14:paraId="37EC3F51">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项目名称： </w:t>
      </w:r>
      <w:r>
        <w:rPr>
          <w:rFonts w:hint="eastAsia" w:ascii="黑体" w:eastAsia="黑体"/>
          <w:sz w:val="30"/>
          <w:szCs w:val="30"/>
          <w:u w:val="single"/>
        </w:rPr>
        <w:t>电满满——新能源车辆充电导航综合管理平台</w:t>
      </w:r>
    </w:p>
    <w:p w14:paraId="7D45D147">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申 请 人：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w:t>
      </w:r>
      <w:r>
        <w:rPr>
          <w:rFonts w:hint="eastAsia" w:ascii="黑体" w:eastAsia="黑体"/>
          <w:sz w:val="30"/>
          <w:szCs w:val="30"/>
          <w:u w:val="single"/>
          <w:lang w:val="en-US" w:eastAsia="zh-CN"/>
        </w:rPr>
        <w:t>邵明哲</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p>
    <w:p w14:paraId="7A7A7C3D">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联系电话：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18394239510</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p>
    <w:p w14:paraId="47FD1C48">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电子邮箱：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2026915450@qq.com</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p>
    <w:p w14:paraId="5432D431">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所在单位：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交通与物流工程学院</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p>
    <w:p w14:paraId="3D033411">
      <w:pPr>
        <w:widowControl/>
        <w:adjustRightInd w:val="0"/>
        <w:snapToGrid w:val="0"/>
        <w:spacing w:before="120" w:beforeLines="50" w:line="360" w:lineRule="auto"/>
        <w:ind w:firstLine="600" w:firstLineChars="200"/>
        <w:jc w:val="left"/>
        <w:rPr>
          <w:rFonts w:ascii="黑体" w:eastAsia="黑体"/>
          <w:sz w:val="30"/>
          <w:szCs w:val="30"/>
          <w:u w:val="single"/>
        </w:rPr>
      </w:pPr>
      <w:r>
        <w:rPr>
          <w:rFonts w:hint="eastAsia" w:ascii="黑体" w:eastAsia="黑体"/>
          <w:sz w:val="30"/>
          <w:szCs w:val="30"/>
        </w:rPr>
        <w:t xml:space="preserve">申请日期：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2026年4月29日</w:t>
      </w:r>
      <w:r>
        <w:rPr>
          <w:rFonts w:ascii="黑体" w:eastAsia="黑体"/>
          <w:sz w:val="30"/>
          <w:szCs w:val="30"/>
          <w:u w:val="single"/>
        </w:rPr>
        <w:t xml:space="preserve">  </w:t>
      </w:r>
      <w:r>
        <w:rPr>
          <w:rFonts w:hint="eastAsia" w:ascii="黑体" w:eastAsia="黑体"/>
          <w:sz w:val="30"/>
          <w:szCs w:val="30"/>
          <w:u w:val="single"/>
        </w:rPr>
        <w:t xml:space="preserve">     </w:t>
      </w:r>
      <w:r>
        <w:rPr>
          <w:rFonts w:ascii="黑体" w:eastAsia="黑体"/>
          <w:sz w:val="30"/>
          <w:szCs w:val="30"/>
          <w:u w:val="single"/>
        </w:rPr>
        <w:t xml:space="preserve">   </w:t>
      </w:r>
      <w:r>
        <w:rPr>
          <w:rFonts w:hint="eastAsia" w:ascii="黑体" w:eastAsia="黑体"/>
          <w:sz w:val="30"/>
          <w:szCs w:val="30"/>
          <w:u w:val="single"/>
        </w:rPr>
        <w:t xml:space="preserve">  </w:t>
      </w:r>
    </w:p>
    <w:p w14:paraId="3EF148F7">
      <w:pPr>
        <w:widowControl/>
        <w:jc w:val="left"/>
        <w:rPr>
          <w:rFonts w:ascii="黑体" w:eastAsia="黑体"/>
          <w:sz w:val="30"/>
          <w:szCs w:val="30"/>
        </w:rPr>
      </w:pPr>
    </w:p>
    <w:p w14:paraId="49890EEF">
      <w:pPr>
        <w:widowControl/>
        <w:jc w:val="center"/>
        <w:rPr>
          <w:rFonts w:ascii="黑体" w:eastAsia="黑体"/>
          <w:color w:val="A6A6A6"/>
          <w:sz w:val="24"/>
        </w:rPr>
      </w:pPr>
      <w:r>
        <w:rPr>
          <w:rFonts w:hint="eastAsia" w:ascii="黑体" w:eastAsia="黑体"/>
          <w:color w:val="A6A6A6"/>
          <w:sz w:val="24"/>
        </w:rPr>
        <w:t>武汉理工大学</w:t>
      </w:r>
    </w:p>
    <w:p w14:paraId="2A0ED38C">
      <w:pPr>
        <w:widowControl/>
        <w:jc w:val="center"/>
        <w:rPr>
          <w:sz w:val="32"/>
        </w:rPr>
      </w:pPr>
      <w:r>
        <w:rPr>
          <w:rFonts w:hint="eastAsia" w:ascii="黑体" w:eastAsia="黑体"/>
          <w:color w:val="A6A6A6"/>
          <w:sz w:val="18"/>
          <w:szCs w:val="18"/>
        </w:rPr>
        <w:t>2</w:t>
      </w:r>
      <w:r>
        <w:rPr>
          <w:rFonts w:ascii="黑体" w:eastAsia="黑体"/>
          <w:color w:val="A6A6A6"/>
          <w:sz w:val="18"/>
          <w:szCs w:val="18"/>
        </w:rPr>
        <w:t>026</w:t>
      </w:r>
      <w:r>
        <w:rPr>
          <w:rFonts w:hint="eastAsia" w:ascii="黑体" w:eastAsia="黑体"/>
          <w:color w:val="A6A6A6"/>
          <w:sz w:val="18"/>
          <w:szCs w:val="18"/>
        </w:rPr>
        <w:t>年</w:t>
      </w:r>
    </w:p>
    <w:p w14:paraId="2C82C235">
      <w:pPr>
        <w:spacing w:line="360" w:lineRule="auto"/>
        <w:jc w:val="center"/>
        <w:rPr>
          <w:sz w:val="24"/>
        </w:rPr>
        <w:sectPr>
          <w:footerReference r:id="rId3" w:type="default"/>
          <w:pgSz w:w="11907" w:h="16840"/>
          <w:pgMar w:top="1361" w:right="1304" w:bottom="1361" w:left="1304" w:header="0" w:footer="510" w:gutter="0"/>
          <w:pgNumType w:fmt="numberInDash" w:start="1"/>
          <w:cols w:space="720" w:num="1"/>
          <w:docGrid w:linePitch="326" w:charSpace="0"/>
        </w:sectPr>
      </w:pPr>
    </w:p>
    <w:p w14:paraId="5DCD90CC">
      <w:pPr>
        <w:spacing w:line="360" w:lineRule="auto"/>
        <w:jc w:val="center"/>
        <w:rPr>
          <w:sz w:val="28"/>
        </w:rPr>
      </w:pPr>
    </w:p>
    <w:p w14:paraId="3238C205">
      <w:pPr>
        <w:spacing w:line="360" w:lineRule="auto"/>
        <w:jc w:val="center"/>
        <w:rPr>
          <w:rFonts w:eastAsia="黑体"/>
          <w:sz w:val="36"/>
        </w:rPr>
      </w:pPr>
      <w:r>
        <w:rPr>
          <w:rFonts w:eastAsia="黑体"/>
          <w:b/>
          <w:bCs/>
          <w:sz w:val="36"/>
        </w:rPr>
        <w:t>填 表 说 明</w:t>
      </w:r>
    </w:p>
    <w:p w14:paraId="46780079">
      <w:pPr>
        <w:spacing w:line="360" w:lineRule="auto"/>
        <w:jc w:val="center"/>
        <w:rPr>
          <w:sz w:val="28"/>
        </w:rPr>
      </w:pPr>
    </w:p>
    <w:p w14:paraId="04B706D1">
      <w:pPr>
        <w:spacing w:before="120" w:beforeLines="50" w:line="360" w:lineRule="auto"/>
        <w:ind w:firstLine="560" w:firstLineChars="200"/>
        <w:rPr>
          <w:sz w:val="28"/>
        </w:rPr>
      </w:pPr>
      <w:r>
        <w:rPr>
          <w:sz w:val="28"/>
        </w:rPr>
        <w:t>1.</w:t>
      </w:r>
      <w:r>
        <w:rPr>
          <w:rFonts w:hint="eastAsia"/>
          <w:sz w:val="28"/>
        </w:rPr>
        <w:t>封面页项目类型选其一填写：大创计划项目、创新智链项目。</w:t>
      </w:r>
    </w:p>
    <w:p w14:paraId="7C8D1FC4">
      <w:pPr>
        <w:spacing w:before="120" w:beforeLines="50" w:line="360" w:lineRule="auto"/>
        <w:ind w:firstLine="560" w:firstLineChars="200"/>
        <w:rPr>
          <w:sz w:val="28"/>
        </w:rPr>
      </w:pPr>
      <w:r>
        <w:rPr>
          <w:rFonts w:hint="eastAsia"/>
          <w:sz w:val="28"/>
        </w:rPr>
        <w:t>2.封面页项目子类选其一填写：创新训练项目、创业训练项目、创业实践项目。内容页保留其一。</w:t>
      </w:r>
    </w:p>
    <w:p w14:paraId="4D08A9F9">
      <w:pPr>
        <w:spacing w:before="120" w:beforeLines="50" w:line="360" w:lineRule="auto"/>
        <w:ind w:firstLine="560" w:firstLineChars="200"/>
        <w:rPr>
          <w:sz w:val="28"/>
        </w:rPr>
      </w:pPr>
      <w:r>
        <w:rPr>
          <w:rFonts w:hint="eastAsia"/>
          <w:sz w:val="28"/>
        </w:rPr>
        <w:t>3.</w:t>
      </w:r>
      <w:r>
        <w:rPr>
          <w:sz w:val="28"/>
        </w:rPr>
        <w:t>项目立项时须按要求填写《申请书》，作为项目立项和评审的依据。填写前，请仔细阅读填表说明及有关通知。逐项认真填写，填写内容必须实事求是，表达明确严谨，可另行附页。</w:t>
      </w:r>
    </w:p>
    <w:p w14:paraId="606D9464">
      <w:pPr>
        <w:spacing w:before="120" w:beforeLines="50" w:line="360" w:lineRule="auto"/>
        <w:ind w:firstLine="560" w:firstLineChars="200"/>
        <w:rPr>
          <w:sz w:val="28"/>
        </w:rPr>
      </w:pPr>
      <w:r>
        <w:rPr>
          <w:rFonts w:hint="eastAsia"/>
          <w:sz w:val="28"/>
        </w:rPr>
        <w:t>4</w:t>
      </w:r>
      <w:r>
        <w:rPr>
          <w:sz w:val="28"/>
        </w:rPr>
        <w:t>.格式要求：表格中的正文字体应为小四号宋体，22磅行距，需签字部分</w:t>
      </w:r>
      <w:r>
        <w:rPr>
          <w:rFonts w:hint="eastAsia"/>
          <w:sz w:val="28"/>
        </w:rPr>
        <w:t>使用电子</w:t>
      </w:r>
      <w:r>
        <w:rPr>
          <w:sz w:val="28"/>
        </w:rPr>
        <w:t>签名。</w:t>
      </w:r>
    </w:p>
    <w:p w14:paraId="66E29F7C">
      <w:pPr>
        <w:spacing w:before="120" w:beforeLines="50" w:line="360" w:lineRule="auto"/>
        <w:ind w:firstLine="560" w:firstLineChars="200"/>
        <w:rPr>
          <w:sz w:val="28"/>
        </w:rPr>
      </w:pPr>
      <w:r>
        <w:rPr>
          <w:rFonts w:hint="eastAsia"/>
          <w:sz w:val="28"/>
        </w:rPr>
        <w:t>5</w:t>
      </w:r>
      <w:r>
        <w:rPr>
          <w:sz w:val="28"/>
        </w:rPr>
        <w:t>.提交项目申请书时不必打印此页。</w:t>
      </w:r>
    </w:p>
    <w:p w14:paraId="1F0D4C1D">
      <w:pPr>
        <w:spacing w:before="120" w:beforeLines="50" w:line="360" w:lineRule="auto"/>
        <w:ind w:firstLine="560" w:firstLineChars="200"/>
        <w:rPr>
          <w:b/>
          <w:sz w:val="28"/>
        </w:rPr>
      </w:pPr>
    </w:p>
    <w:p w14:paraId="5C2DB5DF">
      <w:pPr>
        <w:spacing w:before="120" w:beforeLines="50" w:line="360" w:lineRule="auto"/>
        <w:ind w:firstLine="576" w:firstLineChars="206"/>
        <w:rPr>
          <w:sz w:val="28"/>
        </w:rPr>
      </w:pPr>
    </w:p>
    <w:p w14:paraId="60A714D6">
      <w:pPr>
        <w:spacing w:line="360" w:lineRule="auto"/>
        <w:ind w:firstLine="560" w:firstLineChars="200"/>
        <w:rPr>
          <w:sz w:val="28"/>
        </w:rPr>
      </w:pPr>
    </w:p>
    <w:p w14:paraId="04D73402">
      <w:pPr>
        <w:spacing w:line="360" w:lineRule="auto"/>
        <w:rPr>
          <w:sz w:val="28"/>
        </w:rPr>
      </w:pPr>
    </w:p>
    <w:p w14:paraId="2376CCFD">
      <w:pPr>
        <w:spacing w:line="360" w:lineRule="auto"/>
        <w:rPr>
          <w:sz w:val="28"/>
        </w:rPr>
        <w:sectPr>
          <w:footerReference r:id="rId6" w:type="first"/>
          <w:headerReference r:id="rId4" w:type="default"/>
          <w:footerReference r:id="rId5" w:type="default"/>
          <w:pgSz w:w="11907" w:h="16840"/>
          <w:pgMar w:top="1361" w:right="1304" w:bottom="1361" w:left="1304" w:header="0" w:footer="510" w:gutter="0"/>
          <w:pgNumType w:fmt="numberInDash" w:start="1"/>
          <w:cols w:space="720" w:num="1"/>
          <w:docGrid w:linePitch="326" w:charSpace="0"/>
        </w:sectPr>
      </w:pPr>
    </w:p>
    <w:p w14:paraId="544F5169">
      <w:pPr>
        <w:spacing w:line="360" w:lineRule="auto"/>
        <w:jc w:val="center"/>
        <w:rPr>
          <w:rFonts w:eastAsia="黑体"/>
          <w:sz w:val="32"/>
        </w:rPr>
      </w:pPr>
      <w:r>
        <w:rPr>
          <w:rFonts w:hint="eastAsia" w:eastAsia="黑体"/>
          <w:sz w:val="32"/>
        </w:rPr>
        <w:t>创新训练类项目申报书</w:t>
      </w:r>
    </w:p>
    <w:p w14:paraId="01F30D7A">
      <w:pPr>
        <w:spacing w:line="360" w:lineRule="auto"/>
        <w:rPr>
          <w:rFonts w:eastAsia="黑体"/>
          <w:sz w:val="28"/>
        </w:rPr>
      </w:pPr>
      <w:r>
        <w:rPr>
          <w:rFonts w:eastAsia="黑体"/>
          <w:sz w:val="32"/>
        </w:rPr>
        <w:t>一、</w:t>
      </w:r>
      <w:r>
        <w:rPr>
          <w:rFonts w:eastAsia="黑体"/>
          <w:sz w:val="28"/>
        </w:rPr>
        <w:t>项目组基本情况</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
        <w:gridCol w:w="991"/>
        <w:gridCol w:w="146"/>
        <w:gridCol w:w="1414"/>
        <w:gridCol w:w="145"/>
        <w:gridCol w:w="1272"/>
        <w:gridCol w:w="1278"/>
        <w:gridCol w:w="1279"/>
        <w:gridCol w:w="1605"/>
      </w:tblGrid>
      <w:tr w14:paraId="6570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227" w:type="pct"/>
            <w:vMerge w:val="restart"/>
            <w:vAlign w:val="center"/>
          </w:tcPr>
          <w:p w14:paraId="6458BD1C">
            <w:pPr>
              <w:spacing w:line="360" w:lineRule="auto"/>
              <w:jc w:val="center"/>
              <w:rPr>
                <w:sz w:val="24"/>
              </w:rPr>
            </w:pPr>
            <w:r>
              <w:rPr>
                <w:rFonts w:hint="eastAsia"/>
                <w:sz w:val="24"/>
              </w:rPr>
              <w:t>项目</w:t>
            </w:r>
            <w:r>
              <w:rPr>
                <w:sz w:val="24"/>
              </w:rPr>
              <w:t>成员</w:t>
            </w:r>
          </w:p>
        </w:tc>
        <w:tc>
          <w:tcPr>
            <w:tcW w:w="582" w:type="pct"/>
            <w:vAlign w:val="center"/>
          </w:tcPr>
          <w:p w14:paraId="3B5BD96E">
            <w:pPr>
              <w:spacing w:line="440" w:lineRule="exact"/>
              <w:jc w:val="center"/>
              <w:rPr>
                <w:sz w:val="24"/>
              </w:rPr>
            </w:pPr>
            <w:r>
              <w:rPr>
                <w:sz w:val="24"/>
              </w:rPr>
              <w:t>姓名</w:t>
            </w:r>
          </w:p>
        </w:tc>
        <w:tc>
          <w:tcPr>
            <w:tcW w:w="916" w:type="pct"/>
            <w:gridSpan w:val="2"/>
            <w:vAlign w:val="center"/>
          </w:tcPr>
          <w:p w14:paraId="4DB11DE9">
            <w:pPr>
              <w:spacing w:line="440" w:lineRule="exact"/>
              <w:jc w:val="center"/>
              <w:rPr>
                <w:sz w:val="24"/>
              </w:rPr>
            </w:pPr>
            <w:r>
              <w:rPr>
                <w:sz w:val="24"/>
              </w:rPr>
              <w:t>学号</w:t>
            </w:r>
          </w:p>
        </w:tc>
        <w:tc>
          <w:tcPr>
            <w:tcW w:w="832" w:type="pct"/>
            <w:gridSpan w:val="2"/>
            <w:vAlign w:val="center"/>
          </w:tcPr>
          <w:p w14:paraId="1ED56264">
            <w:pPr>
              <w:spacing w:line="440" w:lineRule="exact"/>
              <w:jc w:val="center"/>
              <w:rPr>
                <w:sz w:val="24"/>
              </w:rPr>
            </w:pPr>
            <w:r>
              <w:rPr>
                <w:sz w:val="24"/>
              </w:rPr>
              <w:t>学</w:t>
            </w:r>
            <w:r>
              <w:rPr>
                <w:rFonts w:hint="eastAsia"/>
                <w:sz w:val="24"/>
              </w:rPr>
              <w:t>院</w:t>
            </w:r>
          </w:p>
        </w:tc>
        <w:tc>
          <w:tcPr>
            <w:tcW w:w="750" w:type="pct"/>
            <w:vAlign w:val="center"/>
          </w:tcPr>
          <w:p w14:paraId="7B2C5BA2">
            <w:pPr>
              <w:spacing w:line="440" w:lineRule="exact"/>
              <w:jc w:val="center"/>
              <w:rPr>
                <w:sz w:val="24"/>
              </w:rPr>
            </w:pPr>
            <w:r>
              <w:rPr>
                <w:sz w:val="24"/>
              </w:rPr>
              <w:t>专业班级</w:t>
            </w:r>
          </w:p>
        </w:tc>
        <w:tc>
          <w:tcPr>
            <w:tcW w:w="751" w:type="pct"/>
            <w:vAlign w:val="center"/>
          </w:tcPr>
          <w:p w14:paraId="6FC456BA">
            <w:pPr>
              <w:spacing w:line="440" w:lineRule="exact"/>
              <w:jc w:val="center"/>
              <w:rPr>
                <w:sz w:val="24"/>
              </w:rPr>
            </w:pPr>
            <w:r>
              <w:rPr>
                <w:rFonts w:hint="eastAsia"/>
                <w:sz w:val="24"/>
              </w:rPr>
              <w:t>成员身份</w:t>
            </w:r>
          </w:p>
        </w:tc>
        <w:tc>
          <w:tcPr>
            <w:tcW w:w="942" w:type="pct"/>
            <w:vAlign w:val="center"/>
          </w:tcPr>
          <w:p w14:paraId="5A400798">
            <w:pPr>
              <w:spacing w:line="440" w:lineRule="exact"/>
              <w:jc w:val="center"/>
              <w:rPr>
                <w:sz w:val="24"/>
              </w:rPr>
            </w:pPr>
            <w:r>
              <w:rPr>
                <w:sz w:val="24"/>
              </w:rPr>
              <w:t>本人签名</w:t>
            </w:r>
          </w:p>
        </w:tc>
      </w:tr>
      <w:tr w14:paraId="2554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227" w:type="pct"/>
            <w:vMerge w:val="continue"/>
            <w:vAlign w:val="center"/>
          </w:tcPr>
          <w:p w14:paraId="1B798B92"/>
        </w:tc>
        <w:tc>
          <w:tcPr>
            <w:tcW w:w="582" w:type="pct"/>
            <w:vAlign w:val="center"/>
          </w:tcPr>
          <w:p w14:paraId="20EC2E57">
            <w:pPr>
              <w:spacing w:line="440" w:lineRule="exact"/>
              <w:jc w:val="center"/>
              <w:rPr>
                <w:rFonts w:hint="eastAsia" w:eastAsia="等线"/>
                <w:sz w:val="24"/>
                <w:lang w:val="en-US" w:eastAsia="zh-CN"/>
              </w:rPr>
            </w:pPr>
            <w:r>
              <w:rPr>
                <w:rFonts w:hint="eastAsia"/>
                <w:sz w:val="24"/>
                <w:lang w:val="en-US" w:eastAsia="zh-CN"/>
              </w:rPr>
              <w:t>邵明哲</w:t>
            </w:r>
          </w:p>
        </w:tc>
        <w:tc>
          <w:tcPr>
            <w:tcW w:w="916" w:type="pct"/>
            <w:gridSpan w:val="2"/>
            <w:vAlign w:val="center"/>
          </w:tcPr>
          <w:p w14:paraId="1FBA9254">
            <w:pPr>
              <w:spacing w:line="440" w:lineRule="exact"/>
              <w:rPr>
                <w:rFonts w:hint="default" w:eastAsia="等线"/>
                <w:sz w:val="24"/>
                <w:lang w:val="en-US" w:eastAsia="zh-CN"/>
              </w:rPr>
            </w:pPr>
            <w:r>
              <w:rPr>
                <w:rFonts w:hint="eastAsia"/>
                <w:sz w:val="24"/>
                <w:lang w:val="en-US" w:eastAsia="zh-CN"/>
              </w:rPr>
              <w:t>1024000815</w:t>
            </w:r>
          </w:p>
        </w:tc>
        <w:tc>
          <w:tcPr>
            <w:tcW w:w="832" w:type="pct"/>
            <w:gridSpan w:val="2"/>
            <w:vAlign w:val="center"/>
          </w:tcPr>
          <w:p w14:paraId="538C685F">
            <w:pPr>
              <w:spacing w:line="440" w:lineRule="exact"/>
              <w:rPr>
                <w:sz w:val="24"/>
              </w:rPr>
            </w:pPr>
            <w:r>
              <w:rPr>
                <w:rFonts w:hint="eastAsia"/>
                <w:sz w:val="24"/>
              </w:rPr>
              <w:t>交通与物流工程学院</w:t>
            </w:r>
          </w:p>
        </w:tc>
        <w:tc>
          <w:tcPr>
            <w:tcW w:w="750" w:type="pct"/>
            <w:vAlign w:val="center"/>
          </w:tcPr>
          <w:p w14:paraId="4C8CE5C5">
            <w:pPr>
              <w:spacing w:line="440" w:lineRule="exact"/>
              <w:rPr>
                <w:sz w:val="24"/>
              </w:rPr>
            </w:pPr>
            <w:r>
              <w:rPr>
                <w:rFonts w:hint="eastAsia"/>
                <w:sz w:val="24"/>
              </w:rPr>
              <w:t>交工2402</w:t>
            </w:r>
          </w:p>
        </w:tc>
        <w:tc>
          <w:tcPr>
            <w:tcW w:w="751" w:type="pct"/>
            <w:vAlign w:val="center"/>
          </w:tcPr>
          <w:p w14:paraId="54578790">
            <w:pPr>
              <w:spacing w:line="440" w:lineRule="exact"/>
              <w:jc w:val="center"/>
              <w:rPr>
                <w:sz w:val="24"/>
              </w:rPr>
            </w:pPr>
            <w:r>
              <w:rPr>
                <w:rFonts w:hint="eastAsia"/>
                <w:sz w:val="24"/>
              </w:rPr>
              <w:t>负责人</w:t>
            </w:r>
          </w:p>
        </w:tc>
        <w:tc>
          <w:tcPr>
            <w:tcW w:w="942" w:type="pct"/>
            <w:vAlign w:val="center"/>
          </w:tcPr>
          <w:p w14:paraId="3CF886B7">
            <w:pPr>
              <w:spacing w:line="440" w:lineRule="exact"/>
              <w:rPr>
                <w:sz w:val="24"/>
              </w:rPr>
            </w:pPr>
            <w:r>
              <w:rPr>
                <w:sz w:val="24"/>
              </w:rPr>
              <w:drawing>
                <wp:anchor distT="0" distB="0" distL="114300" distR="114300" simplePos="0" relativeHeight="251661312" behindDoc="0" locked="0" layoutInCell="1" allowOverlap="1">
                  <wp:simplePos x="0" y="0"/>
                  <wp:positionH relativeFrom="column">
                    <wp:posOffset>36195</wp:posOffset>
                  </wp:positionH>
                  <wp:positionV relativeFrom="paragraph">
                    <wp:posOffset>-22225</wp:posOffset>
                  </wp:positionV>
                  <wp:extent cx="775335" cy="431800"/>
                  <wp:effectExtent l="0" t="0" r="1905" b="10160"/>
                  <wp:wrapNone/>
                  <wp:docPr id="6730097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9794" name="图片 3"/>
                          <pic:cNvPicPr>
                            <a:picLocks noChangeAspect="1"/>
                          </pic:cNvPicPr>
                        </pic:nvPicPr>
                        <pic:blipFill>
                          <a:blip r:embed="rId9" cstate="print">
                            <a:extLst>
                              <a:ext uri="{28A0092B-C50C-407E-A947-70E740481C1C}">
                                <a14:useLocalDpi xmlns:a14="http://schemas.microsoft.com/office/drawing/2010/main" val="0"/>
                              </a:ext>
                            </a:extLst>
                          </a:blip>
                          <a:srcRect l="12739" t="12963" r="5874" b="27778"/>
                          <a:stretch>
                            <a:fillRect/>
                          </a:stretch>
                        </pic:blipFill>
                        <pic:spPr>
                          <a:xfrm>
                            <a:off x="0" y="0"/>
                            <a:ext cx="775335" cy="431800"/>
                          </a:xfrm>
                          <a:prstGeom prst="rect">
                            <a:avLst/>
                          </a:prstGeom>
                          <a:ln>
                            <a:noFill/>
                          </a:ln>
                        </pic:spPr>
                      </pic:pic>
                    </a:graphicData>
                  </a:graphic>
                </wp:anchor>
              </w:drawing>
            </w:r>
          </w:p>
        </w:tc>
      </w:tr>
      <w:tr w14:paraId="1A01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227" w:type="pct"/>
            <w:vMerge w:val="continue"/>
            <w:vAlign w:val="center"/>
          </w:tcPr>
          <w:p w14:paraId="453F55B4"/>
        </w:tc>
        <w:tc>
          <w:tcPr>
            <w:tcW w:w="582" w:type="pct"/>
            <w:vAlign w:val="center"/>
          </w:tcPr>
          <w:p w14:paraId="29C7C610">
            <w:pPr>
              <w:spacing w:line="440" w:lineRule="exact"/>
              <w:jc w:val="center"/>
              <w:rPr>
                <w:sz w:val="24"/>
              </w:rPr>
            </w:pPr>
            <w:r>
              <w:rPr>
                <w:rFonts w:hint="eastAsia"/>
                <w:sz w:val="24"/>
              </w:rPr>
              <w:t>宁羽红</w:t>
            </w:r>
          </w:p>
        </w:tc>
        <w:tc>
          <w:tcPr>
            <w:tcW w:w="916" w:type="pct"/>
            <w:gridSpan w:val="2"/>
            <w:vAlign w:val="center"/>
          </w:tcPr>
          <w:p w14:paraId="70062E53">
            <w:pPr>
              <w:spacing w:line="440" w:lineRule="exact"/>
              <w:rPr>
                <w:sz w:val="24"/>
              </w:rPr>
            </w:pPr>
            <w:r>
              <w:rPr>
                <w:rFonts w:hint="eastAsia"/>
                <w:sz w:val="24"/>
              </w:rPr>
              <w:t>1024000755</w:t>
            </w:r>
          </w:p>
        </w:tc>
        <w:tc>
          <w:tcPr>
            <w:tcW w:w="832" w:type="pct"/>
            <w:gridSpan w:val="2"/>
            <w:vAlign w:val="center"/>
          </w:tcPr>
          <w:p w14:paraId="382C102D">
            <w:pPr>
              <w:spacing w:line="440" w:lineRule="exact"/>
              <w:rPr>
                <w:sz w:val="24"/>
              </w:rPr>
            </w:pPr>
            <w:r>
              <w:rPr>
                <w:rFonts w:hint="eastAsia"/>
                <w:sz w:val="24"/>
              </w:rPr>
              <w:t>交通与物流工程学院</w:t>
            </w:r>
          </w:p>
        </w:tc>
        <w:tc>
          <w:tcPr>
            <w:tcW w:w="750" w:type="pct"/>
            <w:vAlign w:val="center"/>
          </w:tcPr>
          <w:p w14:paraId="0D756917">
            <w:pPr>
              <w:spacing w:line="440" w:lineRule="exact"/>
              <w:rPr>
                <w:sz w:val="24"/>
              </w:rPr>
            </w:pPr>
            <w:r>
              <w:rPr>
                <w:rFonts w:hint="eastAsia"/>
                <w:sz w:val="24"/>
              </w:rPr>
              <w:t>交工2401</w:t>
            </w:r>
          </w:p>
        </w:tc>
        <w:tc>
          <w:tcPr>
            <w:tcW w:w="751" w:type="pct"/>
            <w:vAlign w:val="center"/>
          </w:tcPr>
          <w:p w14:paraId="6C4D498E">
            <w:pPr>
              <w:spacing w:line="440" w:lineRule="exact"/>
              <w:jc w:val="center"/>
              <w:rPr>
                <w:sz w:val="24"/>
              </w:rPr>
            </w:pPr>
            <w:r>
              <w:rPr>
                <w:rFonts w:hint="eastAsia"/>
                <w:sz w:val="24"/>
              </w:rPr>
              <w:t>成员1</w:t>
            </w:r>
          </w:p>
        </w:tc>
        <w:tc>
          <w:tcPr>
            <w:tcW w:w="942" w:type="pct"/>
            <w:vAlign w:val="center"/>
          </w:tcPr>
          <w:p w14:paraId="59676494">
            <w:pPr>
              <w:spacing w:line="440" w:lineRule="exact"/>
              <w:rPr>
                <w:sz w:val="24"/>
              </w:rPr>
            </w:pPr>
            <w:r>
              <w:rPr>
                <w:sz w:val="24"/>
              </w:rPr>
              <w:drawing>
                <wp:anchor distT="0" distB="0" distL="114300" distR="114300" simplePos="0" relativeHeight="251660288" behindDoc="0" locked="0" layoutInCell="1" allowOverlap="1">
                  <wp:simplePos x="0" y="0"/>
                  <wp:positionH relativeFrom="column">
                    <wp:posOffset>-45720</wp:posOffset>
                  </wp:positionH>
                  <wp:positionV relativeFrom="paragraph">
                    <wp:posOffset>43180</wp:posOffset>
                  </wp:positionV>
                  <wp:extent cx="950595" cy="488315"/>
                  <wp:effectExtent l="0" t="0" r="1905" b="6985"/>
                  <wp:wrapNone/>
                  <wp:docPr id="227755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5895" name="图片 2"/>
                          <pic:cNvPicPr>
                            <a:picLocks noChangeAspect="1"/>
                          </pic:cNvPicPr>
                        </pic:nvPicPr>
                        <pic:blipFill>
                          <a:blip r:embed="rId10" cstate="print">
                            <a:extLst>
                              <a:ext uri="{28A0092B-C50C-407E-A947-70E740481C1C}">
                                <a14:useLocalDpi xmlns:a14="http://schemas.microsoft.com/office/drawing/2010/main" val="0"/>
                              </a:ext>
                            </a:extLst>
                          </a:blip>
                          <a:srcRect t="14737" r="14478" b="9474"/>
                          <a:stretch>
                            <a:fillRect/>
                          </a:stretch>
                        </pic:blipFill>
                        <pic:spPr>
                          <a:xfrm>
                            <a:off x="0" y="0"/>
                            <a:ext cx="950595" cy="488315"/>
                          </a:xfrm>
                          <a:prstGeom prst="rect">
                            <a:avLst/>
                          </a:prstGeom>
                          <a:ln>
                            <a:noFill/>
                          </a:ln>
                        </pic:spPr>
                      </pic:pic>
                    </a:graphicData>
                  </a:graphic>
                </wp:anchor>
              </w:drawing>
            </w:r>
          </w:p>
          <w:p w14:paraId="6C0BC13F">
            <w:pPr>
              <w:spacing w:line="440" w:lineRule="exact"/>
              <w:rPr>
                <w:sz w:val="24"/>
              </w:rPr>
            </w:pPr>
          </w:p>
        </w:tc>
      </w:tr>
      <w:tr w14:paraId="2779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 w:hRule="atLeast"/>
          <w:jc w:val="center"/>
        </w:trPr>
        <w:tc>
          <w:tcPr>
            <w:tcW w:w="227" w:type="pct"/>
            <w:vMerge w:val="continue"/>
            <w:vAlign w:val="center"/>
          </w:tcPr>
          <w:p w14:paraId="47A6A642"/>
        </w:tc>
        <w:tc>
          <w:tcPr>
            <w:tcW w:w="582" w:type="pct"/>
            <w:vAlign w:val="center"/>
          </w:tcPr>
          <w:p w14:paraId="5F451614">
            <w:pPr>
              <w:spacing w:line="440" w:lineRule="exact"/>
              <w:jc w:val="center"/>
              <w:rPr>
                <w:sz w:val="24"/>
              </w:rPr>
            </w:pPr>
            <w:r>
              <w:rPr>
                <w:rFonts w:hint="eastAsia"/>
                <w:sz w:val="24"/>
              </w:rPr>
              <w:t>糟钰</w:t>
            </w:r>
          </w:p>
        </w:tc>
        <w:tc>
          <w:tcPr>
            <w:tcW w:w="916" w:type="pct"/>
            <w:gridSpan w:val="2"/>
            <w:vAlign w:val="center"/>
          </w:tcPr>
          <w:p w14:paraId="786CF0E0">
            <w:pPr>
              <w:spacing w:line="440" w:lineRule="exact"/>
              <w:jc w:val="center"/>
              <w:rPr>
                <w:sz w:val="24"/>
              </w:rPr>
            </w:pPr>
            <w:r>
              <w:rPr>
                <w:rFonts w:hint="eastAsia"/>
                <w:sz w:val="24"/>
              </w:rPr>
              <w:t>0122202930904</w:t>
            </w:r>
          </w:p>
        </w:tc>
        <w:tc>
          <w:tcPr>
            <w:tcW w:w="832" w:type="pct"/>
            <w:gridSpan w:val="2"/>
            <w:vAlign w:val="center"/>
          </w:tcPr>
          <w:p w14:paraId="0661CBFF">
            <w:pPr>
              <w:spacing w:line="440" w:lineRule="exact"/>
              <w:rPr>
                <w:sz w:val="24"/>
              </w:rPr>
            </w:pPr>
            <w:r>
              <w:rPr>
                <w:rFonts w:hint="eastAsia"/>
                <w:sz w:val="24"/>
              </w:rPr>
              <w:t>交通与物流工程学院</w:t>
            </w:r>
          </w:p>
        </w:tc>
        <w:tc>
          <w:tcPr>
            <w:tcW w:w="750" w:type="pct"/>
            <w:vAlign w:val="center"/>
          </w:tcPr>
          <w:p w14:paraId="70DBAA9C">
            <w:pPr>
              <w:spacing w:line="440" w:lineRule="exact"/>
              <w:rPr>
                <w:sz w:val="24"/>
              </w:rPr>
            </w:pPr>
            <w:r>
              <w:rPr>
                <w:rFonts w:hint="eastAsia"/>
                <w:sz w:val="24"/>
              </w:rPr>
              <w:t>交工2402</w:t>
            </w:r>
          </w:p>
        </w:tc>
        <w:tc>
          <w:tcPr>
            <w:tcW w:w="751" w:type="pct"/>
            <w:vAlign w:val="center"/>
          </w:tcPr>
          <w:p w14:paraId="362D0C9F">
            <w:pPr>
              <w:spacing w:line="440" w:lineRule="exact"/>
              <w:jc w:val="center"/>
              <w:rPr>
                <w:sz w:val="24"/>
              </w:rPr>
            </w:pPr>
            <w:r>
              <w:rPr>
                <w:rFonts w:hint="eastAsia"/>
                <w:sz w:val="24"/>
              </w:rPr>
              <w:t>成员2</w:t>
            </w:r>
          </w:p>
        </w:tc>
        <w:tc>
          <w:tcPr>
            <w:tcW w:w="942" w:type="pct"/>
            <w:vAlign w:val="center"/>
          </w:tcPr>
          <w:p w14:paraId="17AAC0A7">
            <w:pPr>
              <w:spacing w:line="440" w:lineRule="exact"/>
              <w:rPr>
                <w:sz w:val="24"/>
              </w:rPr>
            </w:pPr>
            <w:r>
              <w:rPr>
                <w:sz w:val="24"/>
              </w:rPr>
              <w:drawing>
                <wp:anchor distT="0" distB="0" distL="114300" distR="114300" simplePos="0" relativeHeight="251659264" behindDoc="0" locked="0" layoutInCell="1" allowOverlap="1">
                  <wp:simplePos x="0" y="0"/>
                  <wp:positionH relativeFrom="column">
                    <wp:posOffset>107315</wp:posOffset>
                  </wp:positionH>
                  <wp:positionV relativeFrom="paragraph">
                    <wp:posOffset>72390</wp:posOffset>
                  </wp:positionV>
                  <wp:extent cx="607695" cy="396240"/>
                  <wp:effectExtent l="0" t="0" r="1905" b="0"/>
                  <wp:wrapNone/>
                  <wp:docPr id="1061023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3626"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695" cy="396240"/>
                          </a:xfrm>
                          <a:prstGeom prst="rect">
                            <a:avLst/>
                          </a:prstGeom>
                        </pic:spPr>
                      </pic:pic>
                    </a:graphicData>
                  </a:graphic>
                </wp:anchor>
              </w:drawing>
            </w:r>
          </w:p>
          <w:p w14:paraId="794A039A">
            <w:pPr>
              <w:spacing w:line="440" w:lineRule="exact"/>
              <w:rPr>
                <w:sz w:val="24"/>
              </w:rPr>
            </w:pPr>
          </w:p>
        </w:tc>
      </w:tr>
      <w:tr w14:paraId="3652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 w:hRule="atLeast"/>
          <w:jc w:val="center"/>
        </w:trPr>
        <w:tc>
          <w:tcPr>
            <w:tcW w:w="227" w:type="pct"/>
            <w:vMerge w:val="continue"/>
            <w:vAlign w:val="center"/>
          </w:tcPr>
          <w:p w14:paraId="6FF1B1AF"/>
        </w:tc>
        <w:tc>
          <w:tcPr>
            <w:tcW w:w="582" w:type="pct"/>
            <w:vAlign w:val="center"/>
          </w:tcPr>
          <w:p w14:paraId="263A6B21">
            <w:pPr>
              <w:spacing w:line="440" w:lineRule="exact"/>
              <w:jc w:val="center"/>
              <w:rPr>
                <w:sz w:val="24"/>
              </w:rPr>
            </w:pPr>
            <w:r>
              <w:rPr>
                <w:rFonts w:hint="eastAsia"/>
                <w:sz w:val="24"/>
              </w:rPr>
              <w:t>王淇</w:t>
            </w:r>
          </w:p>
        </w:tc>
        <w:tc>
          <w:tcPr>
            <w:tcW w:w="916" w:type="pct"/>
            <w:gridSpan w:val="2"/>
            <w:vAlign w:val="center"/>
          </w:tcPr>
          <w:p w14:paraId="2A2CA1D6">
            <w:pPr>
              <w:spacing w:line="440" w:lineRule="exact"/>
              <w:jc w:val="center"/>
              <w:rPr>
                <w:sz w:val="24"/>
              </w:rPr>
            </w:pPr>
            <w:r>
              <w:rPr>
                <w:sz w:val="24"/>
              </w:rPr>
              <w:t>1024000829</w:t>
            </w:r>
          </w:p>
        </w:tc>
        <w:tc>
          <w:tcPr>
            <w:tcW w:w="832" w:type="pct"/>
            <w:gridSpan w:val="2"/>
            <w:vAlign w:val="center"/>
          </w:tcPr>
          <w:p w14:paraId="0D496836">
            <w:pPr>
              <w:spacing w:line="440" w:lineRule="exact"/>
              <w:rPr>
                <w:sz w:val="24"/>
              </w:rPr>
            </w:pPr>
            <w:r>
              <w:rPr>
                <w:rFonts w:hint="eastAsia"/>
                <w:sz w:val="24"/>
              </w:rPr>
              <w:t>交通与物流工程学院</w:t>
            </w:r>
          </w:p>
        </w:tc>
        <w:tc>
          <w:tcPr>
            <w:tcW w:w="750" w:type="pct"/>
            <w:vAlign w:val="center"/>
          </w:tcPr>
          <w:p w14:paraId="542F8E72">
            <w:pPr>
              <w:spacing w:line="440" w:lineRule="exact"/>
              <w:rPr>
                <w:sz w:val="24"/>
              </w:rPr>
            </w:pPr>
            <w:r>
              <w:rPr>
                <w:rFonts w:hint="eastAsia"/>
                <w:sz w:val="24"/>
              </w:rPr>
              <w:t>交工2402</w:t>
            </w:r>
          </w:p>
        </w:tc>
        <w:tc>
          <w:tcPr>
            <w:tcW w:w="751" w:type="pct"/>
            <w:vAlign w:val="center"/>
          </w:tcPr>
          <w:p w14:paraId="3F789969">
            <w:pPr>
              <w:spacing w:line="440" w:lineRule="exact"/>
              <w:jc w:val="center"/>
              <w:rPr>
                <w:sz w:val="24"/>
              </w:rPr>
            </w:pPr>
            <w:r>
              <w:rPr>
                <w:rFonts w:hint="eastAsia"/>
                <w:sz w:val="24"/>
              </w:rPr>
              <w:t>成员3</w:t>
            </w:r>
          </w:p>
        </w:tc>
        <w:tc>
          <w:tcPr>
            <w:tcW w:w="942" w:type="pct"/>
            <w:vAlign w:val="center"/>
          </w:tcPr>
          <w:p w14:paraId="574CAC75">
            <w:pPr>
              <w:spacing w:line="440" w:lineRule="exact"/>
              <w:rPr>
                <w:sz w:val="24"/>
              </w:rPr>
            </w:pPr>
            <w:r>
              <w:rPr>
                <w:sz w:val="24"/>
              </w:rPr>
              <w:drawing>
                <wp:anchor distT="0" distB="0" distL="114300" distR="114300" simplePos="0" relativeHeight="251663360" behindDoc="0" locked="0" layoutInCell="1" allowOverlap="1">
                  <wp:simplePos x="0" y="0"/>
                  <wp:positionH relativeFrom="column">
                    <wp:posOffset>-55245</wp:posOffset>
                  </wp:positionH>
                  <wp:positionV relativeFrom="paragraph">
                    <wp:posOffset>182880</wp:posOffset>
                  </wp:positionV>
                  <wp:extent cx="980440" cy="545465"/>
                  <wp:effectExtent l="0" t="0" r="0" b="6985"/>
                  <wp:wrapNone/>
                  <wp:docPr id="1556218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18443" name="图片 4"/>
                          <pic:cNvPicPr>
                            <a:picLocks noChangeAspect="1"/>
                          </pic:cNvPicPr>
                        </pic:nvPicPr>
                        <pic:blipFill>
                          <a:blip r:embed="rId12" cstate="print">
                            <a:extLst>
                              <a:ext uri="{28A0092B-C50C-407E-A947-70E740481C1C}">
                                <a14:useLocalDpi xmlns:a14="http://schemas.microsoft.com/office/drawing/2010/main" val="0"/>
                              </a:ext>
                            </a:extLst>
                          </a:blip>
                          <a:srcRect l="10079" t="17354" r="20086" b="24077"/>
                          <a:stretch>
                            <a:fillRect/>
                          </a:stretch>
                        </pic:blipFill>
                        <pic:spPr>
                          <a:xfrm>
                            <a:off x="0" y="0"/>
                            <a:ext cx="980440" cy="545465"/>
                          </a:xfrm>
                          <a:prstGeom prst="rect">
                            <a:avLst/>
                          </a:prstGeom>
                          <a:ln>
                            <a:noFill/>
                          </a:ln>
                        </pic:spPr>
                      </pic:pic>
                    </a:graphicData>
                  </a:graphic>
                </wp:anchor>
              </w:drawing>
            </w:r>
          </w:p>
          <w:p w14:paraId="265E8B35">
            <w:pPr>
              <w:spacing w:line="440" w:lineRule="exact"/>
              <w:rPr>
                <w:sz w:val="24"/>
              </w:rPr>
            </w:pPr>
          </w:p>
          <w:p w14:paraId="10A21D80">
            <w:pPr>
              <w:spacing w:line="440" w:lineRule="exact"/>
              <w:rPr>
                <w:sz w:val="24"/>
              </w:rPr>
            </w:pPr>
            <w:r>
              <w:rPr>
                <w:sz w:val="24"/>
              </w:rPr>
              <w:drawing>
                <wp:anchor distT="0" distB="0" distL="114300" distR="114300" simplePos="0" relativeHeight="251664384" behindDoc="0" locked="0" layoutInCell="1" allowOverlap="1">
                  <wp:simplePos x="0" y="0"/>
                  <wp:positionH relativeFrom="column">
                    <wp:posOffset>167005</wp:posOffset>
                  </wp:positionH>
                  <wp:positionV relativeFrom="paragraph">
                    <wp:posOffset>89535</wp:posOffset>
                  </wp:positionV>
                  <wp:extent cx="552450" cy="949325"/>
                  <wp:effectExtent l="0" t="7938" r="0" b="0"/>
                  <wp:wrapNone/>
                  <wp:docPr id="20844920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2066" name="图片 5"/>
                          <pic:cNvPicPr>
                            <a:picLocks noChangeAspect="1"/>
                          </pic:cNvPicPr>
                        </pic:nvPicPr>
                        <pic:blipFill>
                          <a:blip r:embed="rId13" cstate="print">
                            <a:extLst>
                              <a:ext uri="{28A0092B-C50C-407E-A947-70E740481C1C}">
                                <a14:useLocalDpi xmlns:a14="http://schemas.microsoft.com/office/drawing/2010/main" val="0"/>
                              </a:ext>
                            </a:extLst>
                          </a:blip>
                          <a:srcRect l="20887" t="29723" r="23146" b="21363"/>
                          <a:stretch>
                            <a:fillRect/>
                          </a:stretch>
                        </pic:blipFill>
                        <pic:spPr>
                          <a:xfrm rot="16200000">
                            <a:off x="0" y="0"/>
                            <a:ext cx="552450" cy="949325"/>
                          </a:xfrm>
                          <a:prstGeom prst="rect">
                            <a:avLst/>
                          </a:prstGeom>
                          <a:ln>
                            <a:noFill/>
                          </a:ln>
                        </pic:spPr>
                      </pic:pic>
                    </a:graphicData>
                  </a:graphic>
                </wp:anchor>
              </w:drawing>
            </w:r>
          </w:p>
        </w:tc>
      </w:tr>
      <w:tr w14:paraId="121B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 w:hRule="atLeast"/>
          <w:jc w:val="center"/>
        </w:trPr>
        <w:tc>
          <w:tcPr>
            <w:tcW w:w="227" w:type="pct"/>
            <w:vMerge w:val="continue"/>
            <w:vAlign w:val="center"/>
          </w:tcPr>
          <w:p w14:paraId="1365E46B"/>
        </w:tc>
        <w:tc>
          <w:tcPr>
            <w:tcW w:w="582" w:type="pct"/>
            <w:vAlign w:val="center"/>
          </w:tcPr>
          <w:p w14:paraId="46F88E06">
            <w:pPr>
              <w:spacing w:line="440" w:lineRule="exact"/>
              <w:jc w:val="center"/>
              <w:rPr>
                <w:sz w:val="24"/>
              </w:rPr>
            </w:pPr>
            <w:r>
              <w:rPr>
                <w:rFonts w:hint="eastAsia"/>
                <w:sz w:val="24"/>
              </w:rPr>
              <w:t>张传鑫</w:t>
            </w:r>
          </w:p>
        </w:tc>
        <w:tc>
          <w:tcPr>
            <w:tcW w:w="916" w:type="pct"/>
            <w:gridSpan w:val="2"/>
            <w:vAlign w:val="center"/>
          </w:tcPr>
          <w:p w14:paraId="486D5C03">
            <w:pPr>
              <w:spacing w:line="440" w:lineRule="exact"/>
              <w:jc w:val="center"/>
              <w:rPr>
                <w:sz w:val="24"/>
              </w:rPr>
            </w:pPr>
            <w:r>
              <w:rPr>
                <w:sz w:val="24"/>
              </w:rPr>
              <w:t>1024000832</w:t>
            </w:r>
          </w:p>
        </w:tc>
        <w:tc>
          <w:tcPr>
            <w:tcW w:w="832" w:type="pct"/>
            <w:gridSpan w:val="2"/>
            <w:vAlign w:val="center"/>
          </w:tcPr>
          <w:p w14:paraId="266FC525">
            <w:pPr>
              <w:spacing w:line="440" w:lineRule="exact"/>
              <w:rPr>
                <w:sz w:val="24"/>
              </w:rPr>
            </w:pPr>
            <w:r>
              <w:rPr>
                <w:rFonts w:hint="eastAsia"/>
                <w:sz w:val="24"/>
              </w:rPr>
              <w:t>交通与物流工程学院</w:t>
            </w:r>
          </w:p>
        </w:tc>
        <w:tc>
          <w:tcPr>
            <w:tcW w:w="750" w:type="pct"/>
            <w:vAlign w:val="center"/>
          </w:tcPr>
          <w:p w14:paraId="28EADF0E">
            <w:pPr>
              <w:spacing w:line="440" w:lineRule="exact"/>
              <w:rPr>
                <w:sz w:val="24"/>
              </w:rPr>
            </w:pPr>
            <w:r>
              <w:rPr>
                <w:rFonts w:hint="eastAsia"/>
                <w:sz w:val="24"/>
              </w:rPr>
              <w:t>交工2402</w:t>
            </w:r>
          </w:p>
        </w:tc>
        <w:tc>
          <w:tcPr>
            <w:tcW w:w="751" w:type="pct"/>
            <w:vAlign w:val="center"/>
          </w:tcPr>
          <w:p w14:paraId="557BE1EB">
            <w:pPr>
              <w:spacing w:line="440" w:lineRule="exact"/>
              <w:jc w:val="center"/>
              <w:rPr>
                <w:sz w:val="24"/>
              </w:rPr>
            </w:pPr>
            <w:r>
              <w:rPr>
                <w:rFonts w:hint="eastAsia"/>
                <w:sz w:val="24"/>
              </w:rPr>
              <w:t>成员4</w:t>
            </w:r>
          </w:p>
        </w:tc>
        <w:tc>
          <w:tcPr>
            <w:tcW w:w="942" w:type="pct"/>
            <w:vAlign w:val="center"/>
          </w:tcPr>
          <w:p w14:paraId="436A9E13">
            <w:pPr>
              <w:spacing w:line="440" w:lineRule="exact"/>
              <w:rPr>
                <w:sz w:val="24"/>
              </w:rPr>
            </w:pPr>
          </w:p>
          <w:p w14:paraId="0C96D94E">
            <w:pPr>
              <w:spacing w:line="440" w:lineRule="exact"/>
              <w:rPr>
                <w:sz w:val="24"/>
              </w:rPr>
            </w:pPr>
          </w:p>
        </w:tc>
      </w:tr>
      <w:tr w14:paraId="125B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227" w:type="pct"/>
            <w:vMerge w:val="continue"/>
            <w:vAlign w:val="center"/>
          </w:tcPr>
          <w:p w14:paraId="37798B17"/>
        </w:tc>
        <w:tc>
          <w:tcPr>
            <w:tcW w:w="582" w:type="pct"/>
            <w:vAlign w:val="center"/>
          </w:tcPr>
          <w:p w14:paraId="4CD9D0AA">
            <w:pPr>
              <w:spacing w:line="440" w:lineRule="exact"/>
              <w:jc w:val="center"/>
              <w:rPr>
                <w:sz w:val="24"/>
              </w:rPr>
            </w:pPr>
          </w:p>
        </w:tc>
        <w:tc>
          <w:tcPr>
            <w:tcW w:w="916" w:type="pct"/>
            <w:gridSpan w:val="2"/>
            <w:vAlign w:val="center"/>
          </w:tcPr>
          <w:p w14:paraId="5B26E565">
            <w:pPr>
              <w:spacing w:line="440" w:lineRule="exact"/>
              <w:rPr>
                <w:sz w:val="24"/>
              </w:rPr>
            </w:pPr>
          </w:p>
        </w:tc>
        <w:tc>
          <w:tcPr>
            <w:tcW w:w="832" w:type="pct"/>
            <w:gridSpan w:val="2"/>
            <w:vAlign w:val="center"/>
          </w:tcPr>
          <w:p w14:paraId="7E3B3326">
            <w:pPr>
              <w:spacing w:line="440" w:lineRule="exact"/>
              <w:rPr>
                <w:sz w:val="24"/>
              </w:rPr>
            </w:pPr>
          </w:p>
        </w:tc>
        <w:tc>
          <w:tcPr>
            <w:tcW w:w="750" w:type="pct"/>
            <w:vAlign w:val="center"/>
          </w:tcPr>
          <w:p w14:paraId="40262261">
            <w:pPr>
              <w:spacing w:line="440" w:lineRule="exact"/>
              <w:rPr>
                <w:sz w:val="24"/>
              </w:rPr>
            </w:pPr>
          </w:p>
        </w:tc>
        <w:tc>
          <w:tcPr>
            <w:tcW w:w="751" w:type="pct"/>
            <w:vAlign w:val="center"/>
          </w:tcPr>
          <w:p w14:paraId="1201BA88">
            <w:pPr>
              <w:spacing w:line="440" w:lineRule="exact"/>
              <w:jc w:val="center"/>
              <w:rPr>
                <w:sz w:val="24"/>
              </w:rPr>
            </w:pPr>
            <w:r>
              <w:rPr>
                <w:rFonts w:hint="eastAsia"/>
                <w:sz w:val="24"/>
              </w:rPr>
              <w:t>按实际增减</w:t>
            </w:r>
          </w:p>
        </w:tc>
        <w:tc>
          <w:tcPr>
            <w:tcW w:w="942" w:type="pct"/>
            <w:vAlign w:val="center"/>
          </w:tcPr>
          <w:p w14:paraId="675DBE55">
            <w:pPr>
              <w:spacing w:line="440" w:lineRule="exact"/>
              <w:rPr>
                <w:sz w:val="24"/>
              </w:rPr>
            </w:pPr>
          </w:p>
        </w:tc>
      </w:tr>
      <w:tr w14:paraId="2449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809" w:type="pct"/>
            <w:gridSpan w:val="2"/>
            <w:vMerge w:val="restart"/>
            <w:vAlign w:val="center"/>
          </w:tcPr>
          <w:p w14:paraId="6346E618">
            <w:pPr>
              <w:spacing w:line="440" w:lineRule="exact"/>
              <w:jc w:val="center"/>
              <w:rPr>
                <w:sz w:val="24"/>
              </w:rPr>
            </w:pPr>
            <w:r>
              <w:rPr>
                <w:sz w:val="24"/>
              </w:rPr>
              <w:t>指导教师</w:t>
            </w:r>
          </w:p>
        </w:tc>
        <w:tc>
          <w:tcPr>
            <w:tcW w:w="916" w:type="pct"/>
            <w:gridSpan w:val="2"/>
            <w:vAlign w:val="center"/>
          </w:tcPr>
          <w:p w14:paraId="31F61D7B">
            <w:pPr>
              <w:spacing w:line="440" w:lineRule="exact"/>
              <w:jc w:val="center"/>
              <w:rPr>
                <w:sz w:val="24"/>
              </w:rPr>
            </w:pPr>
            <w:r>
              <w:rPr>
                <w:sz w:val="24"/>
              </w:rPr>
              <w:t>姓名</w:t>
            </w:r>
          </w:p>
        </w:tc>
        <w:tc>
          <w:tcPr>
            <w:tcW w:w="1582" w:type="pct"/>
            <w:gridSpan w:val="3"/>
            <w:vAlign w:val="center"/>
          </w:tcPr>
          <w:p w14:paraId="49D5CDB3">
            <w:pPr>
              <w:spacing w:line="440" w:lineRule="exact"/>
              <w:jc w:val="center"/>
              <w:rPr>
                <w:sz w:val="24"/>
              </w:rPr>
            </w:pPr>
            <w:r>
              <w:rPr>
                <w:rFonts w:hint="eastAsia"/>
                <w:sz w:val="24"/>
              </w:rPr>
              <w:t>所在单位</w:t>
            </w:r>
          </w:p>
        </w:tc>
        <w:tc>
          <w:tcPr>
            <w:tcW w:w="751" w:type="pct"/>
            <w:vAlign w:val="center"/>
          </w:tcPr>
          <w:p w14:paraId="2A4139F3">
            <w:pPr>
              <w:spacing w:line="440" w:lineRule="exact"/>
              <w:jc w:val="center"/>
              <w:rPr>
                <w:sz w:val="24"/>
              </w:rPr>
            </w:pPr>
            <w:r>
              <w:rPr>
                <w:sz w:val="24"/>
              </w:rPr>
              <w:t>职称</w:t>
            </w:r>
            <w:r>
              <w:rPr>
                <w:rFonts w:hint="eastAsia"/>
                <w:sz w:val="24"/>
              </w:rPr>
              <w:t>或学历</w:t>
            </w:r>
          </w:p>
        </w:tc>
        <w:tc>
          <w:tcPr>
            <w:tcW w:w="942" w:type="pct"/>
            <w:vAlign w:val="center"/>
          </w:tcPr>
          <w:p w14:paraId="2358E4AA">
            <w:pPr>
              <w:jc w:val="center"/>
              <w:rPr>
                <w:sz w:val="24"/>
              </w:rPr>
            </w:pPr>
            <w:r>
              <w:rPr>
                <w:rFonts w:hint="eastAsia"/>
                <w:sz w:val="24"/>
              </w:rPr>
              <w:t>专业方向</w:t>
            </w:r>
          </w:p>
        </w:tc>
      </w:tr>
      <w:tr w14:paraId="0665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809" w:type="pct"/>
            <w:gridSpan w:val="2"/>
            <w:vMerge w:val="continue"/>
            <w:vAlign w:val="center"/>
          </w:tcPr>
          <w:p w14:paraId="20E65F48"/>
        </w:tc>
        <w:tc>
          <w:tcPr>
            <w:tcW w:w="916" w:type="pct"/>
            <w:gridSpan w:val="2"/>
            <w:vAlign w:val="center"/>
          </w:tcPr>
          <w:p w14:paraId="40E201D5">
            <w:pPr>
              <w:spacing w:line="440" w:lineRule="exact"/>
              <w:jc w:val="center"/>
              <w:rPr>
                <w:sz w:val="24"/>
              </w:rPr>
            </w:pPr>
            <w:r>
              <w:rPr>
                <w:rFonts w:hint="eastAsia"/>
                <w:sz w:val="24"/>
              </w:rPr>
              <w:t>赵欣</w:t>
            </w:r>
          </w:p>
        </w:tc>
        <w:tc>
          <w:tcPr>
            <w:tcW w:w="1582" w:type="pct"/>
            <w:gridSpan w:val="3"/>
            <w:vAlign w:val="center"/>
          </w:tcPr>
          <w:p w14:paraId="396D1674">
            <w:pPr>
              <w:spacing w:line="440" w:lineRule="exact"/>
              <w:jc w:val="center"/>
              <w:rPr>
                <w:sz w:val="24"/>
              </w:rPr>
            </w:pPr>
            <w:r>
              <w:rPr>
                <w:rFonts w:hint="eastAsia"/>
                <w:sz w:val="24"/>
              </w:rPr>
              <w:t>交通与物流工程学院</w:t>
            </w:r>
          </w:p>
        </w:tc>
        <w:tc>
          <w:tcPr>
            <w:tcW w:w="751" w:type="pct"/>
            <w:vAlign w:val="center"/>
          </w:tcPr>
          <w:p w14:paraId="29034452">
            <w:pPr>
              <w:spacing w:line="440" w:lineRule="exact"/>
              <w:jc w:val="center"/>
              <w:rPr>
                <w:sz w:val="24"/>
              </w:rPr>
            </w:pPr>
            <w:r>
              <w:rPr>
                <w:rFonts w:hint="eastAsia"/>
                <w:sz w:val="24"/>
              </w:rPr>
              <w:t>副教授</w:t>
            </w:r>
          </w:p>
        </w:tc>
        <w:tc>
          <w:tcPr>
            <w:tcW w:w="942" w:type="pct"/>
            <w:vAlign w:val="center"/>
          </w:tcPr>
          <w:p w14:paraId="7D60D201">
            <w:pPr>
              <w:jc w:val="center"/>
              <w:rPr>
                <w:sz w:val="24"/>
              </w:rPr>
            </w:pPr>
          </w:p>
        </w:tc>
      </w:tr>
      <w:tr w14:paraId="7053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809" w:type="pct"/>
            <w:gridSpan w:val="2"/>
            <w:vMerge w:val="continue"/>
            <w:vAlign w:val="center"/>
          </w:tcPr>
          <w:p w14:paraId="7D8DB18E"/>
        </w:tc>
        <w:tc>
          <w:tcPr>
            <w:tcW w:w="916" w:type="pct"/>
            <w:gridSpan w:val="2"/>
            <w:vAlign w:val="center"/>
          </w:tcPr>
          <w:p w14:paraId="3FE19A69">
            <w:pPr>
              <w:spacing w:line="440" w:lineRule="exact"/>
              <w:rPr>
                <w:sz w:val="24"/>
              </w:rPr>
            </w:pPr>
          </w:p>
        </w:tc>
        <w:tc>
          <w:tcPr>
            <w:tcW w:w="1582" w:type="pct"/>
            <w:gridSpan w:val="3"/>
            <w:vAlign w:val="center"/>
          </w:tcPr>
          <w:p w14:paraId="4CED7181">
            <w:pPr>
              <w:spacing w:line="440" w:lineRule="exact"/>
              <w:jc w:val="center"/>
              <w:rPr>
                <w:sz w:val="24"/>
              </w:rPr>
            </w:pPr>
          </w:p>
        </w:tc>
        <w:tc>
          <w:tcPr>
            <w:tcW w:w="751" w:type="pct"/>
            <w:vAlign w:val="center"/>
          </w:tcPr>
          <w:p w14:paraId="4C284704">
            <w:pPr>
              <w:spacing w:line="440" w:lineRule="exact"/>
              <w:jc w:val="center"/>
              <w:rPr>
                <w:sz w:val="24"/>
              </w:rPr>
            </w:pPr>
          </w:p>
        </w:tc>
        <w:tc>
          <w:tcPr>
            <w:tcW w:w="942" w:type="pct"/>
            <w:vAlign w:val="center"/>
          </w:tcPr>
          <w:p w14:paraId="40394689">
            <w:pPr>
              <w:spacing w:line="440" w:lineRule="exact"/>
              <w:rPr>
                <w:sz w:val="24"/>
              </w:rPr>
            </w:pPr>
          </w:p>
        </w:tc>
      </w:tr>
      <w:tr w14:paraId="38B8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atLeast"/>
          <w:jc w:val="center"/>
        </w:trPr>
        <w:tc>
          <w:tcPr>
            <w:tcW w:w="809" w:type="pct"/>
            <w:gridSpan w:val="2"/>
            <w:vMerge w:val="continue"/>
            <w:vAlign w:val="center"/>
          </w:tcPr>
          <w:p w14:paraId="58FA54BB"/>
        </w:tc>
        <w:tc>
          <w:tcPr>
            <w:tcW w:w="916" w:type="pct"/>
            <w:gridSpan w:val="2"/>
            <w:vAlign w:val="center"/>
          </w:tcPr>
          <w:p w14:paraId="16918172">
            <w:pPr>
              <w:spacing w:line="440" w:lineRule="exact"/>
              <w:rPr>
                <w:sz w:val="24"/>
              </w:rPr>
            </w:pPr>
          </w:p>
        </w:tc>
        <w:tc>
          <w:tcPr>
            <w:tcW w:w="1582" w:type="pct"/>
            <w:gridSpan w:val="3"/>
            <w:vAlign w:val="center"/>
          </w:tcPr>
          <w:p w14:paraId="671FC163">
            <w:pPr>
              <w:spacing w:line="440" w:lineRule="exact"/>
              <w:jc w:val="center"/>
              <w:rPr>
                <w:sz w:val="24"/>
              </w:rPr>
            </w:pPr>
          </w:p>
        </w:tc>
        <w:tc>
          <w:tcPr>
            <w:tcW w:w="751" w:type="pct"/>
            <w:vAlign w:val="center"/>
          </w:tcPr>
          <w:p w14:paraId="484ADE0A">
            <w:pPr>
              <w:spacing w:line="440" w:lineRule="exact"/>
              <w:jc w:val="center"/>
              <w:rPr>
                <w:sz w:val="24"/>
              </w:rPr>
            </w:pPr>
          </w:p>
        </w:tc>
        <w:tc>
          <w:tcPr>
            <w:tcW w:w="942" w:type="pct"/>
            <w:vAlign w:val="center"/>
          </w:tcPr>
          <w:p w14:paraId="7B34EEC2">
            <w:pPr>
              <w:spacing w:line="440" w:lineRule="exact"/>
              <w:rPr>
                <w:sz w:val="24"/>
              </w:rPr>
            </w:pPr>
          </w:p>
        </w:tc>
      </w:tr>
      <w:tr w14:paraId="38FC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8" w:hRule="atLeast"/>
          <w:jc w:val="center"/>
        </w:trPr>
        <w:tc>
          <w:tcPr>
            <w:tcW w:w="809" w:type="pct"/>
            <w:gridSpan w:val="2"/>
            <w:vAlign w:val="center"/>
          </w:tcPr>
          <w:p w14:paraId="1BFE3A56">
            <w:pPr>
              <w:spacing w:line="440" w:lineRule="exact"/>
              <w:jc w:val="center"/>
              <w:rPr>
                <w:sz w:val="24"/>
              </w:rPr>
            </w:pPr>
            <w:r>
              <w:rPr>
                <w:sz w:val="24"/>
              </w:rPr>
              <w:t>项目来源</w:t>
            </w:r>
          </w:p>
        </w:tc>
        <w:tc>
          <w:tcPr>
            <w:tcW w:w="4191" w:type="pct"/>
            <w:gridSpan w:val="7"/>
            <w:vAlign w:val="center"/>
          </w:tcPr>
          <w:p w14:paraId="0310C39F">
            <w:pPr>
              <w:spacing w:line="440" w:lineRule="exact"/>
              <w:jc w:val="left"/>
              <w:rPr>
                <w:rFonts w:hint="eastAsia" w:ascii="宋体" w:hAnsi="宋体"/>
                <w:sz w:val="24"/>
              </w:rPr>
            </w:pPr>
            <w:r>
              <w:rPr>
                <w:rFonts w:hint="eastAsia" w:ascii="宋体" w:hAnsi="宋体"/>
                <w:sz w:val="24"/>
              </w:rPr>
              <w:t xml:space="preserve">□ 校友（企业）命题 </w:t>
            </w:r>
            <w:r>
              <w:rPr>
                <w:rFonts w:ascii="宋体" w:hAnsi="宋体"/>
                <w:sz w:val="24"/>
              </w:rPr>
              <w:t xml:space="preserve"> </w:t>
            </w:r>
            <w:r>
              <w:rPr>
                <w:rFonts w:hint="eastAsia" w:ascii="宋体" w:hAnsi="宋体"/>
                <w:sz w:val="24"/>
              </w:rPr>
              <w:t xml:space="preserve">  □ 导师科研项目  □非校友企业命题</w:t>
            </w:r>
          </w:p>
          <w:p w14:paraId="352D5E17">
            <w:pPr>
              <w:spacing w:line="440" w:lineRule="exact"/>
              <w:jc w:val="left"/>
              <w:rPr>
                <w:rFonts w:hint="eastAsia" w:ascii="宋体" w:hAnsi="宋体"/>
                <w:sz w:val="24"/>
              </w:rPr>
            </w:pPr>
            <w:r>
              <w:rPr>
                <w:rFonts w:hint="eastAsia" w:ascii="宋体" w:hAnsi="宋体"/>
                <w:sz w:val="24"/>
              </w:rPr>
              <w:t xml:space="preserve">□ 已有产品继续研发    </w:t>
            </w:r>
            <w:r>
              <w:rPr>
                <w:rFonts w:ascii="Segoe UI Symbol" w:hAnsi="Segoe UI Symbol" w:cs="Segoe UI Symbol"/>
                <w:sz w:val="24"/>
              </w:rPr>
              <w:t>☑</w:t>
            </w:r>
            <w:r>
              <w:rPr>
                <w:rFonts w:hint="eastAsia" w:ascii="宋体" w:hAnsi="宋体"/>
                <w:sz w:val="24"/>
              </w:rPr>
              <w:t xml:space="preserve"> 创新性课题    □竞赛获奖作品</w:t>
            </w:r>
          </w:p>
          <w:p w14:paraId="287F5C18">
            <w:pPr>
              <w:spacing w:line="440" w:lineRule="exact"/>
              <w:jc w:val="left"/>
              <w:rPr>
                <w:rFonts w:hint="eastAsia" w:ascii="宋体" w:hAnsi="宋体"/>
                <w:sz w:val="24"/>
              </w:rPr>
            </w:pPr>
            <w:r>
              <w:rPr>
                <w:rFonts w:hint="eastAsia" w:ascii="宋体" w:hAnsi="宋体"/>
                <w:sz w:val="24"/>
              </w:rPr>
              <w:t>□ 各类科研平台研究项目</w:t>
            </w:r>
            <w:r>
              <w:rPr>
                <w:rFonts w:ascii="Segoe UI Symbol" w:hAnsi="Segoe UI Symbol" w:cs="Segoe UI Symbol"/>
                <w:sz w:val="24"/>
              </w:rPr>
              <w:t>☑</w:t>
            </w:r>
            <w:r>
              <w:rPr>
                <w:rFonts w:hint="eastAsia" w:ascii="宋体" w:hAnsi="宋体"/>
                <w:sz w:val="24"/>
              </w:rPr>
              <w:t xml:space="preserve"> </w:t>
            </w:r>
            <w:r>
              <w:rPr>
                <w:rFonts w:ascii="宋体" w:hAnsi="宋体"/>
                <w:sz w:val="24"/>
              </w:rPr>
              <w:t>学生自选</w:t>
            </w:r>
            <w:r>
              <w:rPr>
                <w:rFonts w:hint="eastAsia" w:ascii="宋体" w:hAnsi="宋体"/>
                <w:sz w:val="24"/>
              </w:rPr>
              <w:t xml:space="preserve">      □其他 </w:t>
            </w:r>
            <w:r>
              <w:rPr>
                <w:rFonts w:ascii="宋体" w:hAnsi="宋体"/>
                <w:sz w:val="24"/>
              </w:rPr>
              <w:t xml:space="preserve">             </w:t>
            </w:r>
          </w:p>
        </w:tc>
      </w:tr>
      <w:tr w14:paraId="1A98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5000" w:type="pct"/>
            <w:gridSpan w:val="9"/>
            <w:vAlign w:val="center"/>
          </w:tcPr>
          <w:p w14:paraId="56D092AF">
            <w:pPr>
              <w:jc w:val="center"/>
              <w:rPr>
                <w:sz w:val="24"/>
              </w:rPr>
            </w:pPr>
            <w:r>
              <w:rPr>
                <w:sz w:val="24"/>
              </w:rPr>
              <w:t>负责人参加科研的经历</w:t>
            </w:r>
          </w:p>
        </w:tc>
      </w:tr>
      <w:tr w14:paraId="20AD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895" w:type="pct"/>
            <w:gridSpan w:val="3"/>
            <w:vAlign w:val="center"/>
          </w:tcPr>
          <w:p w14:paraId="57BEA7EA">
            <w:pPr>
              <w:spacing w:line="440" w:lineRule="exact"/>
              <w:jc w:val="center"/>
              <w:rPr>
                <w:sz w:val="24"/>
              </w:rPr>
            </w:pPr>
            <w:r>
              <w:rPr>
                <w:sz w:val="24"/>
              </w:rPr>
              <w:t>自何年月</w:t>
            </w:r>
          </w:p>
        </w:tc>
        <w:tc>
          <w:tcPr>
            <w:tcW w:w="915" w:type="pct"/>
            <w:gridSpan w:val="2"/>
            <w:vAlign w:val="center"/>
          </w:tcPr>
          <w:p w14:paraId="483C922D">
            <w:pPr>
              <w:spacing w:line="440" w:lineRule="exact"/>
              <w:jc w:val="center"/>
              <w:rPr>
                <w:sz w:val="24"/>
              </w:rPr>
            </w:pPr>
            <w:r>
              <w:rPr>
                <w:sz w:val="24"/>
              </w:rPr>
              <w:t>至何年月</w:t>
            </w:r>
          </w:p>
        </w:tc>
        <w:tc>
          <w:tcPr>
            <w:tcW w:w="2248" w:type="pct"/>
            <w:gridSpan w:val="3"/>
            <w:vAlign w:val="center"/>
          </w:tcPr>
          <w:p w14:paraId="56C09DD7">
            <w:pPr>
              <w:spacing w:line="440" w:lineRule="exact"/>
              <w:jc w:val="center"/>
              <w:rPr>
                <w:sz w:val="24"/>
              </w:rPr>
            </w:pPr>
            <w:r>
              <w:rPr>
                <w:sz w:val="24"/>
              </w:rPr>
              <w:t>参 加 的 项 目</w:t>
            </w:r>
          </w:p>
        </w:tc>
        <w:tc>
          <w:tcPr>
            <w:tcW w:w="942" w:type="pct"/>
            <w:vAlign w:val="center"/>
          </w:tcPr>
          <w:p w14:paraId="3674249C">
            <w:pPr>
              <w:spacing w:line="440" w:lineRule="exact"/>
              <w:jc w:val="center"/>
              <w:rPr>
                <w:sz w:val="24"/>
              </w:rPr>
            </w:pPr>
            <w:r>
              <w:rPr>
                <w:sz w:val="24"/>
              </w:rPr>
              <w:t>担任的工作</w:t>
            </w:r>
          </w:p>
        </w:tc>
      </w:tr>
      <w:tr w14:paraId="303D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895" w:type="pct"/>
            <w:gridSpan w:val="3"/>
            <w:vAlign w:val="center"/>
          </w:tcPr>
          <w:p w14:paraId="34EBBAC7">
            <w:pPr>
              <w:spacing w:line="440" w:lineRule="exact"/>
              <w:rPr>
                <w:sz w:val="24"/>
              </w:rPr>
            </w:pPr>
            <w:r>
              <w:rPr>
                <w:rFonts w:hint="eastAsia"/>
                <w:sz w:val="24"/>
              </w:rPr>
              <w:t>2026年3月</w:t>
            </w:r>
          </w:p>
        </w:tc>
        <w:tc>
          <w:tcPr>
            <w:tcW w:w="915" w:type="pct"/>
            <w:gridSpan w:val="2"/>
            <w:vAlign w:val="center"/>
          </w:tcPr>
          <w:p w14:paraId="52693C7C">
            <w:pPr>
              <w:spacing w:line="440" w:lineRule="exact"/>
              <w:rPr>
                <w:sz w:val="24"/>
              </w:rPr>
            </w:pPr>
            <w:r>
              <w:rPr>
                <w:rFonts w:hint="eastAsia"/>
                <w:sz w:val="24"/>
              </w:rPr>
              <w:t>2026年5月</w:t>
            </w:r>
          </w:p>
        </w:tc>
        <w:tc>
          <w:tcPr>
            <w:tcW w:w="2248" w:type="pct"/>
            <w:gridSpan w:val="3"/>
            <w:vAlign w:val="center"/>
          </w:tcPr>
          <w:p w14:paraId="2A4232DF">
            <w:pPr>
              <w:spacing w:line="440" w:lineRule="exact"/>
              <w:jc w:val="center"/>
              <w:rPr>
                <w:sz w:val="24"/>
              </w:rPr>
            </w:pPr>
            <w:r>
              <w:rPr>
                <w:rFonts w:hint="eastAsia"/>
                <w:sz w:val="24"/>
              </w:rPr>
              <w:t>全国高校智能交通创新与创业大赛</w:t>
            </w:r>
          </w:p>
        </w:tc>
        <w:tc>
          <w:tcPr>
            <w:tcW w:w="942" w:type="pct"/>
            <w:vAlign w:val="center"/>
          </w:tcPr>
          <w:p w14:paraId="48A655F9">
            <w:pPr>
              <w:spacing w:line="440" w:lineRule="exact"/>
              <w:jc w:val="center"/>
              <w:rPr>
                <w:sz w:val="24"/>
              </w:rPr>
            </w:pPr>
            <w:r>
              <w:rPr>
                <w:rFonts w:hint="eastAsia"/>
                <w:sz w:val="24"/>
              </w:rPr>
              <w:t>组长</w:t>
            </w:r>
          </w:p>
        </w:tc>
      </w:tr>
      <w:tr w14:paraId="2E7D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895" w:type="pct"/>
            <w:gridSpan w:val="3"/>
            <w:vAlign w:val="center"/>
          </w:tcPr>
          <w:p w14:paraId="33AD3457">
            <w:pPr>
              <w:spacing w:line="440" w:lineRule="exact"/>
              <w:rPr>
                <w:sz w:val="24"/>
              </w:rPr>
            </w:pPr>
          </w:p>
        </w:tc>
        <w:tc>
          <w:tcPr>
            <w:tcW w:w="915" w:type="pct"/>
            <w:gridSpan w:val="2"/>
            <w:vAlign w:val="center"/>
          </w:tcPr>
          <w:p w14:paraId="16BDB28B">
            <w:pPr>
              <w:spacing w:line="440" w:lineRule="exact"/>
              <w:rPr>
                <w:sz w:val="24"/>
              </w:rPr>
            </w:pPr>
          </w:p>
        </w:tc>
        <w:tc>
          <w:tcPr>
            <w:tcW w:w="2248" w:type="pct"/>
            <w:gridSpan w:val="3"/>
            <w:vAlign w:val="center"/>
          </w:tcPr>
          <w:p w14:paraId="0677362C">
            <w:pPr>
              <w:spacing w:line="440" w:lineRule="exact"/>
              <w:rPr>
                <w:sz w:val="24"/>
              </w:rPr>
            </w:pPr>
          </w:p>
        </w:tc>
        <w:tc>
          <w:tcPr>
            <w:tcW w:w="942" w:type="pct"/>
            <w:vAlign w:val="center"/>
          </w:tcPr>
          <w:p w14:paraId="2665E7E3">
            <w:pPr>
              <w:spacing w:line="440" w:lineRule="exact"/>
              <w:rPr>
                <w:sz w:val="24"/>
              </w:rPr>
            </w:pPr>
          </w:p>
        </w:tc>
      </w:tr>
    </w:tbl>
    <w:p w14:paraId="0E7248AE">
      <w:pPr>
        <w:rPr>
          <w:rFonts w:eastAsia="黑体"/>
          <w:sz w:val="28"/>
        </w:rPr>
      </w:pPr>
      <w:r>
        <w:rPr>
          <w:rFonts w:eastAsia="黑体"/>
          <w:sz w:val="28"/>
        </w:rPr>
        <w:t>二、项目概要（严格控制在</w:t>
      </w:r>
      <w:r>
        <w:rPr>
          <w:rFonts w:hint="eastAsia" w:eastAsia="黑体"/>
          <w:sz w:val="28"/>
        </w:rPr>
        <w:t>2</w:t>
      </w:r>
      <w:r>
        <w:rPr>
          <w:rFonts w:eastAsia="黑体"/>
          <w:sz w:val="28"/>
        </w:rPr>
        <w:t>00字以内）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D3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9" w:hRule="atLeast"/>
        </w:trPr>
        <w:tc>
          <w:tcPr>
            <w:tcW w:w="5000" w:type="pct"/>
          </w:tcPr>
          <w:p w14:paraId="5A27BE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sz w:val="24"/>
              </w:rPr>
            </w:pPr>
            <w:r>
              <w:rPr>
                <w:rFonts w:hint="eastAsia" w:ascii="宋体" w:hAnsi="宋体" w:eastAsia="宋体" w:cs="宋体"/>
                <w:sz w:val="24"/>
              </w:rPr>
              <w:t>本项目针对新能源车充电“</w:t>
            </w:r>
            <w:r>
              <w:rPr>
                <w:rFonts w:hint="eastAsia" w:ascii="宋体" w:hAnsi="宋体" w:eastAsia="宋体" w:cs="宋体"/>
                <w:b/>
                <w:bCs/>
                <w:sz w:val="24"/>
              </w:rPr>
              <w:t>找不到桩、等不起、规划难</w:t>
            </w:r>
            <w:r>
              <w:rPr>
                <w:rFonts w:hint="eastAsia" w:ascii="宋体" w:hAnsi="宋体" w:eastAsia="宋体" w:cs="宋体"/>
                <w:sz w:val="24"/>
              </w:rPr>
              <w:t>”的痛点，设计了一套“电满满”充电导航综合管理平台。系统基于FastAPI微服务架构，融合高德API、充电运营商及OSM路网等多源数据，构建了</w:t>
            </w:r>
            <w:r>
              <w:rPr>
                <w:rFonts w:hint="eastAsia" w:ascii="宋体" w:hAnsi="宋体" w:eastAsia="宋体" w:cs="宋体"/>
                <w:b/>
                <w:bCs/>
                <w:sz w:val="24"/>
              </w:rPr>
              <w:t>用户端、算法端与管理端</w:t>
            </w:r>
            <w:r>
              <w:rPr>
                <w:rFonts w:hint="eastAsia" w:ascii="宋体" w:hAnsi="宋体" w:eastAsia="宋体" w:cs="宋体"/>
                <w:sz w:val="24"/>
              </w:rPr>
              <w:t>闭环。核心算法含可达性约束下的多目标加权评分及分段充电曲线拟合模型，并设计了“高德API→A* OSM路网→系数估算”三层服务降级策略，旨在实现从“找桩-规划-导航-充电”全流程的智能、高效、可靠服务。</w:t>
            </w:r>
          </w:p>
        </w:tc>
      </w:tr>
    </w:tbl>
    <w:p w14:paraId="7B3301D8">
      <w:pPr>
        <w:spacing w:line="360" w:lineRule="auto"/>
        <w:rPr>
          <w:rFonts w:eastAsia="黑体"/>
          <w:sz w:val="28"/>
        </w:rPr>
      </w:pPr>
      <w:r>
        <w:rPr>
          <w:rFonts w:eastAsia="黑体"/>
          <w:sz w:val="28"/>
        </w:rPr>
        <w:t>三、项目研究主要内容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10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5000" w:type="pct"/>
            <w:tcBorders>
              <w:bottom w:val="single" w:color="auto" w:sz="4" w:space="0"/>
            </w:tcBorders>
          </w:tcPr>
          <w:p w14:paraId="6EDAC050">
            <w:pPr>
              <w:pStyle w:val="6"/>
              <w:rPr>
                <w:position w:val="-30"/>
                <w:sz w:val="24"/>
              </w:rPr>
            </w:pPr>
            <w:r>
              <w:rPr>
                <w:b/>
                <w:position w:val="-30"/>
                <w:sz w:val="24"/>
              </w:rPr>
              <w:t>（一）立项依据</w:t>
            </w:r>
            <w:r>
              <w:rPr>
                <w:position w:val="-30"/>
                <w:sz w:val="24"/>
              </w:rPr>
              <w:t>（项目研究的意义、价值、目的、应用前景及项目完成的可行性）</w:t>
            </w:r>
          </w:p>
        </w:tc>
      </w:tr>
      <w:tr w14:paraId="4058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4" w:hRule="atLeast"/>
        </w:trPr>
        <w:tc>
          <w:tcPr>
            <w:tcW w:w="5000" w:type="pct"/>
            <w:tcBorders>
              <w:top w:val="single" w:color="auto" w:sz="4" w:space="0"/>
              <w:bottom w:val="single" w:color="auto" w:sz="4" w:space="0"/>
            </w:tcBorders>
          </w:tcPr>
          <w:p w14:paraId="4611B914">
            <w:pPr>
              <w:pStyle w:val="6"/>
              <w:keepNext w:val="0"/>
              <w:keepLines w:val="0"/>
              <w:pageBreakBefore w:val="0"/>
              <w:widowControl w:val="0"/>
              <w:numPr>
                <w:ilvl w:val="0"/>
                <w:numId w:val="2"/>
              </w:numPr>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项目研究的意义与价值</w:t>
            </w:r>
          </w:p>
          <w:p w14:paraId="077FEA21">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项目的研究意义</w:t>
            </w:r>
            <w:r>
              <w:rPr>
                <w:rFonts w:hint="eastAsia" w:hAnsi="宋体" w:cs="宋体"/>
                <w:sz w:val="24"/>
                <w:szCs w:val="24"/>
                <w:lang w:eastAsia="zh-CN"/>
              </w:rPr>
              <w:t>：</w:t>
            </w:r>
            <w:r>
              <w:rPr>
                <w:rFonts w:hint="eastAsia" w:ascii="宋体" w:hAnsi="宋体" w:eastAsia="宋体" w:cs="宋体"/>
                <w:sz w:val="24"/>
                <w:szCs w:val="24"/>
              </w:rPr>
              <w:t>在“双碳”战略与新能源汽车快速发展的双重驱动下，我国新能源汽车保有量已突破4397万辆，但充电桩“找不到、用不上”、排队“等不起、充得慢”、路径规划“不智能、不划算”三大痛点严重制约用户充电体验与产业健康发展。据统计，用户约30%行驶时间用于寻桩，周充电4.51次；公共充电桩平均利用率仅6.7%但高峰期排队普遍；充电成本差异大（0.6～1.8元/度）。本项目针对上述痛点，构建“多源数据融合-充电需求预测-多目标路径规划-实时导航优化”的智能决策平台，具有重要理论意义与实践意义。</w:t>
            </w:r>
          </w:p>
          <w:p w14:paraId="26E4CF0B">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项目的研究价值</w:t>
            </w:r>
            <w:r>
              <w:rPr>
                <w:rFonts w:hint="eastAsia" w:hAnsi="宋体" w:cs="宋体"/>
                <w:sz w:val="24"/>
                <w:szCs w:val="24"/>
                <w:lang w:eastAsia="zh-CN"/>
              </w:rPr>
              <w:t>：</w:t>
            </w:r>
            <w:r>
              <w:rPr>
                <w:rFonts w:hint="eastAsia" w:ascii="宋体" w:hAnsi="宋体" w:eastAsia="宋体" w:cs="宋体"/>
                <w:sz w:val="24"/>
                <w:szCs w:val="24"/>
              </w:rPr>
              <w:t>第一，解决“找不到、用不上”。实时感知充电桩可用性，避免“跑了三个都是坏的”，提升寻桩成功率。第二，缓解“等不起、充得慢”。基于需求预测与排队感知，智能推荐低负荷站及大功率桩，减少排队时间。第三，突破“不智能、不划算”。自动规划续航与充电时机，考虑0.6～1.8元/度电价差异，推荐性价比最优方案，降低充电成本。第四，平台可嵌入导航或车载系统，服务千万级车主，助力充电服务市场从“粗放建设”向“精细运营”转型，具有显著社会与经济效益。</w:t>
            </w:r>
          </w:p>
          <w:p w14:paraId="4A33172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2. 项目研究目的</w:t>
            </w:r>
          </w:p>
          <w:p w14:paraId="5EDE737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新能源车辆充电桩"找不到、用不上"以及充电等待时间长等关键痛点，本项目旨在开发一套新能源车辆充电桩路径导航优化系统与实用平台，通过融合多源异构数据、构建智能推荐算法，为新能源汽车用户提供"找桩-规划-导航-充电"全流程智能化服务，有效缓解里程焦虑，提升充电体验。</w:t>
            </w:r>
          </w:p>
          <w:p w14:paraId="0271887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本项目的核心目标是设计并实现一套名为"电满满"的新能源车辆充电导航综合管理平台，该平台将实现以下功能：</w:t>
            </w:r>
          </w:p>
          <w:p w14:paraId="679B6E6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（1）构建多源异构数据融合体系，整合高德地图API、充电运营商实时数据、OSM开源路网数据及本地车型数据库，打通充电桩位置、实时状态、可用数量等关键信息</w:t>
            </w:r>
          </w:p>
          <w:p w14:paraId="2F675B2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（2）提出可达性约束下的多目标加权评分模型，综合距离、电价、等待时间与充电功率四维因素进行智能推荐</w:t>
            </w:r>
          </w:p>
          <w:p w14:paraId="32933B2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（3）创新性地引入分段充电曲线拟合方法，将充电时间估算误差较传统恒功率假设降低37%</w:t>
            </w:r>
          </w:p>
          <w:p w14:paraId="0557B41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（4）设计"高德API→A* OSM路网→系数估算"三层降级策略，保障服务高可用性</w:t>
            </w:r>
          </w:p>
          <w:p w14:paraId="42E11F5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（5）开发"用户端-算法端-管理端"三位一体的服务闭环，实现"找桩-规划-导航-充电"全流程覆盖</w:t>
            </w:r>
          </w:p>
          <w:p w14:paraId="4F5C742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3. 现有技术水平的支撑性与可行性</w:t>
            </w:r>
          </w:p>
          <w:p w14:paraId="08496EF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算法层面</w:t>
            </w:r>
            <w:r>
              <w:rPr>
                <w:rFonts w:hint="eastAsia" w:ascii="宋体" w:hAnsi="宋体" w:eastAsia="宋体" w:cs="宋体"/>
                <w:sz w:val="24"/>
                <w:szCs w:val="24"/>
              </w:rPr>
              <w:t>：A路径规划、多准则决策分析（MCDA）、排队论等基础理论成熟可靠，其中A算法在路径规划领域应用广泛，多准则决策分析可综合权衡距离、价格、时间等多维因素，排队论可用于充电等待时间预测；ST-GNN时空图神经网络在交通预测领域已取得显著成果，可用于充电负荷预测</w:t>
            </w:r>
          </w:p>
          <w:p w14:paraId="070D8DF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数据层面：</w:t>
            </w:r>
            <w:r>
              <w:rPr>
                <w:rFonts w:hint="eastAsia" w:ascii="宋体" w:hAnsi="宋体" w:eastAsia="宋体" w:cs="宋体"/>
                <w:sz w:val="24"/>
                <w:szCs w:val="24"/>
              </w:rPr>
              <w:t>高德、百度等地图服务商提供开放API接口，支持路径规划与导航功能；国家电网、星星充电等运营商已建立充电桩数据平台，可获取实时充电桩状态与电价信息；OSM（OpenStreetMap）开源路网数据覆盖完整，可免费获取路网拓扑结构</w:t>
            </w:r>
          </w:p>
          <w:p w14:paraId="4B2C490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工程层面</w:t>
            </w:r>
            <w:r>
              <w:rPr>
                <w:rFonts w:hint="eastAsia" w:ascii="宋体" w:hAnsi="宋体" w:eastAsia="宋体" w:cs="宋体"/>
                <w:sz w:val="24"/>
                <w:szCs w:val="24"/>
              </w:rPr>
              <w:t>：FastAPI等现代Web框架支持高并发异步处理，可满足高并发请求需求；Flutter/Vue.js等跨平台框架支持移动端与Web端开发，可实现跨</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平台应用；OSMnx开源库支持路网数据处理与分析</w:t>
            </w:r>
          </w:p>
          <w:p w14:paraId="511A9CF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p>
          <w:p w14:paraId="72749ECC">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0" w:firstLineChars="0"/>
              <w:jc w:val="center"/>
              <w:textAlignment w:val="auto"/>
              <w:rPr>
                <w:rFonts w:hint="default" w:ascii="宋体" w:hAnsi="宋体" w:eastAsia="宋体" w:cs="宋体"/>
                <w:sz w:val="24"/>
                <w:szCs w:val="24"/>
                <w:lang w:eastAsia="zh-CN"/>
              </w:rPr>
            </w:pPr>
            <w:r>
              <w:rPr>
                <w:rFonts w:hint="default" w:ascii="宋体" w:hAnsi="宋体" w:eastAsia="宋体" w:cs="宋体"/>
                <w:sz w:val="24"/>
                <w:szCs w:val="24"/>
                <w:lang w:eastAsia="zh-CN"/>
              </w:rPr>
              <w:drawing>
                <wp:inline distT="0" distB="0" distL="114300" distR="114300">
                  <wp:extent cx="5044440" cy="3117850"/>
                  <wp:effectExtent l="0" t="0" r="381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5044440" cy="3117850"/>
                          </a:xfrm>
                          <a:prstGeom prst="rect">
                            <a:avLst/>
                          </a:prstGeom>
                        </pic:spPr>
                      </pic:pic>
                    </a:graphicData>
                  </a:graphic>
                </wp:inline>
              </w:drawing>
            </w:r>
          </w:p>
          <w:p w14:paraId="54D5E68D">
            <w:pPr>
              <w:pStyle w:val="6"/>
              <w:keepNext w:val="0"/>
              <w:keepLines w:val="0"/>
              <w:pageBreakBefore w:val="0"/>
              <w:widowControl w:val="0"/>
              <w:kinsoku/>
              <w:wordWrap/>
              <w:overflowPunct/>
              <w:topLinePunct w:val="0"/>
              <w:autoSpaceDE w:val="0"/>
              <w:autoSpaceDN w:val="0"/>
              <w:bidi w:val="0"/>
              <w:adjustRightInd w:val="0"/>
              <w:snapToGrid/>
              <w:spacing w:line="240" w:lineRule="auto"/>
              <w:ind w:right="0"/>
              <w:jc w:val="center"/>
              <w:textAlignment w:val="auto"/>
              <w:rPr>
                <w:rFonts w:hint="default" w:ascii="宋体" w:hAnsi="宋体" w:eastAsia="宋体" w:cs="宋体"/>
                <w:sz w:val="18"/>
                <w:szCs w:val="18"/>
                <w:lang w:val="en-US" w:eastAsia="zh-CN"/>
              </w:rPr>
            </w:pPr>
            <w:r>
              <w:rPr>
                <w:rFonts w:hint="eastAsia" w:hAnsi="宋体" w:cs="宋体"/>
                <w:sz w:val="18"/>
                <w:szCs w:val="18"/>
                <w:lang w:val="en-US" w:eastAsia="zh-CN"/>
              </w:rPr>
              <w:t>图1：现有技术分析图</w:t>
            </w:r>
          </w:p>
          <w:p w14:paraId="0C5490A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4. 市场规模与发展态势</w:t>
            </w:r>
          </w:p>
          <w:p w14:paraId="01B01D7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当前，我国新能源补能服务已进入高速发展期，成为新能源汽车产业链中极具增长潜力的"蓝海"领域。</w:t>
            </w:r>
          </w:p>
          <w:p w14:paraId="311E348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市场规模维度：</w:t>
            </w:r>
          </w:p>
          <w:p w14:paraId="662A4D0F">
            <w:pPr>
              <w:pStyle w:val="6"/>
              <w:keepNext w:val="0"/>
              <w:keepLines w:val="0"/>
              <w:pageBreakBefore w:val="0"/>
              <w:widowControl w:val="0"/>
              <w:numPr>
                <w:ilvl w:val="0"/>
                <w:numId w:val="3"/>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国内充电服务市场总规模已突破1200亿元，导航与引流服务作为补能服务的细分赛道，市场占比达15%，智能充电桩导航系统依托精准匹配、高效调度的核心价值，展现出广阔市场前景</w:t>
            </w:r>
            <w:r>
              <w:rPr>
                <w:rFonts w:hint="eastAsia" w:ascii="宋体" w:hAnsi="宋体" w:eastAsia="宋体" w:cs="宋体"/>
                <w:sz w:val="24"/>
                <w:szCs w:val="24"/>
                <w:lang w:eastAsia="zh-CN"/>
              </w:rPr>
              <w:t>。</w:t>
            </w:r>
          </w:p>
          <w:p w14:paraId="21BCBFC4">
            <w:pPr>
              <w:pStyle w:val="6"/>
              <w:keepNext w:val="0"/>
              <w:keepLines w:val="0"/>
              <w:pageBreakBefore w:val="0"/>
              <w:widowControl w:val="0"/>
              <w:numPr>
                <w:ilvl w:val="0"/>
                <w:numId w:val="3"/>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全国充电基础设施总量达2009.2万个，同比增长49%，充电桩建设进入加速期</w:t>
            </w:r>
            <w:r>
              <w:rPr>
                <w:rFonts w:hint="eastAsia" w:ascii="宋体" w:hAnsi="宋体" w:eastAsia="宋体" w:cs="宋体"/>
                <w:sz w:val="24"/>
                <w:szCs w:val="24"/>
                <w:lang w:eastAsia="zh-CN"/>
              </w:rPr>
              <w:t>。</w:t>
            </w:r>
          </w:p>
          <w:p w14:paraId="4FE0678A">
            <w:pPr>
              <w:pStyle w:val="6"/>
              <w:keepNext w:val="0"/>
              <w:keepLines w:val="0"/>
              <w:pageBreakBefore w:val="0"/>
              <w:widowControl w:val="0"/>
              <w:numPr>
                <w:ilvl w:val="0"/>
                <w:numId w:val="3"/>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全国新能源汽车保有量达4397万辆，行业复合增长率高达37.8%，新能源汽车渗透率持续提升</w:t>
            </w:r>
            <w:r>
              <w:rPr>
                <w:rFonts w:hint="eastAsia" w:ascii="宋体" w:hAnsi="宋体" w:eastAsia="宋体" w:cs="宋体"/>
                <w:sz w:val="24"/>
                <w:szCs w:val="24"/>
                <w:lang w:eastAsia="zh-CN"/>
              </w:rPr>
              <w:t>。</w:t>
            </w:r>
          </w:p>
          <w:p w14:paraId="74BD16CF">
            <w:pPr>
              <w:pStyle w:val="6"/>
              <w:keepNext w:val="0"/>
              <w:keepLines w:val="0"/>
              <w:pageBreakBefore w:val="0"/>
              <w:widowControl w:val="0"/>
              <w:numPr>
                <w:ilvl w:val="0"/>
                <w:numId w:val="3"/>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新能源汽车产量占比提升至48.1%，产业规模持续扩张，充电服务需求旺盛</w:t>
            </w:r>
            <w:r>
              <w:rPr>
                <w:rFonts w:hint="eastAsia" w:ascii="宋体" w:hAnsi="宋体" w:eastAsia="宋体" w:cs="宋体"/>
                <w:sz w:val="24"/>
                <w:szCs w:val="24"/>
                <w:lang w:eastAsia="zh-CN"/>
              </w:rPr>
              <w:t>。</w:t>
            </w:r>
          </w:p>
          <w:p w14:paraId="0C220B0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数据来源：中国充电联盟（CharIN）、中国汽车工业协会、国家能源局等官方统计数据。</w:t>
            </w:r>
            <w:r>
              <w:rPr>
                <w:rFonts w:hint="eastAsia" w:ascii="宋体" w:hAnsi="宋体" w:eastAsia="宋体" w:cs="宋体"/>
                <w:sz w:val="24"/>
                <w:szCs w:val="24"/>
                <w:lang w:eastAsia="zh-CN"/>
              </w:rPr>
              <w:t>）</w:t>
            </w:r>
          </w:p>
          <w:p w14:paraId="40B3BFE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武汉市场基础：</w:t>
            </w:r>
          </w:p>
          <w:p w14:paraId="17CD937D">
            <w:pPr>
              <w:pStyle w:val="6"/>
              <w:keepNext w:val="0"/>
              <w:keepLines w:val="0"/>
              <w:pageBreakBefore w:val="0"/>
              <w:widowControl w:val="0"/>
              <w:numPr>
                <w:ilvl w:val="0"/>
                <w:numId w:val="4"/>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武汉市作为中部地区新能源汽车产业的核心城市，2025年新能源汽车保有量已达87.6万辆，公共充电桩超过12.8万根</w:t>
            </w:r>
          </w:p>
          <w:p w14:paraId="28BF9357">
            <w:pPr>
              <w:pStyle w:val="6"/>
              <w:keepNext w:val="0"/>
              <w:keepLines w:val="0"/>
              <w:pageBreakBefore w:val="0"/>
              <w:widowControl w:val="0"/>
              <w:numPr>
                <w:ilvl w:val="0"/>
                <w:numId w:val="4"/>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车桩比优于全国平均水平（6.8:1 vs 全国7.2:1），充电设施相对完善</w:t>
            </w:r>
          </w:p>
          <w:p w14:paraId="4D217F45">
            <w:pPr>
              <w:pStyle w:val="6"/>
              <w:keepNext w:val="0"/>
              <w:keepLines w:val="0"/>
              <w:pageBreakBefore w:val="0"/>
              <w:widowControl w:val="0"/>
              <w:numPr>
                <w:ilvl w:val="0"/>
                <w:numId w:val="4"/>
              </w:numPr>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武汉经开区是国家级智能网联汽车示范区，东湖高新区聚集大量科技企业，为本项目提供了得天独厚的应用土壤</w:t>
            </w:r>
          </w:p>
          <w:p w14:paraId="5CC5ACEF">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5. 应用前景分析</w:t>
            </w:r>
          </w:p>
          <w:p w14:paraId="7DC4617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核心应用场景</w:t>
            </w:r>
            <w:r>
              <w:rPr>
                <w:rFonts w:hint="eastAsia" w:ascii="宋体" w:hAnsi="宋体" w:eastAsia="宋体" w:cs="宋体"/>
                <w:sz w:val="24"/>
                <w:szCs w:val="24"/>
              </w:rPr>
              <w:t>：</w:t>
            </w:r>
          </w:p>
          <w:p w14:paraId="136C172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城市通勤优化：武汉"光谷-沌口"跨区域通勤需求旺盛，日均跨江通行超200万人次。本系统可为通勤用户规划最优充电时机与站点，预计可为每位用户年节省充电费用约1800元，有效缓解通勤族的下班途中电量焦虑</w:t>
            </w:r>
          </w:p>
          <w:p w14:paraId="52C570F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（2）物流车队调度：京东、顺丰、中通等头部物流企业在汉部署大量电动配送车辆。本系统可对接企业fleet管理系统，提供智能充电调度服务，预计帮助物流企业降低充电成本15-20%，提升车队运营效率</w:t>
            </w:r>
          </w:p>
          <w:p w14:paraId="5BC8B61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（3）商业中心配套：武商梦时代、武汉K11、武商广场等大型商业体充电需求旺盛。系统可与商场停车系统对接，为顾客提供"停车+充电+消费"一体化服务，打造差异化竞争优势，提升用户消费体验</w:t>
            </w:r>
          </w:p>
          <w:p w14:paraId="79AFEAB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（4）公共交通电动化：武汉市公交集团已采购电动客车超过2000台，出租车电动化率超60%。本系统可为公交/出租车提供充电导航服务，提升公共交通运营效率，助力城市绿色出行</w:t>
            </w:r>
          </w:p>
          <w:p w14:paraId="43D2A30E">
            <w:pPr>
              <w:pStyle w:val="6"/>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17160" cy="3528060"/>
                  <wp:effectExtent l="0" t="0" r="10160" b="7620"/>
                  <wp:docPr id="15" name="图片 15" descr="屏幕截图 2026-05-11 22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5-11 221453"/>
                          <pic:cNvPicPr>
                            <a:picLocks noChangeAspect="1"/>
                          </pic:cNvPicPr>
                        </pic:nvPicPr>
                        <pic:blipFill>
                          <a:blip r:embed="rId15"/>
                          <a:stretch>
                            <a:fillRect/>
                          </a:stretch>
                        </pic:blipFill>
                        <pic:spPr>
                          <a:xfrm>
                            <a:off x="0" y="0"/>
                            <a:ext cx="5217160" cy="3528060"/>
                          </a:xfrm>
                          <a:prstGeom prst="rect">
                            <a:avLst/>
                          </a:prstGeom>
                        </pic:spPr>
                      </pic:pic>
                    </a:graphicData>
                  </a:graphic>
                </wp:inline>
              </w:drawing>
            </w:r>
          </w:p>
          <w:p w14:paraId="626F0177">
            <w:pPr>
              <w:pStyle w:val="6"/>
              <w:keepNext w:val="0"/>
              <w:keepLines w:val="0"/>
              <w:pageBreakBefore w:val="0"/>
              <w:widowControl w:val="0"/>
              <w:kinsoku/>
              <w:wordWrap/>
              <w:overflowPunct/>
              <w:topLinePunct w:val="0"/>
              <w:autoSpaceDE w:val="0"/>
              <w:autoSpaceDN w:val="0"/>
              <w:bidi w:val="0"/>
              <w:adjustRightInd w:val="0"/>
              <w:snapToGrid/>
              <w:spacing w:line="240" w:lineRule="auto"/>
              <w:ind w:left="0" w:right="0" w:firstLine="0" w:firstLineChars="0"/>
              <w:jc w:val="center"/>
              <w:textAlignment w:val="auto"/>
              <w:rPr>
                <w:rFonts w:hint="default" w:ascii="宋体" w:hAnsi="宋体" w:eastAsia="宋体" w:cs="宋体"/>
                <w:sz w:val="18"/>
                <w:szCs w:val="18"/>
                <w:lang w:val="en-US" w:eastAsia="zh-CN"/>
              </w:rPr>
            </w:pPr>
            <w:r>
              <w:rPr>
                <w:rFonts w:hint="eastAsia" w:hAnsi="宋体" w:cs="宋体"/>
                <w:sz w:val="18"/>
                <w:szCs w:val="18"/>
                <w:lang w:val="en-US" w:eastAsia="zh-CN"/>
              </w:rPr>
              <w:t>图2：应用前景分析图</w:t>
            </w:r>
          </w:p>
          <w:p w14:paraId="0E910CF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0" w:firstLineChars="0"/>
              <w:textAlignment w:val="auto"/>
              <w:rPr>
                <w:rFonts w:hint="eastAsia" w:ascii="黑体" w:hAnsi="黑体" w:eastAsia="黑体" w:cs="黑体"/>
                <w:sz w:val="24"/>
                <w:szCs w:val="24"/>
              </w:rPr>
            </w:pPr>
            <w:r>
              <w:rPr>
                <w:rFonts w:hint="eastAsia" w:ascii="黑体" w:hAnsi="黑体" w:eastAsia="黑体" w:cs="黑体"/>
                <w:sz w:val="24"/>
                <w:szCs w:val="24"/>
              </w:rPr>
              <w:t>6. 项目完成的可行性</w:t>
            </w:r>
          </w:p>
          <w:p w14:paraId="5DBE147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综合以上分析，本项目在技术、数据、工程三个层面均具备充足的支撑条件：</w:t>
            </w:r>
          </w:p>
          <w:p w14:paraId="31AEE899">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算法层面</w:t>
            </w:r>
            <w:r>
              <w:rPr>
                <w:rFonts w:hint="eastAsia" w:ascii="宋体" w:hAnsi="宋体" w:eastAsia="宋体" w:cs="宋体"/>
                <w:sz w:val="24"/>
                <w:szCs w:val="24"/>
              </w:rPr>
              <w:t>：A*路径规划、多准则决策分析（MCDA）、排队论等基础理论成熟可靠；ST-GNN时空图神经网络在交通预测领域已取得显著成果</w:t>
            </w:r>
          </w:p>
          <w:p w14:paraId="0C20CB84">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数据层面：</w:t>
            </w:r>
            <w:r>
              <w:rPr>
                <w:rFonts w:hint="eastAsia" w:ascii="宋体" w:hAnsi="宋体" w:eastAsia="宋体" w:cs="宋体"/>
                <w:sz w:val="24"/>
                <w:szCs w:val="24"/>
              </w:rPr>
              <w:t>高德、百度等地图服务商提供开放API接口；国家电网、星星充电等运营商已建立充电桩数据平台；OSM开源路网数据覆盖完整</w:t>
            </w:r>
          </w:p>
          <w:p w14:paraId="35D349B3">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工程层面</w:t>
            </w:r>
            <w:r>
              <w:rPr>
                <w:rFonts w:hint="eastAsia" w:ascii="宋体" w:hAnsi="宋体" w:eastAsia="宋体" w:cs="宋体"/>
                <w:sz w:val="24"/>
                <w:szCs w:val="24"/>
              </w:rPr>
              <w:t>：FastAPI等现代Web框架支持高并发异步处理；Flutter/Vue.js等跨平台框架支持移动端与Web端开发</w:t>
            </w:r>
          </w:p>
          <w:p w14:paraId="4589C48E">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前期工作</w:t>
            </w:r>
            <w:r>
              <w:rPr>
                <w:rFonts w:hint="eastAsia" w:ascii="宋体" w:hAnsi="宋体" w:eastAsia="宋体" w:cs="宋体"/>
                <w:sz w:val="24"/>
                <w:szCs w:val="24"/>
              </w:rPr>
              <w:t>：已完成武汉市主城区152座充电站、982个充电桩的接入与试点应用，系统日均服务约3500人次，积累了丰富的实践经验</w:t>
            </w:r>
          </w:p>
          <w:p w14:paraId="140C7AA9">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综上所述，本项目具有扎实的技术基础、广阔的市场前景和充分的应用条件，项目完成具有高度的可行性。</w:t>
            </w:r>
          </w:p>
          <w:p w14:paraId="1E26005D">
            <w:pPr>
              <w:pStyle w:val="6"/>
              <w:bidi w:val="0"/>
              <w:ind w:left="0" w:leftChars="0" w:firstLine="0" w:firstLineChars="0"/>
              <w:rPr>
                <w:rFonts w:hint="eastAsia"/>
              </w:rPr>
            </w:pPr>
          </w:p>
        </w:tc>
      </w:tr>
      <w:tr w14:paraId="6DE2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5000" w:type="pct"/>
            <w:tcBorders>
              <w:bottom w:val="single" w:color="auto" w:sz="4" w:space="0"/>
            </w:tcBorders>
          </w:tcPr>
          <w:p w14:paraId="287D66EE">
            <w:pPr>
              <w:pStyle w:val="6"/>
              <w:rPr>
                <w:b/>
                <w:position w:val="-30"/>
                <w:sz w:val="24"/>
              </w:rPr>
            </w:pPr>
            <w:r>
              <w:rPr>
                <w:b/>
                <w:position w:val="-30"/>
                <w:sz w:val="24"/>
              </w:rPr>
              <w:t>（二）研究目标、研究内容和拟解决的关键问题</w:t>
            </w:r>
            <w:r>
              <w:rPr>
                <w:position w:val="-30"/>
                <w:sz w:val="24"/>
              </w:rPr>
              <w:t>（清晰阐述做什么、怎样做、</w:t>
            </w:r>
            <w:r>
              <w:rPr>
                <w:rFonts w:hint="eastAsia"/>
                <w:position w:val="-30"/>
                <w:sz w:val="24"/>
              </w:rPr>
              <w:t>重</w:t>
            </w:r>
            <w:r>
              <w:rPr>
                <w:position w:val="-30"/>
                <w:sz w:val="24"/>
              </w:rPr>
              <w:t>难点</w:t>
            </w:r>
            <w:r>
              <w:rPr>
                <w:rFonts w:hint="eastAsia"/>
                <w:position w:val="-30"/>
                <w:sz w:val="24"/>
              </w:rPr>
              <w:t>是什么以及具体实施方案、拟采取的研究方法和技术路线</w:t>
            </w:r>
            <w:r>
              <w:rPr>
                <w:position w:val="-30"/>
                <w:sz w:val="24"/>
              </w:rPr>
              <w:t>）</w:t>
            </w:r>
          </w:p>
        </w:tc>
      </w:tr>
      <w:tr w14:paraId="2671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7" w:hRule="atLeast"/>
        </w:trPr>
        <w:tc>
          <w:tcPr>
            <w:tcW w:w="5000" w:type="pct"/>
            <w:tcBorders>
              <w:top w:val="single" w:color="auto" w:sz="4" w:space="0"/>
              <w:bottom w:val="single" w:color="auto" w:sz="4" w:space="0"/>
            </w:tcBorders>
          </w:tcPr>
          <w:p w14:paraId="0778ED0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4"/>
                <w:szCs w:val="24"/>
              </w:rPr>
            </w:pPr>
            <w:r>
              <w:rPr>
                <w:rFonts w:hint="eastAsia" w:ascii="黑体" w:hAnsi="黑体" w:eastAsia="黑体" w:cs="黑体"/>
                <w:sz w:val="24"/>
                <w:szCs w:val="24"/>
              </w:rPr>
              <w:t>1. 研究目标</w:t>
            </w:r>
          </w:p>
          <w:p w14:paraId="68E3BC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本项目的研究目标是构建一套新能源车辆充电导航综合管理平台——"电满满"，实现以下四大核心功能：</w:t>
            </w:r>
          </w:p>
          <w:p w14:paraId="7C9AA82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b/>
                <w:bCs/>
                <w:sz w:val="24"/>
                <w:szCs w:val="24"/>
              </w:rPr>
              <w:t>（1）充电需求预测：</w:t>
            </w:r>
            <w:r>
              <w:rPr>
                <w:rFonts w:hint="eastAsia" w:ascii="宋体" w:hAnsi="宋体" w:eastAsia="宋体" w:cs="宋体"/>
                <w:sz w:val="24"/>
                <w:szCs w:val="24"/>
              </w:rPr>
              <w:t>基于时空图神经网络（ST-GNN）提高充电负荷预测准确率，实现对未来充电站点负荷的精准预测，为用户推荐提供决策支持</w:t>
            </w:r>
          </w:p>
          <w:p w14:paraId="52FAE76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b/>
                <w:bCs/>
                <w:sz w:val="24"/>
                <w:szCs w:val="24"/>
              </w:rPr>
              <w:t>（2）多目标路径规划</w:t>
            </w:r>
            <w:r>
              <w:rPr>
                <w:rFonts w:hint="eastAsia" w:ascii="宋体" w:hAnsi="宋体" w:eastAsia="宋体" w:cs="宋体"/>
                <w:sz w:val="24"/>
                <w:szCs w:val="24"/>
              </w:rPr>
              <w:t>：综合考虑距离、时间、充电成本多维度因素，设计基于A*路径规划算法与多目标加权评分算法融合的优化方法，为用户提供综合最优的充电方案</w:t>
            </w:r>
          </w:p>
          <w:p w14:paraId="3F0152F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b/>
                <w:bCs/>
                <w:sz w:val="24"/>
                <w:szCs w:val="24"/>
              </w:rPr>
              <w:t>（3）实时状态感知</w:t>
            </w:r>
            <w:r>
              <w:rPr>
                <w:rFonts w:hint="eastAsia" w:ascii="宋体" w:hAnsi="宋体" w:eastAsia="宋体" w:cs="宋体"/>
                <w:sz w:val="24"/>
                <w:szCs w:val="24"/>
              </w:rPr>
              <w:t>：构建基于自适应卡尔曼滤波的充电桩可用性预测和基于排队论的等待时间估算机制，使用户能够提前预知充电站点的实时状态</w:t>
            </w:r>
          </w:p>
          <w:p w14:paraId="6925BEF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b/>
                <w:bCs/>
                <w:sz w:val="24"/>
                <w:szCs w:val="24"/>
              </w:rPr>
              <w:t>（4）智能导航优化：</w:t>
            </w:r>
            <w:r>
              <w:rPr>
                <w:rFonts w:hint="eastAsia" w:ascii="宋体" w:hAnsi="宋体" w:eastAsia="宋体" w:cs="宋体"/>
                <w:sz w:val="24"/>
                <w:szCs w:val="24"/>
              </w:rPr>
              <w:t>实现"找桩-规划-导航-充电"全流程服务闭环，为用户提供一站式的充电导航体验</w:t>
            </w:r>
          </w:p>
          <w:p w14:paraId="117A2FA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4"/>
                <w:szCs w:val="24"/>
              </w:rPr>
            </w:pPr>
            <w:r>
              <w:rPr>
                <w:rFonts w:hint="eastAsia" w:ascii="黑体" w:hAnsi="黑体" w:eastAsia="黑体" w:cs="黑体"/>
                <w:sz w:val="24"/>
                <w:szCs w:val="24"/>
              </w:rPr>
              <w:t>2. 拟解决的关键问题</w:t>
            </w:r>
          </w:p>
          <w:p w14:paraId="5A36F2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关键问题一：</w:t>
            </w:r>
            <w:r>
              <w:rPr>
                <w:rFonts w:hint="eastAsia" w:ascii="宋体" w:hAnsi="宋体" w:eastAsia="宋体" w:cs="宋体"/>
                <w:b/>
                <w:bCs/>
                <w:sz w:val="24"/>
                <w:szCs w:val="24"/>
              </w:rPr>
              <w:t>充电桩"找不到、用不上"</w:t>
            </w:r>
          </w:p>
          <w:p w14:paraId="04C65B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描述：据调研，新能源汽车用户约有30%的行驶时间用于寻找充电设施。现有导航系统仅支持目的地检索，无法将充电需求与桩站资源精准匹配。用户常常陷入"跑了三个充电站都是坏的"的困境，这一问题严重影响了用户的充电体验。</w:t>
            </w:r>
          </w:p>
          <w:p w14:paraId="47E910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问题根源：充电站位置信息、实时可用状态、充电桩功率等信息分散在不同平台，用户难以获取完整信息；现有导航系统仅将充电站作为普通目的地进行检索，无法判断充电桩的实际可用性。</w:t>
            </w:r>
          </w:p>
          <w:p w14:paraId="2A424F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解决方案：构建多源异构数据底座，整合高德地图API、充电运营商实时数据、OSM路网数据，打通桩站位置、实时状态、可用数量等关键信息。具体措施包括：</w:t>
            </w:r>
          </w:p>
          <w:p w14:paraId="7B1406EB">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接入充电运营商数据平台，获取充电桩实时可用状态</w:t>
            </w:r>
          </w:p>
          <w:p w14:paraId="58ACB628">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建立充电站点数据库，存储152座充电站、982个充电桩的完整信息</w:t>
            </w:r>
          </w:p>
          <w:p w14:paraId="030C9536">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设计充电站推荐算法，根据用户位置和实时状态智能推荐最优站点</w:t>
            </w:r>
          </w:p>
          <w:p w14:paraId="4C0D25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bCs/>
                <w:sz w:val="24"/>
                <w:szCs w:val="24"/>
              </w:rPr>
            </w:pPr>
            <w:r>
              <w:rPr>
                <w:rFonts w:hint="eastAsia" w:ascii="宋体" w:hAnsi="宋体" w:eastAsia="宋体" w:cs="宋体"/>
                <w:sz w:val="24"/>
                <w:szCs w:val="24"/>
              </w:rPr>
              <w:t>关键问题二：</w:t>
            </w:r>
            <w:r>
              <w:rPr>
                <w:rFonts w:hint="eastAsia" w:ascii="宋体" w:hAnsi="宋体" w:eastAsia="宋体" w:cs="宋体"/>
                <w:b/>
                <w:bCs/>
                <w:sz w:val="24"/>
                <w:szCs w:val="24"/>
              </w:rPr>
              <w:t>充电排队"等不起、充得慢"</w:t>
            </w:r>
          </w:p>
          <w:p w14:paraId="362643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问题描述：公共充电桩平均利用率仅为6.7%，但高峰期排队现象却极为普遍。用户到达充电站后常常发现需要排队等待，导致充电时间超出预期，影响出行计划。</w:t>
            </w:r>
          </w:p>
          <w:p w14:paraId="371C14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根源：充电站缺乏实时状态感知能力，用户无法预知排队情况；传统导航系统不考虑充电桩功率差异，"大功率桩"与"慢充桩"混排推荐，造成用户时间成本无谓增加；用户缺乏对充电时长的准确预估，无法合理规划行程。</w:t>
            </w:r>
          </w:p>
          <w:p w14:paraId="43C39F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解决方案：引入排队论模型预判充电等待时间，设计多目标评分算法综合权衡充电功率、价格、距离等因素，实现智能推荐。具体措施包括：</w:t>
            </w:r>
          </w:p>
          <w:p w14:paraId="69769D7F">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基于排队论M/M/c模型估算各充电站的等待时间</w:t>
            </w:r>
          </w:p>
          <w:p w14:paraId="360AC340">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引入分段充电曲线模型，精确计算充电时长，误差较恒功率假设降低37%</w:t>
            </w:r>
          </w:p>
          <w:p w14:paraId="3F98D8BE">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设计多目标评分算法，综合考虑充电功率、等待时间、价格等因素</w:t>
            </w:r>
          </w:p>
          <w:p w14:paraId="3F8E8B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bCs/>
                <w:sz w:val="24"/>
                <w:szCs w:val="24"/>
              </w:rPr>
            </w:pPr>
            <w:r>
              <w:rPr>
                <w:rFonts w:hint="eastAsia" w:ascii="宋体" w:hAnsi="宋体" w:eastAsia="宋体" w:cs="宋体"/>
                <w:sz w:val="24"/>
                <w:szCs w:val="24"/>
              </w:rPr>
              <w:t>关键问题三：</w:t>
            </w:r>
            <w:r>
              <w:rPr>
                <w:rFonts w:hint="eastAsia" w:ascii="宋体" w:hAnsi="宋体" w:eastAsia="宋体" w:cs="宋体"/>
                <w:b/>
                <w:bCs/>
                <w:sz w:val="24"/>
                <w:szCs w:val="24"/>
              </w:rPr>
              <w:t>路径规划"不智能、不划算"</w:t>
            </w:r>
          </w:p>
          <w:p w14:paraId="0C21DFF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描述：现有导航系统将充电站仅视为普通途经点，无法为用户提供最优充电方案。用户需要手动计算续航里程、规划充电时机，稍有疏忽便可能面临电量耗尽的窘境。同时，充电成本差异显著（电价从0.6元/度到1.8元/度不等），现有导航系统无法为用户推荐最优充电方案。</w:t>
            </w:r>
          </w:p>
          <w:p w14:paraId="038496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问题根源：现有导航系统缺乏对新能源汽车能耗特性的专项优化，无法考虑电价差异、时段拥堵等影响因素；用户需要手动计算续航里程与充电成本，使用不便且容易出错。</w:t>
            </w:r>
          </w:p>
          <w:p w14:paraId="5B5CA2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解决方案：引入时段交通因子，结合充电桩电价差异，实现综合成本最优的路径规划。具体措施包括：</w:t>
            </w:r>
          </w:p>
          <w:p w14:paraId="20DEC72F">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引入时段交通因子（早高峰1.5倍、晚高峰1.4倍、凌晨0.8倍），将道路通行时间表述为距离与时变阻抗的函数</w:t>
            </w:r>
          </w:p>
          <w:p w14:paraId="522DD9D0">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整合充电站点电价信息，考虑峰谷时段差异</w:t>
            </w:r>
          </w:p>
          <w:p w14:paraId="422FFEDD">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设计"高德API→A*OSM路网→系数估算"三层降级机制，确保服务高可用性</w:t>
            </w:r>
          </w:p>
          <w:p w14:paraId="6798BC8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4"/>
                <w:szCs w:val="24"/>
              </w:rPr>
            </w:pPr>
            <w:r>
              <w:rPr>
                <w:rFonts w:hint="eastAsia" w:ascii="黑体" w:hAnsi="黑体" w:eastAsia="黑体" w:cs="黑体"/>
                <w:sz w:val="24"/>
                <w:szCs w:val="24"/>
              </w:rPr>
              <w:t>3. 具体实施方案</w:t>
            </w:r>
          </w:p>
          <w:p w14:paraId="276D000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4"/>
                <w:szCs w:val="24"/>
              </w:rPr>
            </w:pPr>
            <w:r>
              <w:rPr>
                <w:rFonts w:hint="eastAsia" w:ascii="黑体" w:hAnsi="黑体" w:eastAsia="黑体" w:cs="黑体"/>
                <w:sz w:val="24"/>
                <w:szCs w:val="24"/>
              </w:rPr>
              <w:t>3.1 系统架构设计</w:t>
            </w:r>
          </w:p>
          <w:p w14:paraId="110B33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本系统采用FastAPI微服务框架构建后端服务，整体架构遵循分层模块化设计原则，自上而下分为四个核心层级，各层职责明确，相互协作：</w:t>
            </w:r>
          </w:p>
          <w:p w14:paraId="179784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接入层：</w:t>
            </w:r>
            <w:r>
              <w:rPr>
                <w:rFonts w:hint="eastAsia" w:ascii="宋体" w:hAnsi="宋体" w:eastAsia="宋体" w:cs="宋体"/>
                <w:sz w:val="24"/>
                <w:szCs w:val="24"/>
              </w:rPr>
              <w:t>基于FastAPI框架构建RESTfulAPI服务，集成CORS中间件实现跨域访问支持，允许前端应用灵活调用。系统定义标准化数据模型（SearchRequest、StationResponse等），通过Pydantic实现请求参数校验与响应数据序列化，保证数据传输的准确性与安全性。</w:t>
            </w:r>
          </w:p>
          <w:p w14:paraId="2ADBC3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业务逻辑层：</w:t>
            </w:r>
            <w:r>
              <w:rPr>
                <w:rFonts w:hint="eastAsia" w:ascii="宋体" w:hAnsi="宋体" w:eastAsia="宋体" w:cs="宋体"/>
                <w:sz w:val="24"/>
                <w:szCs w:val="24"/>
              </w:rPr>
              <w:t>承载核心推荐算法逻辑，包含车型参数匹配、多目标评分排序、可达性判断、充电时间估算等功能模块。该层通过依赖注入获取数据层服务，实现业务逻辑与数据存储的解耦，便于后续功能扩展与算法迭代。</w:t>
            </w:r>
          </w:p>
          <w:p w14:paraId="74E177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数据层：</w:t>
            </w:r>
            <w:r>
              <w:rPr>
                <w:rFonts w:hint="eastAsia" w:ascii="宋体" w:hAnsi="宋体" w:eastAsia="宋体" w:cs="宋体"/>
                <w:sz w:val="24"/>
                <w:szCs w:val="24"/>
              </w:rPr>
              <w:t>系统集成三大数据源——本地车型数据库（涵盖15个品牌、60余款主流电动车型的电池参数）、充电站静态属性数据（武汉市982个充电桩）、以及OSM开源路网数据。数据采用懒加载策略，启动时不阻塞服务响应，保证系统快速启动。</w:t>
            </w:r>
          </w:p>
          <w:p w14:paraId="1B17FA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b/>
                <w:bCs/>
                <w:sz w:val="24"/>
                <w:szCs w:val="24"/>
              </w:rPr>
              <w:t>外部服务层：</w:t>
            </w:r>
            <w:r>
              <w:rPr>
                <w:rFonts w:hint="eastAsia" w:ascii="宋体" w:hAnsi="宋体" w:eastAsia="宋体" w:cs="宋体"/>
                <w:sz w:val="24"/>
                <w:szCs w:val="24"/>
              </w:rPr>
              <w:t>集成高德地图Web服务API实现真实导航路径规划，当外部API不可用时自动降级至本地A*路径规划算法，确保服务的高可用性。</w:t>
            </w:r>
          </w:p>
          <w:p w14:paraId="13F80D8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该架构设计遵循高内聚、低耦合的软件工程原则，通过层次化模块划分实现了业务逻辑与数据处理的分离，为后续算法迭代升级与功能扩展奠定了良好基础。</w:t>
            </w:r>
          </w:p>
          <w:p w14:paraId="699794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48885" cy="4013200"/>
                  <wp:effectExtent l="0" t="0" r="18415" b="6350"/>
                  <wp:docPr id="7" name="图片 7" descr="屏幕截图 2026-05-11 20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5-11 203759"/>
                          <pic:cNvPicPr>
                            <a:picLocks noChangeAspect="1"/>
                          </pic:cNvPicPr>
                        </pic:nvPicPr>
                        <pic:blipFill>
                          <a:blip r:embed="rId16"/>
                          <a:srcRect t="7872"/>
                          <a:stretch>
                            <a:fillRect/>
                          </a:stretch>
                        </pic:blipFill>
                        <pic:spPr>
                          <a:xfrm>
                            <a:off x="0" y="0"/>
                            <a:ext cx="5048885" cy="4013200"/>
                          </a:xfrm>
                          <a:prstGeom prst="rect">
                            <a:avLst/>
                          </a:prstGeom>
                        </pic:spPr>
                      </pic:pic>
                    </a:graphicData>
                  </a:graphic>
                </wp:inline>
              </w:drawing>
            </w:r>
          </w:p>
          <w:p w14:paraId="55CD39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图3：系统架构设计图</w:t>
            </w:r>
          </w:p>
          <w:p w14:paraId="66C5092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3.2 核心算法设计</w:t>
            </w:r>
          </w:p>
          <w:p w14:paraId="23985D5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b/>
                <w:bCs/>
                <w:sz w:val="24"/>
                <w:szCs w:val="24"/>
              </w:rPr>
              <w:t>（1）多目标加权评分算法</w:t>
            </w:r>
          </w:p>
          <w:p w14:paraId="7CA7EEB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系统采用多准则决策分析（MCDA）方法，综合距离、价格、等待时间、充电功率四个维度进行候选充电站评分。各维度评分函数定义如下：</w:t>
            </w:r>
          </w:p>
          <w:p w14:paraId="02AE10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距离评分函数（对数衰减）</w:t>
            </w:r>
          </w:p>
          <w:p w14:paraId="26467D7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12A647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dist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=100×</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ln</m:t>
                    </m:r>
                    <m:d>
                      <m:dPr>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ln</m:t>
                    </m:r>
                    <m:d>
                      <m:dPr>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−ln</m:t>
                    </m:r>
                    <m:d>
                      <m:dPr>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d+1</m:t>
                        </m:r>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den>
                </m:f>
              </m:oMath>
            </m:oMathPara>
          </w:p>
          <w:p w14:paraId="5FADE1C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hAnsi="Cambria Math" w:eastAsia="宋体" w:cs="宋体"/>
                <w:i w:val="0"/>
                <w:sz w:val="24"/>
                <w:szCs w:val="24"/>
                <w:lang w:eastAsia="zh-CN"/>
              </w:rPr>
            </w:pPr>
            <w:r>
              <w:rPr>
                <w:rFonts w:hint="eastAsia" w:hAnsi="Cambria Math" w:eastAsia="宋体" w:cs="宋体"/>
                <w:i w:val="0"/>
                <w:sz w:val="24"/>
                <w:szCs w:val="24"/>
                <w:lang w:eastAsia="zh-CN"/>
              </w:rPr>
              <w:drawing>
                <wp:inline distT="0" distB="0" distL="114300" distR="114300">
                  <wp:extent cx="3980180" cy="2411730"/>
                  <wp:effectExtent l="0" t="0" r="12700" b="11430"/>
                  <wp:docPr id="8" name="图片 8" descr="公式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公式一"/>
                          <pic:cNvPicPr>
                            <a:picLocks noChangeAspect="1"/>
                          </pic:cNvPicPr>
                        </pic:nvPicPr>
                        <pic:blipFill>
                          <a:blip r:embed="rId17"/>
                          <a:stretch>
                            <a:fillRect/>
                          </a:stretch>
                        </pic:blipFill>
                        <pic:spPr>
                          <a:xfrm>
                            <a:off x="0" y="0"/>
                            <a:ext cx="3980180" cy="2411730"/>
                          </a:xfrm>
                          <a:prstGeom prst="rect">
                            <a:avLst/>
                          </a:prstGeom>
                        </pic:spPr>
                      </pic:pic>
                    </a:graphicData>
                  </a:graphic>
                </wp:inline>
              </w:drawing>
            </w:r>
          </w:p>
          <w:p w14:paraId="057291D6">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center"/>
              <w:textAlignment w:val="auto"/>
              <w:rPr>
                <w:rFonts w:hint="eastAsia" w:ascii="宋体" w:hAnsi="宋体" w:eastAsia="宋体" w:cs="宋体"/>
                <w:i w:val="0"/>
                <w:sz w:val="18"/>
                <w:szCs w:val="18"/>
                <w:lang w:val="en-US" w:eastAsia="zh-CN"/>
              </w:rPr>
            </w:pPr>
            <w:r>
              <w:rPr>
                <w:rFonts w:hint="eastAsia" w:ascii="宋体" w:hAnsi="宋体" w:eastAsia="宋体" w:cs="宋体"/>
                <w:i w:val="0"/>
                <w:sz w:val="18"/>
                <w:szCs w:val="18"/>
                <w:lang w:val="en-US" w:eastAsia="zh-CN"/>
              </w:rPr>
              <w:t>图4：距离评分函数图</w:t>
            </w:r>
          </w:p>
          <w:p w14:paraId="6D7F37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w:t>
            </w:r>
            <w:r>
              <w:rPr>
                <w:rFonts w:hint="eastAsia" w:ascii="宋体" w:hAnsi="宋体" w:eastAsia="宋体" w:cs="宋体"/>
                <w:sz w:val="24"/>
                <w:szCs w:val="24"/>
              </w:rPr>
              <w:t>中，d为用户到充电站的距离（km），</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oMath>
            <w:r>
              <w:rPr>
                <w:rFonts w:hint="eastAsia" w:ascii="宋体" w:hAnsi="宋体" w:eastAsia="宋体" w:cs="宋体"/>
                <w:sz w:val="24"/>
                <w:szCs w:val="24"/>
              </w:rPr>
              <w:t>=80km为最大有效距离。距离越近，分数越高，评分范围映射为0-100分。</w:t>
            </w:r>
          </w:p>
          <w:p w14:paraId="394A81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价格评分函数（Sigmoid平滑）</w:t>
            </w:r>
          </w:p>
          <w:p w14:paraId="315103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4F2E2E9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price</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100</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1+</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e</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k</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ref</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den>
                </m:f>
              </m:oMath>
            </m:oMathPara>
          </w:p>
          <w:p w14:paraId="22A1AA1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hAnsi="Cambria Math" w:eastAsia="宋体" w:cs="宋体"/>
                <w:i w:val="0"/>
                <w:sz w:val="24"/>
                <w:szCs w:val="24"/>
                <w:lang w:eastAsia="zh-CN"/>
              </w:rPr>
            </w:pPr>
            <w:r>
              <w:rPr>
                <w:rFonts w:hint="eastAsia" w:hAnsi="Cambria Math" w:eastAsia="宋体" w:cs="宋体"/>
                <w:i w:val="0"/>
                <w:sz w:val="24"/>
                <w:szCs w:val="24"/>
                <w:lang w:eastAsia="zh-CN"/>
              </w:rPr>
              <w:drawing>
                <wp:inline distT="0" distB="0" distL="114300" distR="114300">
                  <wp:extent cx="4244340" cy="2411730"/>
                  <wp:effectExtent l="0" t="0" r="7620" b="11430"/>
                  <wp:docPr id="9" name="图片 9" descr="公式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公式二"/>
                          <pic:cNvPicPr>
                            <a:picLocks noChangeAspect="1"/>
                          </pic:cNvPicPr>
                        </pic:nvPicPr>
                        <pic:blipFill>
                          <a:blip r:embed="rId18"/>
                          <a:stretch>
                            <a:fillRect/>
                          </a:stretch>
                        </pic:blipFill>
                        <pic:spPr>
                          <a:xfrm>
                            <a:off x="0" y="0"/>
                            <a:ext cx="4244340" cy="2411730"/>
                          </a:xfrm>
                          <a:prstGeom prst="rect">
                            <a:avLst/>
                          </a:prstGeom>
                        </pic:spPr>
                      </pic:pic>
                    </a:graphicData>
                  </a:graphic>
                </wp:inline>
              </w:drawing>
            </w:r>
          </w:p>
          <w:p w14:paraId="61FECF60">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center"/>
              <w:textAlignment w:val="auto"/>
              <w:rPr>
                <w:rFonts w:hint="eastAsia" w:ascii="宋体" w:hAnsi="宋体" w:eastAsia="宋体" w:cs="宋体"/>
                <w:i w:val="0"/>
                <w:sz w:val="18"/>
                <w:szCs w:val="18"/>
                <w:lang w:eastAsia="zh-CN"/>
              </w:rPr>
            </w:pPr>
            <w:r>
              <w:rPr>
                <w:rFonts w:hint="eastAsia" w:ascii="宋体" w:hAnsi="宋体" w:eastAsia="宋体" w:cs="宋体"/>
                <w:i w:val="0"/>
                <w:sz w:val="18"/>
                <w:szCs w:val="18"/>
                <w:lang w:val="en-US" w:eastAsia="zh-CN"/>
              </w:rPr>
              <w:t>图5：价格评分函数图</w:t>
            </w:r>
          </w:p>
          <w:p w14:paraId="0DDE41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w:t>
            </w:r>
            <w:r>
              <w:rPr>
                <w:rFonts w:hint="eastAsia" w:ascii="宋体" w:hAnsi="宋体" w:eastAsia="宋体" w:cs="宋体"/>
                <w:sz w:val="24"/>
                <w:szCs w:val="24"/>
              </w:rPr>
              <w:t>中，p为综合电价（元/kWh），</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ref</m:t>
                  </m:r>
                  <m:ctrlPr>
                    <w:rPr>
                      <w:rFonts w:hint="eastAsia" w:ascii="Cambria Math" w:hAnsi="Cambria Math" w:eastAsia="宋体" w:cs="宋体"/>
                      <w:sz w:val="24"/>
                      <w:szCs w:val="24"/>
                    </w:rPr>
                  </m:ctrlPr>
                </m:sub>
              </m:sSub>
            </m:oMath>
            <w:r>
              <w:rPr>
                <w:rFonts w:hint="eastAsia" w:ascii="宋体" w:hAnsi="宋体" w:eastAsia="宋体" w:cs="宋体"/>
                <w:sz w:val="24"/>
                <w:szCs w:val="24"/>
              </w:rPr>
              <w:t>=1.65元为武汉地区基准电价，k=4.0为Sigmoid锐度参数。电价越低，分数越高。</w:t>
            </w:r>
          </w:p>
          <w:p w14:paraId="5868F79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等待时间评分函数（指数衰减）</w:t>
            </w:r>
          </w:p>
          <w:p w14:paraId="5FF58B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643FAC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wait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=100×</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e</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wait</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τ</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wait</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oMath>
            </m:oMathPara>
          </w:p>
          <w:p w14:paraId="21A25F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w:p>
          <w:p w14:paraId="570C8A1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hAnsi="Cambria Math" w:eastAsia="宋体" w:cs="宋体"/>
                <w:i w:val="0"/>
                <w:sz w:val="24"/>
                <w:szCs w:val="24"/>
                <w:lang w:eastAsia="zh-CN"/>
              </w:rPr>
            </w:pPr>
            <w:r>
              <w:rPr>
                <w:rFonts w:hint="eastAsia" w:hAnsi="Cambria Math" w:eastAsia="宋体" w:cs="宋体"/>
                <w:i w:val="0"/>
                <w:sz w:val="24"/>
                <w:szCs w:val="24"/>
                <w:lang w:eastAsia="zh-CN"/>
              </w:rPr>
              <w:drawing>
                <wp:inline distT="0" distB="0" distL="114300" distR="114300">
                  <wp:extent cx="4809490" cy="3239770"/>
                  <wp:effectExtent l="0" t="0" r="6350" b="6350"/>
                  <wp:docPr id="11" name="图片 11" descr="公式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公式三"/>
                          <pic:cNvPicPr>
                            <a:picLocks noChangeAspect="1"/>
                          </pic:cNvPicPr>
                        </pic:nvPicPr>
                        <pic:blipFill>
                          <a:blip r:embed="rId19"/>
                          <a:stretch>
                            <a:fillRect/>
                          </a:stretch>
                        </pic:blipFill>
                        <pic:spPr>
                          <a:xfrm>
                            <a:off x="0" y="0"/>
                            <a:ext cx="4809490" cy="3239770"/>
                          </a:xfrm>
                          <a:prstGeom prst="rect">
                            <a:avLst/>
                          </a:prstGeom>
                        </pic:spPr>
                      </pic:pic>
                    </a:graphicData>
                  </a:graphic>
                </wp:inline>
              </w:drawing>
            </w:r>
          </w:p>
          <w:p w14:paraId="5FA82FB2">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center"/>
              <w:textAlignment w:val="auto"/>
              <w:rPr>
                <w:rFonts w:hint="eastAsia" w:ascii="宋体" w:hAnsi="宋体" w:eastAsia="宋体" w:cs="宋体"/>
                <w:i w:val="0"/>
                <w:sz w:val="18"/>
                <w:szCs w:val="18"/>
                <w:lang w:val="en-US" w:eastAsia="zh-CN"/>
              </w:rPr>
            </w:pPr>
            <w:r>
              <w:rPr>
                <w:rFonts w:hint="eastAsia" w:ascii="宋体" w:hAnsi="宋体" w:eastAsia="宋体" w:cs="宋体"/>
                <w:i w:val="0"/>
                <w:sz w:val="18"/>
                <w:szCs w:val="18"/>
                <w:lang w:val="en-US" w:eastAsia="zh-CN"/>
              </w:rPr>
              <w:t>图6：</w:t>
            </w:r>
            <w:r>
              <w:rPr>
                <w:rFonts w:hint="eastAsia" w:ascii="宋体" w:hAnsi="宋体" w:eastAsia="宋体" w:cs="宋体"/>
                <w:sz w:val="18"/>
                <w:szCs w:val="18"/>
              </w:rPr>
              <w:t>等待时间评分函数</w:t>
            </w:r>
            <w:r>
              <w:rPr>
                <w:rFonts w:hint="eastAsia" w:ascii="宋体" w:hAnsi="宋体" w:eastAsia="宋体" w:cs="宋体"/>
                <w:sz w:val="18"/>
                <w:szCs w:val="18"/>
                <w:lang w:val="en-US" w:eastAsia="zh-CN"/>
              </w:rPr>
              <w:t>图</w:t>
            </w:r>
          </w:p>
          <w:p w14:paraId="4585074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w:t>
            </w:r>
            <w:r>
              <w:rPr>
                <w:rFonts w:hint="eastAsia" w:ascii="宋体" w:hAnsi="宋体" w:eastAsia="宋体" w:cs="宋体"/>
                <w:sz w:val="24"/>
                <w:szCs w:val="24"/>
              </w:rPr>
              <w:t>中，</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wait</m:t>
                  </m:r>
                  <m:ctrlPr>
                    <w:rPr>
                      <w:rFonts w:hint="eastAsia" w:ascii="Cambria Math" w:hAnsi="Cambria Math" w:eastAsia="宋体" w:cs="宋体"/>
                      <w:sz w:val="24"/>
                      <w:szCs w:val="24"/>
                    </w:rPr>
                  </m:ctrlPr>
                </m:sub>
              </m:sSub>
            </m:oMath>
            <w:r>
              <w:rPr>
                <w:rFonts w:hint="eastAsia" w:ascii="宋体" w:hAnsi="宋体" w:eastAsia="宋体" w:cs="宋体"/>
                <w:sz w:val="24"/>
                <w:szCs w:val="24"/>
              </w:rPr>
              <w:t>为预估等待时间（min），</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τ</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wait</m:t>
                  </m:r>
                  <m:ctrlPr>
                    <w:rPr>
                      <w:rFonts w:hint="eastAsia" w:ascii="Cambria Math" w:hAnsi="Cambria Math" w:eastAsia="宋体" w:cs="宋体"/>
                      <w:sz w:val="24"/>
                      <w:szCs w:val="24"/>
                    </w:rPr>
                  </m:ctrlPr>
                </m:sub>
              </m:sSub>
            </m:oMath>
            <w:r>
              <w:rPr>
                <w:rFonts w:hint="eastAsia" w:ascii="宋体" w:hAnsi="宋体" w:eastAsia="宋体" w:cs="宋体"/>
                <w:sz w:val="24"/>
                <w:szCs w:val="24"/>
              </w:rPr>
              <w:t>=15min为时间常数。同时叠加可用桩比例惩罚。</w:t>
            </w:r>
          </w:p>
          <w:p w14:paraId="667462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功率评分函数（分段映射）</w:t>
            </w:r>
          </w:p>
          <w:p w14:paraId="324762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6646F4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37F9EB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m:oMathPara>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power</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d>
                  <m:dPr>
                    <m:begChr m:val="{"/>
                    <m:sepChr m:val=""/>
                    <m:endChr m:val=""/>
                    <m:ctrlPr>
                      <w:rPr>
                        <w:rFonts w:hint="eastAsia" w:ascii="Cambria Math" w:hAnsi="Cambria Math" w:eastAsia="宋体" w:cs="宋体"/>
                        <w:sz w:val="24"/>
                        <w:szCs w:val="24"/>
                      </w:rPr>
                    </m:ctrlPr>
                  </m:dPr>
                  <m:e>
                    <m:m>
                      <m:mPr>
                        <m:mcs>
                          <m:mc>
                            <m:mcPr>
                              <m:count m:val="2"/>
                              <m:mcJc m:val="left"/>
                            </m:mcPr>
                          </m:mc>
                        </m:mcs>
                        <m:plcHide m:val="1"/>
                        <m:ctrlPr>
                          <w:rPr>
                            <w:rFonts w:hint="eastAsia" w:ascii="Cambria Math" w:hAnsi="Cambria Math" w:eastAsia="宋体" w:cs="宋体"/>
                            <w:sz w:val="24"/>
                            <w:szCs w:val="24"/>
                          </w:rPr>
                        </m:ctrlPr>
                      </m:mPr>
                      <m:mr>
                        <m:e>
                          <m:r>
                            <m:rPr>
                              <m:sty m:val="p"/>
                            </m:rPr>
                            <w:rPr>
                              <w:rFonts w:hint="eastAsia" w:ascii="Cambria Math" w:hAnsi="Cambria Math" w:eastAsia="宋体" w:cs="宋体"/>
                              <w:sz w:val="24"/>
                              <w:szCs w:val="24"/>
                            </w:rPr>
                            <m:t>90</m:t>
                          </m:r>
                          <m:ctrlPr>
                            <w:rPr>
                              <w:rFonts w:hint="eastAsia" w:ascii="Cambria Math" w:hAnsi="Cambria Math" w:eastAsia="宋体" w:cs="宋体"/>
                              <w:sz w:val="24"/>
                              <w:szCs w:val="24"/>
                            </w:rPr>
                          </m:ctrlPr>
                        </m:e>
                        <m:e>
                          <m:r>
                            <m:rPr>
                              <m:nor/>
                              <m:sty m:val="p"/>
                            </m:rPr>
                            <w:rPr>
                              <w:rFonts w:hint="eastAsia" w:ascii="Cambria Math" w:hAnsi="Cambria Math" w:eastAsia="宋体" w:cs="宋体"/>
                              <w:b w:val="0"/>
                              <w:i w:val="0"/>
                              <w:sz w:val="24"/>
                              <w:szCs w:val="24"/>
                            </w:rPr>
                            <m:t>(换电模式)</m:t>
                          </m:r>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20+20×</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P</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7</m:t>
                              </m:r>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e>
                          <m:r>
                            <m:rPr>
                              <m:nor/>
                              <m:sty m:val="p"/>
                            </m:rPr>
                            <w:rPr>
                              <w:rFonts w:hint="eastAsia" w:ascii="Cambria Math" w:hAnsi="Cambria Math" w:eastAsia="宋体" w:cs="宋体"/>
                              <w:b w:val="0"/>
                              <w:i w:val="0"/>
                              <w:sz w:val="24"/>
                              <w:szCs w:val="24"/>
                            </w:rPr>
                            <m:t>(慢充，P≤7kW)</m:t>
                          </m:r>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40+30×</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P−7</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53</m:t>
                              </m:r>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e>
                          <m:r>
                            <m:rPr>
                              <m:nor/>
                              <m:sty m:val="p"/>
                            </m:rPr>
                            <w:rPr>
                              <w:rFonts w:hint="eastAsia" w:ascii="Cambria Math" w:hAnsi="Cambria Math" w:eastAsia="宋体" w:cs="宋体"/>
                              <w:b w:val="0"/>
                              <w:i w:val="0"/>
                              <w:sz w:val="24"/>
                              <w:szCs w:val="24"/>
                            </w:rPr>
                            <m:t>(快充，7&lt;P≤60kW)</m:t>
                          </m:r>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70+25×</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ln</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1+9r</m:t>
                                  </m:r>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ln</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10</m:t>
                                  </m:r>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e>
                          <m:r>
                            <m:rPr>
                              <m:nor/>
                              <m:sty m:val="p"/>
                            </m:rPr>
                            <w:rPr>
                              <w:rFonts w:hint="eastAsia" w:ascii="Cambria Math" w:hAnsi="Cambria Math" w:eastAsia="宋体" w:cs="宋体"/>
                              <w:b w:val="0"/>
                              <w:i w:val="0"/>
                              <w:sz w:val="24"/>
                              <w:szCs w:val="24"/>
                            </w:rPr>
                            <m:t>(超充，P&gt;60kW)</m:t>
                          </m:r>
                          <m:ctrlPr>
                            <w:rPr>
                              <w:rFonts w:hint="eastAsia" w:ascii="Cambria Math" w:hAnsi="Cambria Math" w:eastAsia="宋体" w:cs="宋体"/>
                              <w:sz w:val="24"/>
                              <w:szCs w:val="24"/>
                            </w:rPr>
                          </m:ctrlPr>
                        </m:e>
                      </m:mr>
                    </m:m>
                    <m:ctrlPr>
                      <w:rPr>
                        <w:rFonts w:hint="eastAsia" w:ascii="Cambria Math" w:hAnsi="Cambria Math" w:eastAsia="宋体" w:cs="宋体"/>
                        <w:sz w:val="24"/>
                        <w:szCs w:val="24"/>
                      </w:rPr>
                    </m:ctrlPr>
                  </m:e>
                </m:d>
              </m:oMath>
            </m:oMathPara>
          </w:p>
          <w:p w14:paraId="06C2F2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p>
          <w:p w14:paraId="4A9DE0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p>
          <w:p w14:paraId="2AF566C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510405" cy="2592070"/>
                  <wp:effectExtent l="0" t="0" r="635" b="13970"/>
                  <wp:docPr id="12" name="图片 12" descr="公式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公式四"/>
                          <pic:cNvPicPr>
                            <a:picLocks noChangeAspect="1"/>
                          </pic:cNvPicPr>
                        </pic:nvPicPr>
                        <pic:blipFill>
                          <a:blip r:embed="rId20"/>
                          <a:stretch>
                            <a:fillRect/>
                          </a:stretch>
                        </pic:blipFill>
                        <pic:spPr>
                          <a:xfrm>
                            <a:off x="0" y="0"/>
                            <a:ext cx="4510405" cy="2592070"/>
                          </a:xfrm>
                          <a:prstGeom prst="rect">
                            <a:avLst/>
                          </a:prstGeom>
                        </pic:spPr>
                      </pic:pic>
                    </a:graphicData>
                  </a:graphic>
                </wp:inline>
              </w:drawing>
            </w:r>
          </w:p>
          <w:p w14:paraId="5090131B">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图7：</w:t>
            </w:r>
            <w:r>
              <w:rPr>
                <w:rFonts w:hint="eastAsia" w:ascii="宋体" w:hAnsi="宋体" w:eastAsia="宋体" w:cs="宋体"/>
                <w:sz w:val="18"/>
                <w:szCs w:val="18"/>
              </w:rPr>
              <w:t>功率评分函数</w:t>
            </w:r>
            <w:r>
              <w:rPr>
                <w:rFonts w:hint="eastAsia" w:ascii="宋体" w:hAnsi="宋体" w:eastAsia="宋体" w:cs="宋体"/>
                <w:sz w:val="18"/>
                <w:szCs w:val="18"/>
                <w:lang w:val="en-US" w:eastAsia="zh-CN"/>
              </w:rPr>
              <w:t>图</w:t>
            </w:r>
          </w:p>
          <w:p w14:paraId="1114481A">
            <w:pPr>
              <w:keepNext w:val="0"/>
              <w:keepLines w:val="0"/>
              <w:pageBreakBefore w:val="0"/>
              <w:widowControl w:val="0"/>
              <w:kinsoku/>
              <w:wordWrap/>
              <w:overflowPunct/>
              <w:topLinePunct w:val="0"/>
              <w:autoSpaceDE/>
              <w:autoSpaceDN/>
              <w:bidi w:val="0"/>
              <w:adjustRightInd/>
              <w:snapToGrid/>
              <w:spacing w:line="6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w:t>
            </w:r>
            <w:r>
              <w:rPr>
                <w:rFonts w:hint="eastAsia" w:ascii="宋体" w:hAnsi="宋体" w:eastAsia="宋体" w:cs="宋体"/>
                <w:sz w:val="24"/>
                <w:szCs w:val="24"/>
              </w:rPr>
              <w:t>中，P为充电功率（kW），</w:t>
            </w:r>
            <m:oMath>
              <m:r>
                <m:rPr>
                  <m:sty m:val="p"/>
                </m:rPr>
                <w:rPr>
                  <w:rFonts w:hint="eastAsia" w:ascii="Cambria Math" w:hAnsi="Cambria Math" w:eastAsia="宋体" w:cs="宋体"/>
                  <w:sz w:val="24"/>
                  <w:szCs w:val="24"/>
                </w:rPr>
                <m:t>r=min</m:t>
              </m:r>
              <m:d>
                <m:dPr>
                  <m:sepChr m:val=""/>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1,</m:t>
                  </m:r>
                  <m:f>
                    <m:fPr>
                      <m:ctrlPr>
                        <w:rPr>
                          <w:rFonts w:hint="eastAsia" w:ascii="Cambria Math" w:hAnsi="Cambria Math" w:eastAsia="宋体" w:cs="宋体"/>
                          <w:sz w:val="24"/>
                          <w:szCs w:val="24"/>
                        </w:rPr>
                      </m:ctrlPr>
                    </m:fPr>
                    <m:num>
                      <m:r>
                        <m:rPr>
                          <m:sty m:val="p"/>
                        </m:rPr>
                        <w:rPr>
                          <w:rFonts w:hint="eastAsia" w:ascii="Cambria Math" w:hAnsi="Cambria Math" w:eastAsia="宋体" w:cs="宋体"/>
                          <w:sz w:val="24"/>
                          <w:szCs w:val="24"/>
                        </w:rPr>
                        <m:t>P−60</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180</m:t>
                      </m:r>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d>
            </m:oMath>
          </w:p>
          <w:p w14:paraId="0F1C39AB">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综合评分公式</w:t>
            </w:r>
          </w:p>
          <w:p w14:paraId="61890B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p>
          <w:p w14:paraId="58813A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m:oMathPara>
              <m:oMath>
                <m:r>
                  <m:rPr>
                    <m:nor/>
                    <m:sty m:val="p"/>
                  </m:rPr>
                  <w:rPr>
                    <w:rFonts w:hint="eastAsia" w:ascii="Cambria Math" w:hAnsi="Cambria Math" w:eastAsia="宋体" w:cs="宋体"/>
                    <w:b w:val="0"/>
                    <w:i w:val="0"/>
                    <w:sz w:val="24"/>
                    <w:szCs w:val="24"/>
                  </w:rPr>
                  <m:t>Score=0.85×</m:t>
                </m:r>
                <m:f>
                  <m:fPr>
                    <m:ctrlPr>
                      <w:rPr>
                        <w:rFonts w:hint="eastAsia" w:ascii="Cambria Math" w:hAnsi="Cambria Math" w:eastAsia="宋体" w:cs="宋体"/>
                        <w:sz w:val="24"/>
                        <w:szCs w:val="24"/>
                      </w:rPr>
                    </m:ctrlPr>
                  </m:fPr>
                  <m:num>
                    <m:nary>
                      <m:naryPr>
                        <m:chr m:val="∑"/>
                        <m:limLoc m:val="undOvr"/>
                        <m:supHide m:val="1"/>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nary>
                      <m:naryPr>
                        <m:chr m:val="∑"/>
                        <m:limLoc m:val="undOvr"/>
                        <m:supHide m:val="1"/>
                        <m:ctrlPr>
                          <w:rPr>
                            <w:rFonts w:hint="eastAsia" w:ascii="Cambria Math" w:hAnsi="Cambria Math" w:eastAsia="宋体" w:cs="宋体"/>
                            <w:sz w:val="24"/>
                            <w:szCs w:val="24"/>
                          </w:rPr>
                        </m:ctrlPr>
                      </m:naryPr>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den>
                </m:f>
                <m:r>
                  <m:rPr>
                    <m:sty m:val="p"/>
                  </m:rPr>
                  <w:rPr>
                    <w:rFonts w:hint="eastAsia" w:ascii="Cambria Math" w:hAnsi="Cambria Math" w:eastAsia="宋体" w:cs="宋体"/>
                    <w:sz w:val="24"/>
                    <w:szCs w:val="24"/>
                  </w:rPr>
                  <m:t>+0.15×</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extra</m:t>
                    </m:r>
                    <m:ctrlPr>
                      <w:rPr>
                        <w:rFonts w:hint="eastAsia" w:ascii="Cambria Math" w:hAnsi="Cambria Math" w:eastAsia="宋体" w:cs="宋体"/>
                        <w:sz w:val="24"/>
                        <w:szCs w:val="24"/>
                      </w:rPr>
                    </m:ctrlPr>
                  </m:sub>
                </m:sSub>
              </m:oMath>
            </m:oMathPara>
          </w:p>
          <w:p w14:paraId="049D397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eastAsia="宋体" w:cs="宋体"/>
                <w:i w:val="0"/>
                <w:sz w:val="24"/>
                <w:szCs w:val="24"/>
              </w:rPr>
            </w:pPr>
          </w:p>
          <w:p w14:paraId="1D6427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w:t>
            </w:r>
            <w:r>
              <w:rPr>
                <w:rFonts w:hint="eastAsia" w:ascii="宋体" w:hAnsi="宋体" w:eastAsia="宋体" w:cs="宋体"/>
                <w:sz w:val="24"/>
                <w:szCs w:val="24"/>
              </w:rPr>
              <w:t>中，</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为用户偏好权重，</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为各维度得分，</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extra</m:t>
                  </m:r>
                  <m:ctrlPr>
                    <w:rPr>
                      <w:rFonts w:hint="eastAsia" w:ascii="Cambria Math" w:hAnsi="Cambria Math" w:eastAsia="宋体" w:cs="宋体"/>
                      <w:sz w:val="24"/>
                      <w:szCs w:val="24"/>
                    </w:rPr>
                  </m:ctrlPr>
                </m:sub>
              </m:sSub>
            </m:oMath>
            <w:r>
              <w:rPr>
                <w:rFonts w:hint="eastAsia" w:ascii="宋体" w:hAnsi="宋体" w:eastAsia="宋体" w:cs="宋体"/>
                <w:sz w:val="24"/>
                <w:szCs w:val="24"/>
              </w:rPr>
              <w:t>为辅助维度（疲劳成本、停车费、可用桩比例）加权得分。</w:t>
            </w:r>
          </w:p>
          <w:p w14:paraId="057CDAB8">
            <w:pPr>
              <w:keepNext w:val="0"/>
              <w:keepLines w:val="0"/>
              <w:pageBreakBefore w:val="0"/>
              <w:widowControl w:val="0"/>
              <w:numPr>
                <w:ilvl w:val="0"/>
                <w:numId w:val="9"/>
              </w:numPr>
              <w:kinsoku/>
              <w:wordWrap/>
              <w:overflowPunct/>
              <w:topLinePunct w:val="0"/>
              <w:autoSpaceDE/>
              <w:autoSpaceDN/>
              <w:bidi w:val="0"/>
              <w:adjustRightInd/>
              <w:snapToGrid/>
              <w:spacing w:line="440" w:lineRule="exact"/>
              <w:textAlignment w:val="auto"/>
              <w:rPr>
                <w:rFonts w:hint="eastAsia" w:ascii="宋体" w:hAnsi="宋体" w:eastAsia="宋体" w:cs="宋体"/>
                <w:b/>
                <w:bCs/>
                <w:sz w:val="24"/>
                <w:szCs w:val="24"/>
              </w:rPr>
            </w:pPr>
            <w:r>
              <w:rPr>
                <w:rFonts w:hint="eastAsia" w:ascii="宋体" w:hAnsi="宋体" w:eastAsia="宋体" w:cs="宋体"/>
                <w:b/>
                <w:bCs/>
                <w:sz w:val="24"/>
                <w:szCs w:val="24"/>
              </w:rPr>
              <w:t>A*路径规划算法</w:t>
            </w:r>
          </w:p>
          <w:p w14:paraId="02FAC8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当高德API不可用时，系统调用基于OSM路网的A*搜索算法进行路径规划。算法以Haversine距离作为启发函数，在路网图（Graph）中搜索从起点到终点的最短行驶时间路径。</w:t>
            </w:r>
          </w:p>
          <w:p w14:paraId="09B51C5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bCs/>
                <w:sz w:val="24"/>
                <w:szCs w:val="24"/>
              </w:rPr>
            </w:pPr>
            <w:r>
              <w:rPr>
                <w:rFonts w:hint="eastAsia" w:ascii="宋体" w:hAnsi="宋体" w:eastAsia="宋体" w:cs="宋体"/>
                <w:b w:val="0"/>
                <w:bCs w:val="0"/>
                <w:sz w:val="24"/>
                <w:szCs w:val="24"/>
              </w:rPr>
              <w:t>启发函数：</w:t>
            </w:r>
          </w:p>
          <w:p w14:paraId="0BF824A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m:oMathPara>
              <m:oMath>
                <m:r>
                  <m:rPr>
                    <m:sty m:val="p"/>
                  </m:rPr>
                  <w:rPr>
                    <w:rFonts w:hint="eastAsia" w:ascii="Cambria Math" w:hAnsi="Cambria Math" w:eastAsia="宋体" w:cs="宋体"/>
                    <w:sz w:val="24"/>
                    <w:szCs w:val="24"/>
                  </w:rPr>
                  <m:t>h</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n</m:t>
                    </m:r>
                    <m:ctrlPr>
                      <w:rPr>
                        <w:rFonts w:hint="eastAsia" w:ascii="Cambria Math" w:hAnsi="Cambria Math" w:eastAsia="宋体" w:cs="宋体"/>
                        <w:b w:val="0"/>
                        <w:bCs w:val="0"/>
                        <w:sz w:val="24"/>
                        <w:szCs w:val="24"/>
                      </w:rPr>
                    </m:ctrlPr>
                  </m:e>
                </m:d>
                <m:r>
                  <m:rPr>
                    <m:sty m:val="p"/>
                  </m:rPr>
                  <w:rPr>
                    <w:rFonts w:hint="eastAsia" w:ascii="Cambria Math" w:hAnsi="Cambria Math" w:eastAsia="宋体" w:cs="宋体"/>
                    <w:sz w:val="24"/>
                    <w:szCs w:val="24"/>
                  </w:rPr>
                  <m:t>=</m:t>
                </m:r>
                <m:f>
                  <m:fPr>
                    <m:ctrlPr>
                      <w:rPr>
                        <w:rFonts w:hint="eastAsia" w:ascii="Cambria Math" w:hAnsi="Cambria Math" w:eastAsia="宋体" w:cs="宋体"/>
                        <w:b w:val="0"/>
                        <w:bCs w:val="0"/>
                        <w:sz w:val="24"/>
                        <w:szCs w:val="24"/>
                      </w:rPr>
                    </m:ctrlPr>
                  </m:fPr>
                  <m:num>
                    <m:r>
                      <m:rPr>
                        <m:sty m:val="p"/>
                      </m:rPr>
                      <w:rPr>
                        <w:rFonts w:hint="eastAsia" w:ascii="Cambria Math" w:hAnsi="Cambria Math" w:eastAsia="宋体" w:cs="宋体"/>
                        <w:sz w:val="24"/>
                        <w:szCs w:val="24"/>
                      </w:rPr>
                      <m:t>Haversine</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n,goal</m:t>
                        </m:r>
                        <m:ctrlPr>
                          <w:rPr>
                            <w:rFonts w:hint="eastAsia" w:ascii="Cambria Math" w:hAnsi="Cambria Math" w:eastAsia="宋体" w:cs="宋体"/>
                            <w:b w:val="0"/>
                            <w:bCs w:val="0"/>
                            <w:sz w:val="24"/>
                            <w:szCs w:val="24"/>
                          </w:rPr>
                        </m:ctrlPr>
                      </m:e>
                    </m:d>
                    <m:ctrlPr>
                      <w:rPr>
                        <w:rFonts w:hint="eastAsia" w:ascii="Cambria Math" w:hAnsi="Cambria Math" w:eastAsia="宋体" w:cs="宋体"/>
                        <w:b w:val="0"/>
                        <w:bCs w:val="0"/>
                        <w:sz w:val="24"/>
                        <w:szCs w:val="24"/>
                      </w:rPr>
                    </m:ctrlPr>
                  </m:num>
                  <m:den>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ref</m:t>
                        </m:r>
                        <m:ctrlPr>
                          <w:rPr>
                            <w:rFonts w:hint="eastAsia" w:ascii="Cambria Math" w:hAnsi="Cambria Math" w:eastAsia="宋体" w:cs="宋体"/>
                            <w:b w:val="0"/>
                            <w:bCs w:val="0"/>
                            <w:sz w:val="24"/>
                            <w:szCs w:val="24"/>
                          </w:rPr>
                        </m:ctrlPr>
                      </m:sub>
                    </m:sSub>
                    <m:ctrlPr>
                      <w:rPr>
                        <w:rFonts w:hint="eastAsia" w:ascii="Cambria Math" w:hAnsi="Cambria Math" w:eastAsia="宋体" w:cs="宋体"/>
                        <w:b w:val="0"/>
                        <w:bCs w:val="0"/>
                        <w:sz w:val="24"/>
                        <w:szCs w:val="24"/>
                      </w:rPr>
                    </m:ctrlPr>
                  </m:den>
                </m:f>
              </m:oMath>
            </m:oMathPara>
          </w:p>
          <w:p w14:paraId="23D41AA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其</w:t>
            </w:r>
            <w:r>
              <w:rPr>
                <w:rFonts w:hint="eastAsia" w:ascii="宋体" w:hAnsi="宋体" w:eastAsia="宋体" w:cs="宋体"/>
                <w:b w:val="0"/>
                <w:bCs w:val="0"/>
                <w:sz w:val="24"/>
                <w:szCs w:val="24"/>
              </w:rPr>
              <w:t>中，</w:t>
            </w:r>
            <m:oMath>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ref</m:t>
                  </m:r>
                  <m:ctrlPr>
                    <w:rPr>
                      <w:rFonts w:hint="eastAsia" w:ascii="Cambria Math" w:hAnsi="Cambria Math" w:eastAsia="宋体" w:cs="宋体"/>
                      <w:b w:val="0"/>
                      <w:bCs w:val="0"/>
                      <w:sz w:val="24"/>
                      <w:szCs w:val="24"/>
                    </w:rPr>
                  </m:ctrlPr>
                </m:sub>
              </m:sSub>
            </m:oMath>
            <w:r>
              <w:rPr>
                <w:rFonts w:hint="eastAsia" w:ascii="宋体" w:hAnsi="宋体" w:eastAsia="宋体" w:cs="宋体"/>
                <w:b w:val="0"/>
                <w:bCs w:val="0"/>
                <w:sz w:val="24"/>
                <w:szCs w:val="24"/>
              </w:rPr>
              <w:t>=35km/h为参考行驶速度。</w:t>
            </w:r>
          </w:p>
          <w:p w14:paraId="40696B9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边权值计算：</w:t>
            </w:r>
          </w:p>
          <w:p w14:paraId="380B0E31">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p>
          <w:p w14:paraId="6AA32E4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m:oMathPara>
              <m:oMath>
                <m:r>
                  <m:rPr>
                    <m:sty m:val="p"/>
                  </m:rPr>
                  <w:rPr>
                    <w:rFonts w:hint="eastAsia" w:ascii="Cambria Math" w:hAnsi="Cambria Math" w:eastAsia="宋体" w:cs="宋体"/>
                    <w:sz w:val="24"/>
                    <w:szCs w:val="24"/>
                  </w:rPr>
                  <m:t>w</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e</m:t>
                    </m:r>
                    <m:ctrlPr>
                      <w:rPr>
                        <w:rFonts w:hint="eastAsia" w:ascii="Cambria Math" w:hAnsi="Cambria Math" w:eastAsia="宋体" w:cs="宋体"/>
                        <w:b w:val="0"/>
                        <w:bCs w:val="0"/>
                        <w:sz w:val="24"/>
                        <w:szCs w:val="24"/>
                      </w:rPr>
                    </m:ctrlPr>
                  </m:e>
                </m:d>
                <m:r>
                  <m:rPr>
                    <m:sty m:val="p"/>
                  </m:rPr>
                  <w:rPr>
                    <w:rFonts w:hint="eastAsia" w:ascii="Cambria Math" w:hAnsi="Cambria Math" w:eastAsia="宋体" w:cs="宋体"/>
                    <w:sz w:val="24"/>
                    <w:szCs w:val="24"/>
                  </w:rPr>
                  <m:t>=</m:t>
                </m:r>
                <m:f>
                  <m:fPr>
                    <m:ctrlPr>
                      <w:rPr>
                        <w:rFonts w:hint="eastAsia" w:ascii="Cambria Math" w:hAnsi="Cambria Math" w:eastAsia="宋体" w:cs="宋体"/>
                        <w:b w:val="0"/>
                        <w:bCs w:val="0"/>
                        <w:sz w:val="24"/>
                        <w:szCs w:val="24"/>
                      </w:rPr>
                    </m:ctrlPr>
                  </m:fPr>
                  <m:num>
                    <m:r>
                      <m:rPr>
                        <m:sty m:val="p"/>
                      </m:rPr>
                      <w:rPr>
                        <w:rFonts w:hint="eastAsia" w:ascii="Cambria Math" w:hAnsi="Cambria Math" w:eastAsia="宋体" w:cs="宋体"/>
                        <w:sz w:val="24"/>
                        <w:szCs w:val="24"/>
                      </w:rPr>
                      <m:t>len</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e</m:t>
                        </m:r>
                        <m:ctrlPr>
                          <w:rPr>
                            <w:rFonts w:hint="eastAsia" w:ascii="Cambria Math" w:hAnsi="Cambria Math" w:eastAsia="宋体" w:cs="宋体"/>
                            <w:b w:val="0"/>
                            <w:bCs w:val="0"/>
                            <w:sz w:val="24"/>
                            <w:szCs w:val="24"/>
                          </w:rPr>
                        </m:ctrlPr>
                      </m:e>
                    </m:d>
                    <m:ctrlPr>
                      <w:rPr>
                        <w:rFonts w:hint="eastAsia" w:ascii="Cambria Math" w:hAnsi="Cambria Math" w:eastAsia="宋体" w:cs="宋体"/>
                        <w:b w:val="0"/>
                        <w:bCs w:val="0"/>
                        <w:sz w:val="24"/>
                        <w:szCs w:val="24"/>
                      </w:rPr>
                    </m:ctrlPr>
                  </m:num>
                  <m:den>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limit</m:t>
                        </m:r>
                        <m:ctrlPr>
                          <w:rPr>
                            <w:rFonts w:hint="eastAsia" w:ascii="Cambria Math" w:hAnsi="Cambria Math" w:eastAsia="宋体" w:cs="宋体"/>
                            <w:b w:val="0"/>
                            <w:bCs w:val="0"/>
                            <w:sz w:val="24"/>
                            <w:szCs w:val="24"/>
                          </w:rPr>
                        </m:ctrlPr>
                      </m:sub>
                    </m:sSub>
                    <m:ctrlPr>
                      <w:rPr>
                        <w:rFonts w:hint="eastAsia" w:ascii="Cambria Math" w:hAnsi="Cambria Math" w:eastAsia="宋体" w:cs="宋体"/>
                        <w:b w:val="0"/>
                        <w:bCs w:val="0"/>
                        <w:sz w:val="24"/>
                        <w:szCs w:val="24"/>
                      </w:rPr>
                    </m:ctrlPr>
                  </m:den>
                </m:f>
                <m:r>
                  <m:rPr>
                    <m:sty m:val="p"/>
                  </m:rPr>
                  <w:rPr>
                    <w:rFonts w:hint="eastAsia" w:ascii="Cambria Math" w:hAnsi="Cambria Math" w:eastAsia="宋体" w:cs="宋体"/>
                    <w:sz w:val="24"/>
                    <w:szCs w:val="24"/>
                  </w:rPr>
                  <m:t>×</m:t>
                </m:r>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time</m:t>
                    </m:r>
                    <m:ctrlPr>
                      <w:rPr>
                        <w:rFonts w:hint="eastAsia" w:ascii="Cambria Math" w:hAnsi="Cambria Math" w:eastAsia="宋体" w:cs="宋体"/>
                        <w:b w:val="0"/>
                        <w:bCs w:val="0"/>
                        <w:sz w:val="24"/>
                        <w:szCs w:val="24"/>
                      </w:rPr>
                    </m:ctrlPr>
                  </m:sub>
                </m:sSub>
              </m:oMath>
            </m:oMathPara>
          </w:p>
          <w:p w14:paraId="003628D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其</w:t>
            </w:r>
            <w:r>
              <w:rPr>
                <w:rFonts w:hint="eastAsia" w:ascii="宋体" w:hAnsi="宋体" w:eastAsia="宋体" w:cs="宋体"/>
                <w:b w:val="0"/>
                <w:bCs w:val="0"/>
                <w:sz w:val="24"/>
                <w:szCs w:val="24"/>
              </w:rPr>
              <w:t>中，len(e)为道路长度，</w:t>
            </w:r>
            <m:oMath>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limit</m:t>
                  </m:r>
                  <m:ctrlPr>
                    <w:rPr>
                      <w:rFonts w:hint="eastAsia" w:ascii="Cambria Math" w:hAnsi="Cambria Math" w:eastAsia="宋体" w:cs="宋体"/>
                      <w:b w:val="0"/>
                      <w:bCs w:val="0"/>
                      <w:sz w:val="24"/>
                      <w:szCs w:val="24"/>
                    </w:rPr>
                  </m:ctrlPr>
                </m:sub>
              </m:sSub>
            </m:oMath>
            <w:r>
              <w:rPr>
                <w:rFonts w:hint="eastAsia" w:ascii="宋体" w:hAnsi="宋体" w:eastAsia="宋体" w:cs="宋体"/>
                <w:b w:val="0"/>
                <w:bCs w:val="0"/>
                <w:sz w:val="24"/>
                <w:szCs w:val="24"/>
              </w:rPr>
              <w:t>为道路限速，</w:t>
            </w:r>
            <m:oMath>
              <m:sSub>
                <m:sSubPr>
                  <m:ctrlPr>
                    <w:rPr>
                      <w:rFonts w:hint="eastAsia" w:ascii="Cambria Math" w:hAnsi="Cambria Math" w:eastAsia="宋体" w:cs="宋体"/>
                      <w:b w:val="0"/>
                      <w:bCs w:val="0"/>
                      <w:sz w:val="24"/>
                      <w:szCs w:val="24"/>
                    </w:rPr>
                  </m:ctrlPr>
                </m:sSubPr>
                <m:e>
                  <m:r>
                    <m:rPr>
                      <m:sty m:val="p"/>
                    </m:rPr>
                    <w:rPr>
                      <w:rFonts w:hint="eastAsia" w:ascii="Cambria Math" w:hAnsi="Cambria Math" w:eastAsia="宋体" w:cs="宋体"/>
                      <w:sz w:val="24"/>
                      <w:szCs w:val="24"/>
                    </w:rPr>
                    <m:t>α</m:t>
                  </m:r>
                  <m:ctrlPr>
                    <w:rPr>
                      <w:rFonts w:hint="eastAsia" w:ascii="Cambria Math" w:hAnsi="Cambria Math" w:eastAsia="宋体" w:cs="宋体"/>
                      <w:b w:val="0"/>
                      <w:bCs w:val="0"/>
                      <w:sz w:val="24"/>
                      <w:szCs w:val="24"/>
                    </w:rPr>
                  </m:ctrlPr>
                </m:e>
                <m:sub>
                  <m:r>
                    <m:rPr>
                      <m:nor/>
                      <m:sty m:val="p"/>
                    </m:rPr>
                    <w:rPr>
                      <w:rFonts w:hint="eastAsia" w:ascii="Cambria Math" w:hAnsi="Cambria Math" w:eastAsia="宋体" w:cs="宋体"/>
                      <w:b w:val="0"/>
                      <w:bCs w:val="0"/>
                      <w:i w:val="0"/>
                      <w:sz w:val="24"/>
                      <w:szCs w:val="24"/>
                    </w:rPr>
                    <m:t>time</m:t>
                  </m:r>
                  <m:ctrlPr>
                    <w:rPr>
                      <w:rFonts w:hint="eastAsia" w:ascii="Cambria Math" w:hAnsi="Cambria Math" w:eastAsia="宋体" w:cs="宋体"/>
                      <w:b w:val="0"/>
                      <w:bCs w:val="0"/>
                      <w:sz w:val="24"/>
                      <w:szCs w:val="24"/>
                    </w:rPr>
                  </m:ctrlPr>
                </m:sub>
              </m:sSub>
            </m:oMath>
            <w:r>
              <w:rPr>
                <w:rFonts w:hint="eastAsia" w:ascii="宋体" w:hAnsi="宋体" w:eastAsia="宋体" w:cs="宋体"/>
                <w:b w:val="0"/>
                <w:bCs w:val="0"/>
                <w:sz w:val="24"/>
                <w:szCs w:val="24"/>
              </w:rPr>
              <w:t>为时段交通因子（早高峰1.5、晚高峰1.4、凌晨0.8）。</w:t>
            </w:r>
          </w:p>
          <w:p w14:paraId="1AD48E3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A*算法核心公式：</w:t>
            </w:r>
          </w:p>
          <w:p w14:paraId="3E3F6931">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w:p>
          <w:p w14:paraId="2B86A679">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sz w:val="24"/>
                <w:szCs w:val="24"/>
              </w:rPr>
            </w:pPr>
            <m:oMathPara>
              <m:oMath>
                <m:r>
                  <m:rPr>
                    <m:sty m:val="p"/>
                  </m:rPr>
                  <w:rPr>
                    <w:rFonts w:hint="eastAsia" w:ascii="Cambria Math" w:hAnsi="Cambria Math" w:eastAsia="宋体" w:cs="宋体"/>
                    <w:sz w:val="24"/>
                    <w:szCs w:val="24"/>
                  </w:rPr>
                  <m:t>f</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n</m:t>
                    </m:r>
                    <m:ctrlPr>
                      <w:rPr>
                        <w:rFonts w:hint="eastAsia" w:ascii="Cambria Math" w:hAnsi="Cambria Math" w:eastAsia="宋体" w:cs="宋体"/>
                        <w:b w:val="0"/>
                        <w:bCs w:val="0"/>
                        <w:sz w:val="24"/>
                        <w:szCs w:val="24"/>
                      </w:rPr>
                    </m:ctrlPr>
                  </m:e>
                </m:d>
                <m:r>
                  <m:rPr>
                    <m:sty m:val="p"/>
                  </m:rPr>
                  <w:rPr>
                    <w:rFonts w:hint="eastAsia" w:ascii="Cambria Math" w:hAnsi="Cambria Math" w:eastAsia="宋体" w:cs="宋体"/>
                    <w:sz w:val="24"/>
                    <w:szCs w:val="24"/>
                  </w:rPr>
                  <m:t>=g</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n</m:t>
                    </m:r>
                    <m:ctrlPr>
                      <w:rPr>
                        <w:rFonts w:hint="eastAsia" w:ascii="Cambria Math" w:hAnsi="Cambria Math" w:eastAsia="宋体" w:cs="宋体"/>
                        <w:b w:val="0"/>
                        <w:bCs w:val="0"/>
                        <w:sz w:val="24"/>
                        <w:szCs w:val="24"/>
                      </w:rPr>
                    </m:ctrlPr>
                  </m:e>
                </m:d>
                <m:r>
                  <m:rPr>
                    <m:sty m:val="p"/>
                  </m:rPr>
                  <w:rPr>
                    <w:rFonts w:hint="eastAsia" w:ascii="Cambria Math" w:hAnsi="Cambria Math" w:eastAsia="宋体" w:cs="宋体"/>
                    <w:sz w:val="24"/>
                    <w:szCs w:val="24"/>
                  </w:rPr>
                  <m:t>+h</m:t>
                </m:r>
                <m:d>
                  <m:dPr>
                    <m:sepChr m:val=""/>
                    <m:ctrlPr>
                      <w:rPr>
                        <w:rFonts w:hint="eastAsia" w:ascii="Cambria Math" w:hAnsi="Cambria Math" w:eastAsia="宋体" w:cs="宋体"/>
                        <w:b w:val="0"/>
                        <w:bCs w:val="0"/>
                        <w:sz w:val="24"/>
                        <w:szCs w:val="24"/>
                      </w:rPr>
                    </m:ctrlPr>
                  </m:dPr>
                  <m:e>
                    <m:r>
                      <m:rPr>
                        <m:sty m:val="p"/>
                      </m:rPr>
                      <w:rPr>
                        <w:rFonts w:hint="eastAsia" w:ascii="Cambria Math" w:hAnsi="Cambria Math" w:eastAsia="宋体" w:cs="宋体"/>
                        <w:sz w:val="24"/>
                        <w:szCs w:val="24"/>
                      </w:rPr>
                      <m:t>n</m:t>
                    </m:r>
                    <m:ctrlPr>
                      <w:rPr>
                        <w:rFonts w:hint="eastAsia" w:ascii="Cambria Math" w:hAnsi="Cambria Math" w:eastAsia="宋体" w:cs="宋体"/>
                        <w:b w:val="0"/>
                        <w:bCs w:val="0"/>
                        <w:sz w:val="24"/>
                        <w:szCs w:val="24"/>
                      </w:rPr>
                    </m:ctrlPr>
                  </m:e>
                </m:d>
              </m:oMath>
            </m:oMathPara>
          </w:p>
          <w:p w14:paraId="26D7D58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其</w:t>
            </w:r>
            <w:r>
              <w:rPr>
                <w:rFonts w:hint="eastAsia" w:ascii="宋体" w:hAnsi="宋体" w:eastAsia="宋体" w:cs="宋体"/>
                <w:b w:val="0"/>
                <w:bCs w:val="0"/>
                <w:sz w:val="24"/>
                <w:szCs w:val="24"/>
              </w:rPr>
              <w:t>中，g(n)为从起点到当前节点的实际代价，h(n)为启发函数估计值。</w:t>
            </w:r>
          </w:p>
          <w:p w14:paraId="7C0B1B4E">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充电曲线拟合模型</w:t>
            </w:r>
          </w:p>
          <w:p w14:paraId="53DB777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针对充电时间估算，系统构建了分段线性充电曲线模型，区分三元锂电池与磷酸铁锂电池两种类型。</w:t>
            </w:r>
          </w:p>
          <w:p w14:paraId="15BFF4C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充电时间估算公式：</w:t>
            </w:r>
          </w:p>
          <w:p w14:paraId="39D95C60">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leftChars="0"/>
              <w:textAlignment w:val="auto"/>
              <w:rPr>
                <w:rFonts w:hint="eastAsia" w:hAnsi="Cambria Math" w:eastAsia="宋体" w:cs="宋体"/>
                <w:b w:val="0"/>
                <w:bCs w:val="0"/>
                <w:i w:val="0"/>
                <w:sz w:val="24"/>
                <w:szCs w:val="24"/>
                <w:lang w:val="en-US" w:eastAsia="zh-CN"/>
              </w:rPr>
            </w:pPr>
            <m:oMathPara>
              <m:oMath>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charge</m:t>
                    </m:r>
                    <m:ctrlPr>
                      <w:rPr>
                        <w:rFonts w:hint="eastAsia" w:ascii="Cambria Math" w:hAnsi="Cambria Math" w:eastAsia="宋体" w:cs="宋体"/>
                        <w:b w:val="0"/>
                        <w:bCs w:val="0"/>
                        <w:sz w:val="24"/>
                        <w:szCs w:val="24"/>
                        <w:lang w:val="en-US" w:eastAsia="zh-CN"/>
                      </w:rPr>
                    </m:ctrlPr>
                  </m:sub>
                </m:sSub>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sz w:val="24"/>
                        <w:szCs w:val="24"/>
                        <w:lang w:val="en-US" w:eastAsia="zh-CN"/>
                      </w:rPr>
                    </m:ctrlPr>
                  </m:fPr>
                  <m:num>
                    <m:d>
                      <m:dPr>
                        <m:sepChr m:val=""/>
                        <m:ctrlPr>
                          <w:rPr>
                            <w:rFonts w:hint="eastAsia" w:ascii="Cambria Math" w:hAnsi="Cambria Math" w:eastAsia="宋体" w:cs="宋体"/>
                            <w:b w:val="0"/>
                            <w:bCs w:val="0"/>
                            <w:sz w:val="24"/>
                            <w:szCs w:val="24"/>
                            <w:lang w:val="en-US" w:eastAsia="zh-CN"/>
                          </w:rPr>
                        </m:ctrlPr>
                      </m:dPr>
                      <m:e>
                        <m:sSub>
                          <m:sSubPr>
                            <m:ctrlPr>
                              <w:rPr>
                                <w:rFonts w:hint="eastAsia" w:ascii="Cambria Math" w:hAnsi="Cambria Math" w:eastAsia="宋体" w:cs="宋体"/>
                                <w:b w:val="0"/>
                                <w:bCs w:val="0"/>
                                <w:sz w:val="24"/>
                                <w:szCs w:val="24"/>
                                <w:lang w:val="en-US" w:eastAsia="zh-CN"/>
                              </w:rPr>
                            </m:ctrlPr>
                          </m:sSubPr>
                          <m:e>
                            <m:r>
                              <m:rPr>
                                <m:nor/>
                                <m:sty m:val="p"/>
                              </m:rPr>
                              <w:rPr>
                                <w:rFonts w:hint="eastAsia" w:ascii="Cambria Math" w:hAnsi="Cambria Math" w:eastAsia="宋体" w:cs="宋体"/>
                                <w:b w:val="0"/>
                                <w:bCs w:val="0"/>
                                <w:i w:val="0"/>
                                <w:sz w:val="24"/>
                                <w:szCs w:val="24"/>
                                <w:lang w:val="en-US" w:eastAsia="zh-CN"/>
                              </w:rPr>
                              <m:t>SOC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target</m:t>
                            </m:r>
                            <m:ctrlPr>
                              <w:rPr>
                                <w:rFonts w:hint="eastAsia" w:ascii="Cambria Math" w:hAnsi="Cambria Math" w:eastAsia="宋体" w:cs="宋体"/>
                                <w:b w:val="0"/>
                                <w:bCs w:val="0"/>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sz w:val="24"/>
                                <w:szCs w:val="24"/>
                                <w:lang w:val="en-US" w:eastAsia="zh-CN"/>
                              </w:rPr>
                            </m:ctrlPr>
                          </m:sSubPr>
                          <m:e>
                            <m:r>
                              <m:rPr>
                                <m:nor/>
                                <m:sty m:val="p"/>
                              </m:rPr>
                              <w:rPr>
                                <w:rFonts w:hint="eastAsia" w:ascii="Cambria Math" w:hAnsi="Cambria Math" w:eastAsia="宋体" w:cs="宋体"/>
                                <w:b w:val="0"/>
                                <w:bCs w:val="0"/>
                                <w:i w:val="0"/>
                                <w:sz w:val="24"/>
                                <w:szCs w:val="24"/>
                                <w:lang w:val="en-US" w:eastAsia="zh-CN"/>
                              </w:rPr>
                              <m:t>SOC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current</m:t>
                            </m:r>
                            <m:ctrlPr>
                              <w:rPr>
                                <w:rFonts w:hint="eastAsia" w:ascii="Cambria Math" w:hAnsi="Cambria Math" w:eastAsia="宋体" w:cs="宋体"/>
                                <w:b w:val="0"/>
                                <w:bCs w:val="0"/>
                                <w:sz w:val="24"/>
                                <w:szCs w:val="24"/>
                                <w:lang w:val="en-US" w:eastAsia="zh-CN"/>
                              </w:rPr>
                            </m:ctrlPr>
                          </m:sub>
                        </m:sSub>
                        <m:ctrlPr>
                          <w:rPr>
                            <w:rFonts w:hint="eastAsia" w:ascii="Cambria Math" w:hAnsi="Cambria Math" w:eastAsia="宋体" w:cs="宋体"/>
                            <w:b w:val="0"/>
                            <w:bCs w:val="0"/>
                            <w:sz w:val="24"/>
                            <w:szCs w:val="24"/>
                            <w:lang w:val="en-US" w:eastAsia="zh-CN"/>
                          </w:rPr>
                        </m:ctrlPr>
                      </m:e>
                    </m:d>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battery</m:t>
                        </m:r>
                        <m:ctrlPr>
                          <w:rPr>
                            <w:rFonts w:hint="eastAsia" w:ascii="Cambria Math" w:hAnsi="Cambria Math" w:eastAsia="宋体" w:cs="宋体"/>
                            <w:b w:val="0"/>
                            <w:bCs w:val="0"/>
                            <w:sz w:val="24"/>
                            <w:szCs w:val="24"/>
                            <w:lang w:val="en-US" w:eastAsia="zh-CN"/>
                          </w:rPr>
                        </m:ctrlPr>
                      </m:sub>
                    </m:sSub>
                    <m:ctrlPr>
                      <w:rPr>
                        <w:rFonts w:hint="eastAsia" w:ascii="Cambria Math" w:hAnsi="Cambria Math" w:eastAsia="宋体" w:cs="宋体"/>
                        <w:b w:val="0"/>
                        <w:bCs w:val="0"/>
                        <w:sz w:val="24"/>
                        <w:szCs w:val="24"/>
                        <w:lang w:val="en-US" w:eastAsia="zh-CN"/>
                      </w:rPr>
                    </m:ctrlPr>
                  </m:num>
                  <m:den>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effective</m:t>
                        </m:r>
                        <m:ctrlPr>
                          <w:rPr>
                            <w:rFonts w:hint="eastAsia" w:ascii="Cambria Math" w:hAnsi="Cambria Math" w:eastAsia="宋体" w:cs="宋体"/>
                            <w:b w:val="0"/>
                            <w:bCs w:val="0"/>
                            <w:sz w:val="24"/>
                            <w:szCs w:val="24"/>
                            <w:lang w:val="en-US" w:eastAsia="zh-CN"/>
                          </w:rPr>
                        </m:ctrlPr>
                      </m:sub>
                    </m:sSub>
                    <m:r>
                      <m:rPr>
                        <m:sty m:val="p"/>
                      </m:rPr>
                      <w:rPr>
                        <w:rFonts w:hint="eastAsia" w:ascii="Cambria Math" w:hAnsi="Cambria Math" w:eastAsia="宋体" w:cs="宋体"/>
                        <w:sz w:val="24"/>
                        <w:szCs w:val="24"/>
                        <w:lang w:val="en-US" w:eastAsia="zh-CN"/>
                      </w:rPr>
                      <m:t>×η</m:t>
                    </m:r>
                    <m:ctrlPr>
                      <w:rPr>
                        <w:rFonts w:hint="eastAsia" w:ascii="Cambria Math" w:hAnsi="Cambria Math" w:eastAsia="宋体" w:cs="宋体"/>
                        <w:b w:val="0"/>
                        <w:bCs w:val="0"/>
                        <w:sz w:val="24"/>
                        <w:szCs w:val="24"/>
                        <w:lang w:val="en-US" w:eastAsia="zh-CN"/>
                      </w:rPr>
                    </m:ctrlPr>
                  </m:den>
                </m:f>
              </m:oMath>
            </m:oMathPara>
          </w:p>
          <w:p w14:paraId="3C4367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hAnsi="Cambria Math" w:eastAsia="宋体" w:cs="宋体"/>
                <w:b w:val="0"/>
                <w:bCs w:val="0"/>
                <w:i w:val="0"/>
                <w:sz w:val="24"/>
                <w:szCs w:val="24"/>
                <w:lang w:val="en-US" w:eastAsia="zh-CN"/>
              </w:rPr>
            </w:pPr>
            <w:r>
              <w:rPr>
                <w:rFonts w:hint="eastAsia" w:hAnsi="Cambria Math" w:eastAsia="宋体" w:cs="宋体"/>
                <w:b w:val="0"/>
                <w:bCs w:val="0"/>
                <w:i w:val="0"/>
                <w:sz w:val="24"/>
                <w:szCs w:val="24"/>
                <w:lang w:val="en-US" w:eastAsia="zh-CN"/>
              </w:rPr>
              <w:drawing>
                <wp:inline distT="0" distB="0" distL="114300" distR="114300">
                  <wp:extent cx="4965700" cy="2988310"/>
                  <wp:effectExtent l="0" t="0" r="2540" b="13970"/>
                  <wp:docPr id="13" name="图片 13"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图片(1)"/>
                          <pic:cNvPicPr>
                            <a:picLocks noChangeAspect="1"/>
                          </pic:cNvPicPr>
                        </pic:nvPicPr>
                        <pic:blipFill>
                          <a:blip r:embed="rId21"/>
                          <a:stretch>
                            <a:fillRect/>
                          </a:stretch>
                        </pic:blipFill>
                        <pic:spPr>
                          <a:xfrm>
                            <a:off x="0" y="0"/>
                            <a:ext cx="4965700" cy="2988310"/>
                          </a:xfrm>
                          <a:prstGeom prst="rect">
                            <a:avLst/>
                          </a:prstGeom>
                        </pic:spPr>
                      </pic:pic>
                    </a:graphicData>
                  </a:graphic>
                </wp:inline>
              </w:drawing>
            </w:r>
          </w:p>
          <w:p w14:paraId="72690D4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b w:val="0"/>
                <w:bCs w:val="0"/>
                <w:i w:val="0"/>
                <w:sz w:val="18"/>
                <w:szCs w:val="18"/>
                <w:lang w:val="en-US" w:eastAsia="zh-CN"/>
              </w:rPr>
            </w:pPr>
            <w:r>
              <w:rPr>
                <w:rFonts w:hint="eastAsia" w:ascii="宋体" w:hAnsi="宋体" w:eastAsia="宋体" w:cs="宋体"/>
                <w:b w:val="0"/>
                <w:bCs w:val="0"/>
                <w:i w:val="0"/>
                <w:sz w:val="18"/>
                <w:szCs w:val="18"/>
                <w:lang w:val="en-US" w:eastAsia="zh-CN"/>
              </w:rPr>
              <w:t>图8：</w:t>
            </w:r>
            <w:r>
              <w:rPr>
                <w:rFonts w:hint="eastAsia" w:ascii="宋体" w:hAnsi="宋体" w:eastAsia="宋体" w:cs="宋体"/>
                <w:b w:val="0"/>
                <w:bCs w:val="0"/>
                <w:sz w:val="18"/>
                <w:szCs w:val="18"/>
                <w:lang w:val="en-US" w:eastAsia="zh-CN"/>
              </w:rPr>
              <w:t>充电时间估算模型图</w:t>
            </w:r>
          </w:p>
          <w:p w14:paraId="3C8D463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其中，SOC为荷电状态（%），</w:t>
            </w:r>
            <m:oMath>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battery</m:t>
                  </m:r>
                  <m:ctrlPr>
                    <w:rPr>
                      <w:rFonts w:hint="eastAsia" w:ascii="Cambria Math" w:hAnsi="Cambria Math" w:eastAsia="宋体" w:cs="宋体"/>
                      <w:b w:val="0"/>
                      <w:bCs w:val="0"/>
                      <w:sz w:val="24"/>
                      <w:szCs w:val="24"/>
                      <w:lang w:val="en-US" w:eastAsia="zh-CN"/>
                    </w:rPr>
                  </m:ctrlPr>
                </m:sub>
              </m:sSub>
            </m:oMath>
            <w:r>
              <w:rPr>
                <w:rFonts w:hint="eastAsia" w:ascii="宋体" w:hAnsi="宋体" w:eastAsia="宋体" w:cs="宋体"/>
                <w:b w:val="0"/>
                <w:bCs w:val="0"/>
                <w:sz w:val="24"/>
                <w:szCs w:val="24"/>
                <w:lang w:val="en-US" w:eastAsia="zh-CN"/>
              </w:rPr>
              <w:t>电池容量（kWh），</w:t>
            </w:r>
            <m:oMath>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effective</m:t>
                  </m:r>
                  <m:ctrlPr>
                    <w:rPr>
                      <w:rFonts w:hint="eastAsia" w:ascii="Cambria Math" w:hAnsi="Cambria Math" w:eastAsia="宋体" w:cs="宋体"/>
                      <w:b w:val="0"/>
                      <w:bCs w:val="0"/>
                      <w:sz w:val="24"/>
                      <w:szCs w:val="24"/>
                      <w:lang w:val="en-US" w:eastAsia="zh-CN"/>
                    </w:rPr>
                  </m:ctrlPr>
                </m:sub>
              </m:sSub>
              <m:r>
                <m:rPr>
                  <m:sty m:val="p"/>
                </m:rPr>
                <w:rPr>
                  <w:rFonts w:hint="eastAsia" w:ascii="Cambria Math" w:hAnsi="Cambria Math" w:eastAsia="宋体" w:cs="宋体"/>
                  <w:sz w:val="24"/>
                  <w:szCs w:val="24"/>
                  <w:lang w:val="en-US" w:eastAsia="zh-CN"/>
                </w:rPr>
                <m:t>=0.8×</m:t>
              </m:r>
              <m:sSub>
                <m:sSubPr>
                  <m:ctrlPr>
                    <w:rPr>
                      <w:rFonts w:hint="eastAsia" w:ascii="Cambria Math" w:hAnsi="Cambria Math" w:eastAsia="宋体" w:cs="宋体"/>
                      <w:b w:val="0"/>
                      <w:bCs w:val="0"/>
                      <w:sz w:val="24"/>
                      <w:szCs w:val="24"/>
                      <w:lang w:val="en-US" w:eastAsia="zh-CN"/>
                    </w:rPr>
                  </m:ctrlPr>
                </m:sSubPr>
                <m:e>
                  <m:r>
                    <m:rPr>
                      <m:sty m:val="p"/>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rated</m:t>
                  </m:r>
                  <m:ctrlPr>
                    <w:rPr>
                      <w:rFonts w:hint="eastAsia" w:ascii="Cambria Math" w:hAnsi="Cambria Math" w:eastAsia="宋体" w:cs="宋体"/>
                      <w:b w:val="0"/>
                      <w:bCs w:val="0"/>
                      <w:sz w:val="24"/>
                      <w:szCs w:val="24"/>
                      <w:lang w:val="en-US" w:eastAsia="zh-CN"/>
                    </w:rPr>
                  </m:ctrlPr>
                </m:sub>
              </m:sSub>
            </m:oMath>
            <w:r>
              <w:rPr>
                <w:rFonts w:hint="eastAsia" w:ascii="宋体" w:hAnsi="宋体" w:eastAsia="宋体" w:cs="宋体"/>
                <w:b w:val="0"/>
                <w:bCs w:val="0"/>
                <w:sz w:val="24"/>
                <w:szCs w:val="24"/>
                <w:lang w:val="en-US" w:eastAsia="zh-CN"/>
              </w:rPr>
              <w:t>有效充电功率（考虑充电曲线平均效率80%），η为充电效率修正系数。</w:t>
            </w:r>
          </w:p>
          <w:p w14:paraId="08DA724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模型考虑充电初期峰值功率（100%）、中期恒流阶段（65-80%）、后期涓流阶段（15-25%）的功率衰减特性，精确计算从当前电量充至目标电量的所需时间。</w:t>
            </w:r>
          </w:p>
          <w:p w14:paraId="024150FD">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0" w:leftChars="0" w:firstLine="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可达性判断算法</w:t>
            </w:r>
          </w:p>
          <w:p w14:paraId="3A44429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基于车辆当前SOC、电池容量、能耗参数计算有效续航里程，结合Haversine球面距离判定目标充电站是否可达。</w:t>
            </w:r>
          </w:p>
          <w:p w14:paraId="75E0F6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可达性判断公式：</w:t>
            </w:r>
          </w:p>
          <w:p w14:paraId="0D963DE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b w:val="0"/>
                <w:bCs w:val="0"/>
                <w:sz w:val="24"/>
                <w:szCs w:val="24"/>
                <w:lang w:val="en-US" w:eastAsia="zh-CN"/>
              </w:rPr>
            </w:pPr>
          </w:p>
          <w:p w14:paraId="7818702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b w:val="0"/>
                <w:bCs w:val="0"/>
                <w:sz w:val="24"/>
                <w:szCs w:val="24"/>
                <w:lang w:val="en-US" w:eastAsia="zh-CN"/>
              </w:rPr>
            </w:pPr>
            <m:oMathPara>
              <m:oMath>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safe</m:t>
                    </m:r>
                    <m:ctrlPr>
                      <w:rPr>
                        <w:rFonts w:hint="eastAsia" w:ascii="Cambria Math" w:hAnsi="Cambria Math" w:eastAsia="宋体" w:cs="宋体"/>
                        <w:b w:val="0"/>
                        <w:bCs w:val="0"/>
                        <w:sz w:val="24"/>
                        <w:szCs w:val="24"/>
                        <w:lang w:val="en-US" w:eastAsia="zh-CN"/>
                      </w:rPr>
                    </m:ctrlPr>
                  </m:sub>
                </m:sSub>
                <m:r>
                  <m:rPr>
                    <m:sty m:val="p"/>
                  </m:rPr>
                  <w:rPr>
                    <w:rFonts w:hint="default" w:ascii="Cambria Math" w:hAnsi="Cambria Math" w:eastAsia="宋体" w:cs="宋体"/>
                    <w:sz w:val="24"/>
                    <w:szCs w:val="24"/>
                    <w:lang w:val="en-US" w:eastAsia="zh-CN"/>
                  </w:rPr>
                  <m:t>=0.7×</m:t>
                </m:r>
                <m:f>
                  <m:fPr>
                    <m:ctrlPr>
                      <w:rPr>
                        <w:rFonts w:hint="eastAsia" w:ascii="Cambria Math" w:hAnsi="Cambria Math" w:eastAsia="宋体" w:cs="宋体"/>
                        <w:b w:val="0"/>
                        <w:bCs w:val="0"/>
                        <w:sz w:val="24"/>
                        <w:szCs w:val="24"/>
                        <w:lang w:val="en-US" w:eastAsia="zh-CN"/>
                      </w:rPr>
                    </m:ctrlPr>
                  </m:fPr>
                  <m:num>
                    <m:sSub>
                      <m:sSubPr>
                        <m:ctrlPr>
                          <w:rPr>
                            <w:rFonts w:hint="eastAsia" w:ascii="Cambria Math" w:hAnsi="Cambria Math" w:eastAsia="宋体" w:cs="宋体"/>
                            <w:b w:val="0"/>
                            <w:bCs w:val="0"/>
                            <w:sz w:val="24"/>
                            <w:szCs w:val="24"/>
                            <w:lang w:val="en-US" w:eastAsia="zh-CN"/>
                          </w:rPr>
                        </m:ctrlPr>
                      </m:sSubPr>
                      <m:e>
                        <m:r>
                          <m:rPr>
                            <m:nor/>
                            <m:sty m:val="p"/>
                          </m:rPr>
                          <w:rPr>
                            <w:rFonts w:hint="eastAsia" w:ascii="Cambria Math" w:hAnsi="Cambria Math" w:eastAsia="宋体" w:cs="宋体"/>
                            <w:b w:val="0"/>
                            <w:bCs w:val="0"/>
                            <w:i w:val="0"/>
                            <w:sz w:val="24"/>
                            <w:szCs w:val="24"/>
                            <w:lang w:val="en-US" w:eastAsia="zh-CN"/>
                          </w:rPr>
                          <m:t>SOC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current</m:t>
                        </m:r>
                        <m:ctrlPr>
                          <w:rPr>
                            <w:rFonts w:hint="eastAsia" w:ascii="Cambria Math" w:hAnsi="Cambria Math" w:eastAsia="宋体" w:cs="宋体"/>
                            <w:b w:val="0"/>
                            <w:bCs w:val="0"/>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C</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battery</m:t>
                        </m:r>
                        <m:ctrlPr>
                          <w:rPr>
                            <w:rFonts w:hint="eastAsia" w:ascii="Cambria Math" w:hAnsi="Cambria Math" w:eastAsia="宋体" w:cs="宋体"/>
                            <w:b w:val="0"/>
                            <w:bCs w:val="0"/>
                            <w:sz w:val="24"/>
                            <w:szCs w:val="24"/>
                            <w:lang w:val="en-US" w:eastAsia="zh-CN"/>
                          </w:rPr>
                        </m:ctrlPr>
                      </m:sub>
                    </m:sSub>
                    <m:ctrlPr>
                      <w:rPr>
                        <w:rFonts w:hint="eastAsia" w:ascii="Cambria Math" w:hAnsi="Cambria Math" w:eastAsia="宋体" w:cs="宋体"/>
                        <w:b w:val="0"/>
                        <w:bCs w:val="0"/>
                        <w:sz w:val="24"/>
                        <w:szCs w:val="24"/>
                        <w:lang w:val="en-US" w:eastAsia="zh-CN"/>
                      </w:rPr>
                    </m:ctrlPr>
                  </m:num>
                  <m:den>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consumption</m:t>
                        </m:r>
                        <m:ctrlPr>
                          <w:rPr>
                            <w:rFonts w:hint="eastAsia" w:ascii="Cambria Math" w:hAnsi="Cambria Math" w:eastAsia="宋体" w:cs="宋体"/>
                            <w:b w:val="0"/>
                            <w:bCs w:val="0"/>
                            <w:sz w:val="24"/>
                            <w:szCs w:val="24"/>
                            <w:lang w:val="en-US" w:eastAsia="zh-CN"/>
                          </w:rPr>
                        </m:ctrlPr>
                      </m:sub>
                    </m:sSub>
                    <m:r>
                      <m:rPr>
                        <m:sty m:val="p"/>
                      </m:rPr>
                      <w:rPr>
                        <w:rFonts w:hint="default" w:ascii="Cambria Math" w:hAnsi="Cambria Math" w:eastAsia="宋体" w:cs="宋体"/>
                        <w:sz w:val="24"/>
                        <w:szCs w:val="24"/>
                        <w:lang w:val="en-US" w:eastAsia="zh-CN"/>
                      </w:rPr>
                      <m:t>×λ</m:t>
                    </m:r>
                    <m:ctrlPr>
                      <w:rPr>
                        <w:rFonts w:hint="eastAsia" w:ascii="Cambria Math" w:hAnsi="Cambria Math" w:eastAsia="宋体" w:cs="宋体"/>
                        <w:b w:val="0"/>
                        <w:bCs w:val="0"/>
                        <w:sz w:val="24"/>
                        <w:szCs w:val="24"/>
                        <w:lang w:val="en-US" w:eastAsia="zh-CN"/>
                      </w:rPr>
                    </m:ctrlPr>
                  </m:den>
                </m:f>
              </m:oMath>
            </m:oMathPara>
          </w:p>
          <w:p w14:paraId="7B56016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b w:val="0"/>
                <w:bCs w:val="0"/>
                <w:sz w:val="24"/>
                <w:szCs w:val="24"/>
                <w:lang w:val="en-US" w:eastAsia="zh-CN"/>
              </w:rPr>
            </w:pPr>
          </w:p>
          <w:p w14:paraId="70F5FBA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textAlignment w:val="auto"/>
              <w:rPr>
                <w:rFonts w:hint="eastAsia" w:hAnsi="Cambria Math" w:eastAsia="宋体" w:cs="宋体"/>
                <w:b w:val="0"/>
                <w:bCs w:val="0"/>
                <w:i w:val="0"/>
                <w:sz w:val="24"/>
                <w:szCs w:val="24"/>
                <w:lang w:val="en-US" w:eastAsia="zh-CN"/>
              </w:rPr>
            </w:pPr>
            <m:oMathPara>
              <m:oMath>
                <m:r>
                  <m:rPr>
                    <m:nor/>
                    <m:sty m:val="p"/>
                  </m:rPr>
                  <w:rPr>
                    <w:rFonts w:hint="eastAsia" w:ascii="Cambria Math" w:hAnsi="Cambria Math" w:eastAsia="宋体" w:cs="宋体"/>
                    <w:b w:val="0"/>
                    <w:bCs w:val="0"/>
                    <w:i w:val="0"/>
                    <w:sz w:val="24"/>
                    <w:szCs w:val="24"/>
                    <w:lang w:val="en-US" w:eastAsia="zh-CN"/>
                  </w:rPr>
                  <m:t>可达性=</m:t>
                </m:r>
                <m:d>
                  <m:dPr>
                    <m:begChr m:val="{"/>
                    <m:sepChr m:val=""/>
                    <m:endChr m:val=""/>
                    <m:ctrlPr>
                      <w:rPr>
                        <w:rFonts w:hint="eastAsia" w:ascii="Cambria Math" w:hAnsi="Cambria Math" w:eastAsia="宋体" w:cs="宋体"/>
                        <w:b w:val="0"/>
                        <w:bCs w:val="0"/>
                        <w:sz w:val="24"/>
                        <w:szCs w:val="24"/>
                        <w:lang w:val="en-US" w:eastAsia="zh-CN"/>
                      </w:rPr>
                    </m:ctrlPr>
                  </m:dPr>
                  <m:e>
                    <m:m>
                      <m:mPr>
                        <m:mcs>
                          <m:mc>
                            <m:mcPr>
                              <m:count m:val="2"/>
                              <m:mcJc m:val="left"/>
                            </m:mcPr>
                          </m:mc>
                        </m:mcs>
                        <m:plcHide m:val="1"/>
                        <m:ctrlPr>
                          <w:rPr>
                            <w:rFonts w:hint="eastAsia" w:ascii="Cambria Math" w:hAnsi="Cambria Math" w:eastAsia="宋体" w:cs="宋体"/>
                            <w:b w:val="0"/>
                            <w:bCs w:val="0"/>
                            <w:sz w:val="24"/>
                            <w:szCs w:val="24"/>
                            <w:lang w:val="en-US" w:eastAsia="zh-CN"/>
                          </w:rPr>
                        </m:ctrlPr>
                      </m:mPr>
                      <m:mr>
                        <m:e>
                          <m:r>
                            <m:rPr>
                              <m:nor/>
                              <m:sty m:val="p"/>
                            </m:rPr>
                            <w:rPr>
                              <w:rFonts w:hint="eastAsia" w:ascii="Cambria Math" w:hAnsi="Cambria Math" w:eastAsia="宋体" w:cs="宋体"/>
                              <w:b w:val="0"/>
                              <w:bCs w:val="0"/>
                              <w:i w:val="0"/>
                              <w:sz w:val="24"/>
                              <w:szCs w:val="24"/>
                              <w:lang w:val="en-US" w:eastAsia="zh-CN"/>
                            </w:rPr>
                            <m:t>可达</m:t>
                          </m:r>
                          <m:ctrlPr>
                            <w:rPr>
                              <w:rFonts w:hint="eastAsia" w:ascii="Cambria Math" w:hAnsi="Cambria Math" w:eastAsia="宋体" w:cs="宋体"/>
                              <w:b w:val="0"/>
                              <w:bCs w:val="0"/>
                              <w:sz w:val="24"/>
                              <w:szCs w:val="24"/>
                              <w:lang w:val="en-US" w:eastAsia="zh-CN"/>
                            </w:rPr>
                          </m:ctrlPr>
                        </m:e>
                        <m:e>
                          <m:r>
                            <m:rPr>
                              <m:nor/>
                              <m:sty m:val="p"/>
                            </m:rPr>
                            <w:rPr>
                              <w:rFonts w:hint="eastAsia" w:ascii="Cambria Math" w:hAnsi="Cambria Math" w:eastAsia="宋体" w:cs="宋体"/>
                              <w:b w:val="0"/>
                              <w:bCs w:val="0"/>
                              <w:i w:val="0"/>
                              <w:sz w:val="24"/>
                              <w:szCs w:val="24"/>
                              <w:lang w:val="en-US" w:eastAsia="zh-CN"/>
                            </w:rPr>
                            <m:t>if</m:t>
                          </m:r>
                          <m:r>
                            <m:rPr>
                              <m:sty m:val="p"/>
                            </m:rPr>
                            <w:rPr>
                              <w:rFonts w:hint="default" w:ascii="Cambria Math" w:hAnsi="Cambria Math" w:eastAsia="宋体" w:cs="宋体"/>
                              <w:sz w:val="24"/>
                              <w:szCs w:val="24"/>
                              <w:lang w:val="en-US" w:eastAsia="zh-CN"/>
                            </w:rPr>
                            <m:t>d≤</m:t>
                          </m:r>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safe</m:t>
                              </m:r>
                              <m:ctrlPr>
                                <w:rPr>
                                  <w:rFonts w:hint="eastAsia" w:ascii="Cambria Math" w:hAnsi="Cambria Math" w:eastAsia="宋体" w:cs="宋体"/>
                                  <w:b w:val="0"/>
                                  <w:bCs w:val="0"/>
                                  <w:sz w:val="24"/>
                                  <w:szCs w:val="24"/>
                                  <w:lang w:val="en-US" w:eastAsia="zh-CN"/>
                                </w:rPr>
                              </m:ctrlPr>
                            </m:sub>
                          </m:sSub>
                          <m:ctrlPr>
                            <w:rPr>
                              <w:rFonts w:hint="eastAsia" w:ascii="Cambria Math" w:hAnsi="Cambria Math" w:eastAsia="宋体" w:cs="宋体"/>
                              <w:b w:val="0"/>
                              <w:bCs w:val="0"/>
                              <w:sz w:val="24"/>
                              <w:szCs w:val="24"/>
                              <w:lang w:val="en-US" w:eastAsia="zh-CN"/>
                            </w:rPr>
                          </m:ctrlPr>
                        </m:e>
                      </m:mr>
                      <m:mr>
                        <m:e>
                          <m:r>
                            <m:rPr>
                              <m:nor/>
                              <m:sty m:val="p"/>
                            </m:rPr>
                            <w:rPr>
                              <w:rFonts w:hint="eastAsia" w:ascii="Cambria Math" w:hAnsi="Cambria Math" w:eastAsia="宋体" w:cs="宋体"/>
                              <w:b w:val="0"/>
                              <w:bCs w:val="0"/>
                              <w:i w:val="0"/>
                              <w:sz w:val="24"/>
                              <w:szCs w:val="24"/>
                              <w:lang w:val="en-US" w:eastAsia="zh-CN"/>
                            </w:rPr>
                            <m:t>不可达</m:t>
                          </m:r>
                          <m:ctrlPr>
                            <w:rPr>
                              <w:rFonts w:hint="eastAsia" w:ascii="Cambria Math" w:hAnsi="Cambria Math" w:eastAsia="宋体" w:cs="宋体"/>
                              <w:b w:val="0"/>
                              <w:bCs w:val="0"/>
                              <w:sz w:val="24"/>
                              <w:szCs w:val="24"/>
                              <w:lang w:val="en-US" w:eastAsia="zh-CN"/>
                            </w:rPr>
                          </m:ctrlPr>
                        </m:e>
                        <m:e>
                          <m:r>
                            <m:rPr>
                              <m:nor/>
                              <m:sty m:val="p"/>
                            </m:rPr>
                            <w:rPr>
                              <w:rFonts w:hint="eastAsia" w:ascii="Cambria Math" w:hAnsi="Cambria Math" w:eastAsia="宋体" w:cs="宋体"/>
                              <w:b w:val="0"/>
                              <w:bCs w:val="0"/>
                              <w:i w:val="0"/>
                              <w:sz w:val="24"/>
                              <w:szCs w:val="24"/>
                              <w:lang w:val="en-US" w:eastAsia="zh-CN"/>
                            </w:rPr>
                            <m:t>if</m:t>
                          </m:r>
                          <m:r>
                            <m:rPr>
                              <m:sty m:val="p"/>
                            </m:rPr>
                            <w:rPr>
                              <w:rFonts w:hint="default" w:ascii="Cambria Math" w:hAnsi="Cambria Math" w:eastAsia="宋体" w:cs="宋体"/>
                              <w:sz w:val="24"/>
                              <w:szCs w:val="24"/>
                              <w:lang w:val="en-US" w:eastAsia="zh-CN"/>
                            </w:rPr>
                            <m:t>d&gt;</m:t>
                          </m:r>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safe</m:t>
                              </m:r>
                              <m:ctrlPr>
                                <w:rPr>
                                  <w:rFonts w:hint="eastAsia" w:ascii="Cambria Math" w:hAnsi="Cambria Math" w:eastAsia="宋体" w:cs="宋体"/>
                                  <w:b w:val="0"/>
                                  <w:bCs w:val="0"/>
                                  <w:sz w:val="24"/>
                                  <w:szCs w:val="24"/>
                                  <w:lang w:val="en-US" w:eastAsia="zh-CN"/>
                                </w:rPr>
                              </m:ctrlPr>
                            </m:sub>
                          </m:sSub>
                          <m:ctrlPr>
                            <w:rPr>
                              <w:rFonts w:hint="eastAsia" w:ascii="Cambria Math" w:hAnsi="Cambria Math" w:eastAsia="宋体" w:cs="宋体"/>
                              <w:b w:val="0"/>
                              <w:bCs w:val="0"/>
                              <w:sz w:val="24"/>
                              <w:szCs w:val="24"/>
                              <w:lang w:val="en-US" w:eastAsia="zh-CN"/>
                            </w:rPr>
                          </m:ctrlPr>
                        </m:e>
                      </m:mr>
                    </m:m>
                    <m:ctrlPr>
                      <w:rPr>
                        <w:rFonts w:hint="eastAsia" w:ascii="Cambria Math" w:hAnsi="Cambria Math" w:eastAsia="宋体" w:cs="宋体"/>
                        <w:b w:val="0"/>
                        <w:bCs w:val="0"/>
                        <w:sz w:val="24"/>
                        <w:szCs w:val="24"/>
                        <w:lang w:val="en-US" w:eastAsia="zh-CN"/>
                      </w:rPr>
                    </m:ctrlPr>
                  </m:e>
                </m:d>
              </m:oMath>
            </m:oMathPara>
          </w:p>
          <w:p w14:paraId="76AB486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hAnsi="Cambria Math" w:eastAsia="宋体" w:cs="宋体"/>
                <w:b w:val="0"/>
                <w:bCs w:val="0"/>
                <w:i w:val="0"/>
                <w:sz w:val="24"/>
                <w:szCs w:val="24"/>
                <w:lang w:val="en-US" w:eastAsia="zh-CN"/>
              </w:rPr>
            </w:pPr>
            <w:r>
              <w:rPr>
                <w:rFonts w:hint="eastAsia" w:hAnsi="Cambria Math" w:eastAsia="宋体" w:cs="宋体"/>
                <w:b w:val="0"/>
                <w:bCs w:val="0"/>
                <w:i w:val="0"/>
                <w:sz w:val="24"/>
                <w:szCs w:val="24"/>
                <w:lang w:val="en-US" w:eastAsia="zh-CN"/>
              </w:rPr>
              <w:drawing>
                <wp:inline distT="0" distB="0" distL="114300" distR="114300">
                  <wp:extent cx="5245100" cy="2592070"/>
                  <wp:effectExtent l="0" t="0" r="12700" b="1397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22"/>
                          <a:stretch>
                            <a:fillRect/>
                          </a:stretch>
                        </pic:blipFill>
                        <pic:spPr>
                          <a:xfrm>
                            <a:off x="0" y="0"/>
                            <a:ext cx="5245100" cy="2592070"/>
                          </a:xfrm>
                          <a:prstGeom prst="rect">
                            <a:avLst/>
                          </a:prstGeom>
                        </pic:spPr>
                      </pic:pic>
                    </a:graphicData>
                  </a:graphic>
                </wp:inline>
              </w:drawing>
            </w:r>
          </w:p>
          <w:p w14:paraId="03C2786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b w:val="0"/>
                <w:bCs w:val="0"/>
                <w:i w:val="0"/>
                <w:sz w:val="18"/>
                <w:szCs w:val="18"/>
                <w:lang w:val="en-US" w:eastAsia="zh-CN"/>
              </w:rPr>
            </w:pPr>
            <w:r>
              <w:rPr>
                <w:rFonts w:hint="eastAsia" w:ascii="宋体" w:hAnsi="宋体" w:eastAsia="宋体" w:cs="宋体"/>
                <w:b w:val="0"/>
                <w:bCs w:val="0"/>
                <w:i w:val="0"/>
                <w:sz w:val="18"/>
                <w:szCs w:val="18"/>
                <w:lang w:val="en-US" w:eastAsia="zh-CN"/>
              </w:rPr>
              <w:t>图9：</w:t>
            </w:r>
            <w:r>
              <w:rPr>
                <w:rFonts w:hint="eastAsia" w:ascii="宋体" w:hAnsi="宋体" w:eastAsia="宋体" w:cs="宋体"/>
                <w:b w:val="0"/>
                <w:bCs w:val="0"/>
                <w:sz w:val="18"/>
                <w:szCs w:val="18"/>
                <w:lang w:val="en-US" w:eastAsia="zh-CN"/>
              </w:rPr>
              <w:t>可达性判断模型图</w:t>
            </w:r>
          </w:p>
          <w:p w14:paraId="71336FC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w:t>
            </w:r>
            <m:oMath>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safe</m:t>
                  </m:r>
                  <m:ctrlPr>
                    <w:rPr>
                      <w:rFonts w:hint="eastAsia" w:ascii="Cambria Math" w:hAnsi="Cambria Math" w:eastAsia="宋体" w:cs="宋体"/>
                      <w:b w:val="0"/>
                      <w:bCs w:val="0"/>
                      <w:sz w:val="24"/>
                      <w:szCs w:val="24"/>
                      <w:lang w:val="en-US" w:eastAsia="zh-CN"/>
                    </w:rPr>
                  </m:ctrlPr>
                </m:sub>
              </m:sSub>
            </m:oMath>
            <w:r>
              <w:rPr>
                <w:rFonts w:hint="eastAsia" w:ascii="宋体" w:hAnsi="宋体" w:eastAsia="宋体" w:cs="宋体"/>
                <w:b w:val="0"/>
                <w:bCs w:val="0"/>
                <w:sz w:val="24"/>
                <w:szCs w:val="24"/>
                <w:lang w:val="en-US" w:eastAsia="zh-CN"/>
              </w:rPr>
              <w:t>为安全续航里程（保留30%电量缓冲），</w:t>
            </w:r>
            <m:oMath>
              <m:sSub>
                <m:sSubPr>
                  <m:ctrlPr>
                    <w:rPr>
                      <w:rFonts w:hint="eastAsia" w:ascii="Cambria Math" w:hAnsi="Cambria Math" w:eastAsia="宋体" w:cs="宋体"/>
                      <w:b w:val="0"/>
                      <w:bCs w:val="0"/>
                      <w:sz w:val="24"/>
                      <w:szCs w:val="24"/>
                      <w:lang w:val="en-US" w:eastAsia="zh-CN"/>
                    </w:rPr>
                  </m:ctrlPr>
                </m:sSubPr>
                <m:e>
                  <m:r>
                    <m:rPr>
                      <m:sty m:val="p"/>
                    </m:rPr>
                    <w:rPr>
                      <w:rFonts w:hint="default" w:ascii="Cambria Math" w:hAnsi="Cambria Math" w:eastAsia="宋体" w:cs="宋体"/>
                      <w:sz w:val="24"/>
                      <w:szCs w:val="24"/>
                      <w:lang w:val="en-US" w:eastAsia="zh-CN"/>
                    </w:rPr>
                    <m:t>E</m:t>
                  </m:r>
                  <m:ctrlPr>
                    <w:rPr>
                      <w:rFonts w:hint="eastAsia" w:ascii="Cambria Math" w:hAnsi="Cambria Math" w:eastAsia="宋体" w:cs="宋体"/>
                      <w:b w:val="0"/>
                      <w:bCs w:val="0"/>
                      <w:sz w:val="24"/>
                      <w:szCs w:val="24"/>
                      <w:lang w:val="en-US" w:eastAsia="zh-CN"/>
                    </w:rPr>
                  </m:ctrlPr>
                </m:e>
                <m:sub>
                  <m:r>
                    <m:rPr>
                      <m:nor/>
                      <m:sty m:val="p"/>
                    </m:rPr>
                    <w:rPr>
                      <w:rFonts w:hint="eastAsia" w:ascii="Cambria Math" w:hAnsi="Cambria Math" w:eastAsia="宋体" w:cs="宋体"/>
                      <w:b w:val="0"/>
                      <w:bCs w:val="0"/>
                      <w:i w:val="0"/>
                      <w:sz w:val="24"/>
                      <w:szCs w:val="24"/>
                      <w:lang w:val="en-US" w:eastAsia="zh-CN"/>
                    </w:rPr>
                    <m:t>consumption</m:t>
                  </m:r>
                  <m:ctrlPr>
                    <w:rPr>
                      <w:rFonts w:hint="eastAsia" w:ascii="Cambria Math" w:hAnsi="Cambria Math" w:eastAsia="宋体" w:cs="宋体"/>
                      <w:b w:val="0"/>
                      <w:bCs w:val="0"/>
                      <w:sz w:val="24"/>
                      <w:szCs w:val="24"/>
                      <w:lang w:val="en-US" w:eastAsia="zh-CN"/>
                    </w:rPr>
                  </m:ctrlPr>
                </m:sub>
              </m:sSub>
            </m:oMath>
            <w:r>
              <w:rPr>
                <w:rFonts w:hint="eastAsia" w:ascii="宋体" w:hAnsi="宋体" w:eastAsia="宋体" w:cs="宋体"/>
                <w:b w:val="0"/>
                <w:bCs w:val="0"/>
                <w:sz w:val="24"/>
                <w:szCs w:val="24"/>
                <w:lang w:val="en-US" w:eastAsia="zh-CN"/>
              </w:rPr>
              <w:t>能耗率（kWh/100km），λ为温度衰减系数（低温1.35、高温1.20、正常1.0），d为到充电站的距离。</w:t>
            </w:r>
          </w:p>
          <w:p w14:paraId="21C7722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黑体" w:hAnsi="黑体" w:eastAsia="黑体" w:cs="黑体"/>
                <w:sz w:val="24"/>
                <w:szCs w:val="24"/>
              </w:rPr>
              <w:t>3.3 技术路线</w:t>
            </w:r>
          </w:p>
          <w:p w14:paraId="1865CCF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本项目采用"数据融合-算法优化-系统实现-应用验证"的技术路线，具体流程如下：</w:t>
            </w:r>
          </w:p>
          <w:p w14:paraId="564BA7F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97120" cy="2411730"/>
                  <wp:effectExtent l="0" t="0" r="10160" b="11430"/>
                  <wp:docPr id="3" name="图片 3" descr="屏幕截图 2026-05-11 19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11 191818"/>
                          <pic:cNvPicPr>
                            <a:picLocks noChangeAspect="1"/>
                          </pic:cNvPicPr>
                        </pic:nvPicPr>
                        <pic:blipFill>
                          <a:blip r:embed="rId23"/>
                          <a:stretch>
                            <a:fillRect/>
                          </a:stretch>
                        </pic:blipFill>
                        <pic:spPr>
                          <a:xfrm>
                            <a:off x="0" y="0"/>
                            <a:ext cx="4897120" cy="2411730"/>
                          </a:xfrm>
                          <a:prstGeom prst="rect">
                            <a:avLst/>
                          </a:prstGeom>
                        </pic:spPr>
                      </pic:pic>
                    </a:graphicData>
                  </a:graphic>
                </wp:inline>
              </w:drawing>
            </w:r>
          </w:p>
          <w:p w14:paraId="0EFB9EA0">
            <w:pPr>
              <w:keepNext w:val="0"/>
              <w:keepLines w:val="0"/>
              <w:pageBreakBefore w:val="0"/>
              <w:widowControl w:val="0"/>
              <w:kinsoku/>
              <w:wordWrap/>
              <w:overflowPunct/>
              <w:topLinePunct w:val="0"/>
              <w:autoSpaceDE/>
              <w:autoSpaceDN/>
              <w:bidi w:val="0"/>
              <w:adjustRightInd/>
              <w:snapToGrid/>
              <w:spacing w:line="240" w:lineRule="auto"/>
              <w:ind w:firstLine="360" w:firstLineChars="200"/>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图10：技术路线图</w:t>
            </w:r>
          </w:p>
          <w:p w14:paraId="22BE0EC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（1）用户输入当前位置、目的地、当前电量等信息</w:t>
            </w:r>
          </w:p>
          <w:p w14:paraId="4F0A207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（2）系统自动匹配车型参数，从本地车型库获取电池容量、能耗率等</w:t>
            </w:r>
          </w:p>
          <w:p w14:paraId="5F9D7D9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（3）基于车辆SOC、电池容量、能耗参数计算安全续航阈值，判断目标充电站是否可达</w:t>
            </w:r>
          </w:p>
          <w:p w14:paraId="2991B37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（4）对可达的充电站进行多目标评分，综合考虑距离、价格、等待时间、充电功率等因素</w:t>
            </w:r>
          </w:p>
          <w:p w14:paraId="2DAB61B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（5）返回排序后的推荐结果，展示最优充电方案</w:t>
            </w:r>
          </w:p>
          <w:p w14:paraId="36EAD50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4. 拟采取的研究方法</w:t>
            </w:r>
          </w:p>
          <w:p w14:paraId="3755BF2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（1）文献调研法：系统梳理国内外新能源汽车充电导航领域的研究现状与发展动态，了解现有技术方案的优缺点，为本项目算法设计提供理论支撑</w:t>
            </w:r>
          </w:p>
          <w:p w14:paraId="2E63AB5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（2）系统建模法：构建多目标优化模型，综合考虑距离、价格、等待时间、充电功率等因素，将充电站推荐问题转化为多准则决策问题</w:t>
            </w:r>
          </w:p>
          <w:p w14:paraId="5EAFEC5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（3）实证分析法：基于武汉市真实路网数据与充电运营商动态数据进行算法验证，通过大量实验数据评估算法性能</w:t>
            </w:r>
          </w:p>
          <w:p w14:paraId="27C37E6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（4）原型验证法：开发完整系统并在实际场景中进行试点应用，收集用户反馈，迭代优化系统功能与算法效果</w:t>
            </w:r>
          </w:p>
          <w:p w14:paraId="3C3AE0F9">
            <w:pPr>
              <w:bidi w:val="0"/>
            </w:pPr>
          </w:p>
        </w:tc>
      </w:tr>
      <w:tr w14:paraId="0420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000" w:type="pct"/>
            <w:tcBorders>
              <w:top w:val="single" w:color="auto" w:sz="4" w:space="0"/>
              <w:bottom w:val="single" w:color="auto" w:sz="4" w:space="0"/>
            </w:tcBorders>
          </w:tcPr>
          <w:p w14:paraId="7004D306">
            <w:pPr>
              <w:pStyle w:val="6"/>
              <w:spacing w:line="440" w:lineRule="exact"/>
              <w:ind w:left="0" w:leftChars="0" w:firstLine="0" w:firstLineChars="0"/>
              <w:rPr>
                <w:b/>
                <w:sz w:val="24"/>
              </w:rPr>
            </w:pPr>
            <w:r>
              <w:rPr>
                <w:rFonts w:hint="eastAsia"/>
                <w:b/>
                <w:sz w:val="24"/>
              </w:rPr>
              <w:t>（三）</w:t>
            </w:r>
            <w:r>
              <w:rPr>
                <w:rFonts w:ascii="sans-serif" w:hAnsi="sans-serif" w:eastAsia="sans-serif" w:cs="sans-serif"/>
                <w:b/>
                <w:bCs/>
                <w:color w:val="1D0051"/>
                <w:sz w:val="24"/>
                <w:shd w:val="clear" w:color="auto" w:fill="FFFFFF"/>
              </w:rPr>
              <w:t>国内外研究现状和发展动态</w:t>
            </w:r>
          </w:p>
        </w:tc>
      </w:tr>
      <w:tr w14:paraId="354A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8" w:hRule="atLeast"/>
        </w:trPr>
        <w:tc>
          <w:tcPr>
            <w:tcW w:w="5000" w:type="pct"/>
            <w:tcBorders>
              <w:top w:val="single" w:color="auto" w:sz="4" w:space="0"/>
              <w:bottom w:val="single" w:color="auto" w:sz="4" w:space="0"/>
            </w:tcBorders>
          </w:tcPr>
          <w:p w14:paraId="6AF9DFE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黑体" w:hAnsi="黑体" w:eastAsia="黑体" w:cs="黑体"/>
                <w:bCs/>
                <w:sz w:val="24"/>
              </w:rPr>
            </w:pPr>
            <w:r>
              <w:rPr>
                <w:rFonts w:hint="eastAsia" w:ascii="黑体" w:hAnsi="黑体" w:eastAsia="黑体" w:cs="黑体"/>
                <w:bCs/>
                <w:sz w:val="24"/>
              </w:rPr>
              <w:t>1. 国内研究现状</w:t>
            </w:r>
          </w:p>
          <w:p w14:paraId="445A77E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我国新能源汽车充电服务领域近年来发展迅速，充电基础设施总量已突破2009.2万个，成为全球最大的新能源汽车市场。在智能导航方面，百度地图、高德地图等主流导航应用已逐步集成充电站检索功能，但现有方案普遍存在以下问题：</w:t>
            </w:r>
          </w:p>
          <w:p w14:paraId="50B69A7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数据整合不足：</w:t>
            </w:r>
            <w:r>
              <w:rPr>
                <w:bCs/>
                <w:sz w:val="24"/>
              </w:rPr>
              <w:t>现有导航系统仅支持目的地检索，无法将充电需求与桩站实时状态精准匹配。充电桩位置信息、实时可用状态、充电功率等信息分散在不同平台，用户难以获取完整信息。调研数据显示，新能源汽车用户约有30%的行驶时间用于寻找充电设施，用户常常遭遇"三个充电站全是坏的"的困境。</w:t>
            </w:r>
          </w:p>
          <w:p w14:paraId="14DD0F9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算法优化欠缺：</w:t>
            </w:r>
            <w:r>
              <w:rPr>
                <w:bCs/>
                <w:sz w:val="24"/>
              </w:rPr>
              <w:t>传统导航系统不考虑充电桩功率差异，"大功率桩"与"慢充桩"混排推荐，造成用户时间成本无谓增加。现有系统缺乏对充电时长的准确预估，充电时间估算普遍采用恒功率假设，与实际充电曲线存在较大偏差，导致用户到达充电站后实际耗时与导航预估严重不符。</w:t>
            </w:r>
          </w:p>
          <w:p w14:paraId="1637BC3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服务闭环缺失</w:t>
            </w:r>
            <w:r>
              <w:rPr>
                <w:bCs/>
                <w:sz w:val="24"/>
              </w:rPr>
              <w:t>：各环节相互独立，用户需要手动计算续航里程与充电成本，无法实现一站式服务。用户需要在导航App、充电运营商App、支付App之间切换，使用极为不便。此外，充电成本差异显著（电价从0.6元/度到1.8元/度不等），现有导航系统无法为用户推荐最优充电方案。</w:t>
            </w:r>
          </w:p>
          <w:p w14:paraId="68CCCAA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在学术研究方面，国内学者围绕电动汽车充电导航优化问题开展了大量研究。刘浩然、张明远等人（2025）对新能源汽车用户充电行为进行了分析，发现充电等待时间是影响用户满意度的重要因素。李强、王晓明等人（2024）对面向智能交通系统的多源异构数据融合技术进行了综述，为充电导航系统的数据整合提供了理论支撑。</w:t>
            </w:r>
          </w:p>
          <w:p w14:paraId="3037623B">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480" w:firstLineChars="200"/>
              <w:jc w:val="center"/>
              <w:textAlignment w:val="auto"/>
              <w:rPr>
                <w:rFonts w:hint="eastAsia" w:eastAsia="宋体"/>
                <w:bCs/>
                <w:sz w:val="24"/>
                <w:lang w:eastAsia="zh-CN"/>
              </w:rPr>
            </w:pPr>
          </w:p>
          <w:p w14:paraId="6E47C619">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480" w:firstLineChars="200"/>
              <w:jc w:val="center"/>
              <w:textAlignment w:val="auto"/>
              <w:rPr>
                <w:rFonts w:hint="eastAsia" w:eastAsia="宋体"/>
                <w:bCs/>
                <w:sz w:val="24"/>
                <w:lang w:eastAsia="zh-CN"/>
              </w:rPr>
            </w:pPr>
            <w:r>
              <w:rPr>
                <w:rFonts w:hint="eastAsia" w:eastAsia="宋体"/>
                <w:bCs/>
                <w:sz w:val="24"/>
                <w:lang w:eastAsia="zh-CN"/>
              </w:rPr>
              <w:drawing>
                <wp:inline distT="0" distB="0" distL="114300" distR="114300">
                  <wp:extent cx="4427220" cy="3590925"/>
                  <wp:effectExtent l="0" t="0" r="11430" b="9525"/>
                  <wp:docPr id="5" name="图片 5" descr="屏幕截图 2026-05-11 19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5-11 195353"/>
                          <pic:cNvPicPr>
                            <a:picLocks noChangeAspect="1"/>
                          </pic:cNvPicPr>
                        </pic:nvPicPr>
                        <pic:blipFill>
                          <a:blip r:embed="rId24"/>
                          <a:srcRect t="8495"/>
                          <a:stretch>
                            <a:fillRect/>
                          </a:stretch>
                        </pic:blipFill>
                        <pic:spPr>
                          <a:xfrm>
                            <a:off x="0" y="0"/>
                            <a:ext cx="4427220" cy="3590925"/>
                          </a:xfrm>
                          <a:prstGeom prst="rect">
                            <a:avLst/>
                          </a:prstGeom>
                        </pic:spPr>
                      </pic:pic>
                    </a:graphicData>
                  </a:graphic>
                </wp:inline>
              </w:drawing>
            </w:r>
          </w:p>
          <w:p w14:paraId="08E7911A">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360" w:firstLineChars="200"/>
              <w:jc w:val="center"/>
              <w:textAlignment w:val="auto"/>
              <w:rPr>
                <w:rFonts w:hint="default" w:eastAsia="宋体"/>
                <w:bCs/>
                <w:sz w:val="18"/>
                <w:szCs w:val="18"/>
                <w:lang w:val="en-US" w:eastAsia="zh-CN"/>
              </w:rPr>
            </w:pPr>
            <w:r>
              <w:rPr>
                <w:rFonts w:hint="eastAsia"/>
                <w:bCs/>
                <w:sz w:val="18"/>
                <w:szCs w:val="18"/>
                <w:lang w:val="en-US" w:eastAsia="zh-CN"/>
              </w:rPr>
              <w:t>图11：充电导航国内现状图</w:t>
            </w:r>
          </w:p>
          <w:p w14:paraId="53FE9D9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黑体" w:hAnsi="黑体" w:eastAsia="黑体" w:cs="黑体"/>
                <w:bCs/>
                <w:sz w:val="24"/>
              </w:rPr>
            </w:pPr>
            <w:r>
              <w:rPr>
                <w:rFonts w:hint="eastAsia" w:ascii="黑体" w:hAnsi="黑体" w:eastAsia="黑体" w:cs="黑体"/>
                <w:bCs/>
                <w:sz w:val="24"/>
              </w:rPr>
              <w:t>2. 国际研究动态</w:t>
            </w:r>
          </w:p>
          <w:p w14:paraId="6432573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在国际前沿研究方面，学者们围绕电动汽车充电导航优化问题开展了大量研究，取得了丰硕成果。</w:t>
            </w:r>
          </w:p>
          <w:p w14:paraId="5F52F62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路径规划算法研究：</w:t>
            </w:r>
            <w:r>
              <w:rPr>
                <w:bCs/>
                <w:sz w:val="24"/>
              </w:rPr>
              <w:t>A*算法、Dijkstra算法等经典算法在电动汽车路径规划中得到广泛应用。部分研究引入实时交通数据进行动态路径规划，考虑道路拥堵状况、时段交通因子等因素。Yang Jun、董洁等人（2024）提出了数据驱动的自动驾驶电动汽车充电站配置与路径规划优化方法，在IEEE智能交通系统汇刊发表。</w:t>
            </w:r>
          </w:p>
          <w:p w14:paraId="6D31CE0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充电需求预测研究：</w:t>
            </w:r>
            <w:r>
              <w:rPr>
                <w:bCs/>
                <w:sz w:val="24"/>
              </w:rPr>
              <w:t>时空图神经网络（ST-GNN）在交通预测领域已取得显著成果，可用于充电负荷预测。通过分析历史充电数据与时空关系，预测各站点未来充电需求，为充电站推荐提供决策支持。</w:t>
            </w:r>
          </w:p>
          <w:p w14:paraId="5847BD7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
                <w:bCs w:val="0"/>
                <w:sz w:val="24"/>
              </w:rPr>
              <w:t>多目标优化研究：</w:t>
            </w:r>
            <w:r>
              <w:rPr>
                <w:bCs/>
                <w:sz w:val="24"/>
              </w:rPr>
              <w:t>多准则决策分析（MCDA）、排队论等方法被应用于充电站选择与路径规划问题。研究者们尝试将距离、时间、费用、充电桩功率等多维因素纳入统一优化框架，实现综合最优的充电方案推荐。</w:t>
            </w:r>
          </w:p>
          <w:p w14:paraId="1F223BB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然而，现有研究普遍存在理论与实践脱节的问题，缺乏在真实场景下的系统验证与应用。大多数研究停留在算法设计与仿真实验阶段，未能形成完整的实用系统。此外，现有研究较少考虑充电桩实时可用性、用户偏好等因素，推荐结果的实用性有待提高。</w:t>
            </w:r>
          </w:p>
          <w:p w14:paraId="6CD3C773">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480" w:firstLineChars="200"/>
              <w:jc w:val="both"/>
              <w:textAlignment w:val="auto"/>
              <w:rPr>
                <w:rFonts w:hint="eastAsia" w:eastAsia="宋体"/>
                <w:bCs/>
                <w:sz w:val="24"/>
                <w:lang w:eastAsia="zh-CN"/>
              </w:rPr>
            </w:pPr>
            <w:r>
              <w:rPr>
                <w:rFonts w:hint="eastAsia" w:eastAsia="宋体"/>
                <w:bCs/>
                <w:sz w:val="24"/>
                <w:lang w:eastAsia="zh-CN"/>
              </w:rPr>
              <w:drawing>
                <wp:inline distT="0" distB="0" distL="114300" distR="114300">
                  <wp:extent cx="4838700" cy="2882265"/>
                  <wp:effectExtent l="0" t="0" r="0" b="13335"/>
                  <wp:docPr id="6" name="图片 6" descr="屏幕截图 2026-05-12 22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5-12 223236"/>
                          <pic:cNvPicPr>
                            <a:picLocks noChangeAspect="1"/>
                          </pic:cNvPicPr>
                        </pic:nvPicPr>
                        <pic:blipFill>
                          <a:blip r:embed="rId25"/>
                          <a:srcRect t="9020"/>
                          <a:stretch>
                            <a:fillRect/>
                          </a:stretch>
                        </pic:blipFill>
                        <pic:spPr>
                          <a:xfrm>
                            <a:off x="0" y="0"/>
                            <a:ext cx="4838700" cy="2882265"/>
                          </a:xfrm>
                          <a:prstGeom prst="rect">
                            <a:avLst/>
                          </a:prstGeom>
                        </pic:spPr>
                      </pic:pic>
                    </a:graphicData>
                  </a:graphic>
                </wp:inline>
              </w:drawing>
            </w:r>
          </w:p>
          <w:p w14:paraId="14CE7B2A">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firstLine="360" w:firstLineChars="200"/>
              <w:jc w:val="center"/>
              <w:textAlignment w:val="auto"/>
              <w:rPr>
                <w:rFonts w:hint="default" w:eastAsia="宋体"/>
                <w:bCs/>
                <w:sz w:val="18"/>
                <w:szCs w:val="18"/>
                <w:lang w:val="en-US" w:eastAsia="zh-CN"/>
              </w:rPr>
            </w:pPr>
            <w:r>
              <w:rPr>
                <w:rFonts w:hint="eastAsia"/>
                <w:bCs/>
                <w:sz w:val="18"/>
                <w:szCs w:val="18"/>
                <w:lang w:val="en-US" w:eastAsia="zh-CN"/>
              </w:rPr>
              <w:t>图12：充电导航国际现状图</w:t>
            </w:r>
          </w:p>
          <w:p w14:paraId="150AC0C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rFonts w:hint="eastAsia" w:ascii="黑体" w:hAnsi="黑体" w:eastAsia="黑体" w:cs="黑体"/>
                <w:bCs/>
                <w:sz w:val="24"/>
              </w:rPr>
            </w:pPr>
            <w:r>
              <w:rPr>
                <w:rFonts w:hint="eastAsia" w:ascii="黑体" w:hAnsi="黑体" w:eastAsia="黑体" w:cs="黑体"/>
                <w:bCs/>
                <w:sz w:val="24"/>
              </w:rPr>
              <w:t>3. 现有服务差距分析</w:t>
            </w:r>
          </w:p>
          <w:p w14:paraId="7D60DA1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通过对国内外现有充电导航服务与研究文献的分析，本项目总结出以下主要差距：</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5"/>
              <w:gridCol w:w="2774"/>
              <w:gridCol w:w="2767"/>
            </w:tblGrid>
            <w:tr w14:paraId="42946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4E3B168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对比维度</w:t>
                  </w:r>
                </w:p>
              </w:tc>
              <w:tc>
                <w:tcPr>
                  <w:tcW w:w="2880" w:type="dxa"/>
                </w:tcPr>
                <w:p w14:paraId="4F0A21F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现有导航系统/研究</w:t>
                  </w:r>
                </w:p>
              </w:tc>
              <w:tc>
                <w:tcPr>
                  <w:tcW w:w="2880" w:type="dxa"/>
                </w:tcPr>
                <w:p w14:paraId="57676AA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本项目系统</w:t>
                  </w:r>
                </w:p>
              </w:tc>
            </w:tr>
            <w:tr w14:paraId="24B3B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1105661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数据来源</w:t>
                  </w:r>
                </w:p>
              </w:tc>
              <w:tc>
                <w:tcPr>
                  <w:tcW w:w="2880" w:type="dxa"/>
                </w:tcPr>
                <w:p w14:paraId="751F754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单一地图数据，缺乏实时状态</w:t>
                  </w:r>
                </w:p>
              </w:tc>
              <w:tc>
                <w:tcPr>
                  <w:tcW w:w="2880" w:type="dxa"/>
                </w:tcPr>
                <w:p w14:paraId="4AEB73C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多源异构数据融合，实时可用性预测</w:t>
                  </w:r>
                </w:p>
              </w:tc>
            </w:tr>
            <w:tr w14:paraId="22213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59551B6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路径规划</w:t>
                  </w:r>
                </w:p>
              </w:tc>
              <w:tc>
                <w:tcPr>
                  <w:tcW w:w="2880" w:type="dxa"/>
                </w:tcPr>
                <w:p w14:paraId="31961CD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单目标优化，仅考虑距离或时间</w:t>
                  </w:r>
                </w:p>
              </w:tc>
              <w:tc>
                <w:tcPr>
                  <w:tcW w:w="2880" w:type="dxa"/>
                </w:tcPr>
                <w:p w14:paraId="2BE2E65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多目标加权评分，综合距离、时间、成本</w:t>
                  </w:r>
                </w:p>
              </w:tc>
            </w:tr>
            <w:tr w14:paraId="704A7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80" w:type="dxa"/>
                </w:tcPr>
                <w:p w14:paraId="54D2A6EF">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充电时间估算</w:t>
                  </w:r>
                </w:p>
              </w:tc>
              <w:tc>
                <w:tcPr>
                  <w:tcW w:w="2880" w:type="dxa"/>
                </w:tcPr>
                <w:p w14:paraId="358A4D6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恒功率假设，误差超过40%</w:t>
                  </w:r>
                </w:p>
              </w:tc>
              <w:tc>
                <w:tcPr>
                  <w:tcW w:w="2880" w:type="dxa"/>
                </w:tcPr>
                <w:p w14:paraId="1404672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分段充电曲线模型，误差降低37%</w:t>
                  </w:r>
                </w:p>
              </w:tc>
            </w:tr>
            <w:tr w14:paraId="7E40E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6DB9771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服务可用性</w:t>
                  </w:r>
                </w:p>
              </w:tc>
              <w:tc>
                <w:tcPr>
                  <w:tcW w:w="2880" w:type="dxa"/>
                </w:tcPr>
                <w:p w14:paraId="2C500BE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依赖外部API，网络异常时服务中断</w:t>
                  </w:r>
                </w:p>
              </w:tc>
              <w:tc>
                <w:tcPr>
                  <w:tcW w:w="2880" w:type="dxa"/>
                </w:tcPr>
                <w:p w14:paraId="62DB6D2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三层降级保障，服务高可用性</w:t>
                  </w:r>
                </w:p>
              </w:tc>
            </w:tr>
            <w:tr w14:paraId="7E25D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5C4762E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用户体验</w:t>
                  </w:r>
                </w:p>
              </w:tc>
              <w:tc>
                <w:tcPr>
                  <w:tcW w:w="2880" w:type="dxa"/>
                </w:tcPr>
                <w:p w14:paraId="605E67C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各环节独立，需多次操作</w:t>
                  </w:r>
                </w:p>
              </w:tc>
              <w:tc>
                <w:tcPr>
                  <w:tcW w:w="2880" w:type="dxa"/>
                </w:tcPr>
                <w:p w14:paraId="2A2C429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全流程闭环，一站式服务</w:t>
                  </w:r>
                </w:p>
              </w:tc>
            </w:tr>
            <w:tr w14:paraId="7C1E7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523FDCB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个性化推荐</w:t>
                  </w:r>
                </w:p>
              </w:tc>
              <w:tc>
                <w:tcPr>
                  <w:tcW w:w="2880" w:type="dxa"/>
                </w:tcPr>
                <w:p w14:paraId="31FDE04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无差异化推荐，千人一面</w:t>
                  </w:r>
                </w:p>
              </w:tc>
              <w:tc>
                <w:tcPr>
                  <w:tcW w:w="2880" w:type="dxa"/>
                </w:tcPr>
                <w:p w14:paraId="13A49FB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0" w:firstLineChars="0"/>
                    <w:textAlignment w:val="auto"/>
                    <w:rPr>
                      <w:bCs/>
                      <w:sz w:val="24"/>
                    </w:rPr>
                  </w:pPr>
                  <w:r>
                    <w:rPr>
                      <w:bCs/>
                      <w:sz w:val="24"/>
                    </w:rPr>
                    <w:t>用户偏好权重，个性化推荐</w:t>
                  </w:r>
                </w:p>
              </w:tc>
            </w:tr>
          </w:tbl>
          <w:p w14:paraId="6C73C54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360" w:firstLineChars="200"/>
              <w:jc w:val="center"/>
              <w:textAlignment w:val="auto"/>
              <w:rPr>
                <w:rFonts w:hint="default" w:eastAsia="宋体"/>
                <w:bCs/>
                <w:sz w:val="24"/>
                <w:lang w:val="en-US" w:eastAsia="zh-CN"/>
              </w:rPr>
            </w:pPr>
            <w:r>
              <w:rPr>
                <w:rFonts w:hint="eastAsia"/>
                <w:bCs/>
                <w:sz w:val="18"/>
                <w:szCs w:val="18"/>
                <w:lang w:val="en-US" w:eastAsia="zh-CN"/>
              </w:rPr>
              <w:t>表1：现有服务对比表</w:t>
            </w:r>
          </w:p>
          <w:p w14:paraId="1833407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0" w:firstLine="480" w:firstLineChars="200"/>
              <w:textAlignment w:val="auto"/>
              <w:rPr>
                <w:bCs/>
                <w:sz w:val="24"/>
              </w:rPr>
            </w:pPr>
            <w:r>
              <w:rPr>
                <w:bCs/>
                <w:sz w:val="24"/>
              </w:rPr>
              <w:t>本项目针对上述差距，提出"领域自适应"研发理念，将充电曲线特性、电池安全阈值、桩站实时状态等domain knowledge深度融入算法设计，构建真正适用于新能源汽车用户的智能导航系统。核心创新可概括为三个"融合"：算法融合将A</w:t>
            </w:r>
            <w:r>
              <w:rPr>
                <w:rFonts w:hint="eastAsia"/>
                <w:bCs/>
                <w:sz w:val="24"/>
                <w:lang w:val="en-US" w:eastAsia="zh-CN"/>
              </w:rPr>
              <w:t>*</w:t>
            </w:r>
            <w:r>
              <w:rPr>
                <w:bCs/>
                <w:sz w:val="24"/>
              </w:rPr>
              <w:t>路径规划、多准则决策分析、排队论进行跨领域融合；数据融合整合多源异构数据构建完整数据底座；服务融合打通全流程实现一站式服务闭环。</w:t>
            </w:r>
          </w:p>
        </w:tc>
      </w:tr>
      <w:tr w14:paraId="7704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000" w:type="pct"/>
            <w:tcBorders>
              <w:top w:val="single" w:color="auto" w:sz="4" w:space="0"/>
              <w:bottom w:val="single" w:color="auto" w:sz="4" w:space="0"/>
            </w:tcBorders>
          </w:tcPr>
          <w:p w14:paraId="10506378">
            <w:pPr>
              <w:pStyle w:val="6"/>
              <w:spacing w:line="440" w:lineRule="exact"/>
              <w:rPr>
                <w:b/>
                <w:sz w:val="24"/>
              </w:rPr>
            </w:pPr>
            <w:r>
              <w:rPr>
                <w:rFonts w:hint="eastAsia"/>
                <w:b/>
                <w:sz w:val="24"/>
              </w:rPr>
              <w:t>（四）项目创新点</w:t>
            </w:r>
          </w:p>
        </w:tc>
      </w:tr>
      <w:tr w14:paraId="014B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000" w:type="pct"/>
            <w:tcBorders>
              <w:top w:val="nil"/>
              <w:bottom w:val="single" w:color="auto" w:sz="4" w:space="0"/>
            </w:tcBorders>
          </w:tcPr>
          <w:p w14:paraId="26E19585">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textAlignment w:val="auto"/>
              <w:rPr>
                <w:rFonts w:hint="eastAsia" w:ascii="黑体" w:hAnsi="黑体" w:eastAsia="黑体" w:cs="黑体"/>
                <w:sz w:val="24"/>
              </w:rPr>
            </w:pPr>
            <w:r>
              <w:rPr>
                <w:rFonts w:hint="eastAsia" w:ascii="黑体" w:hAnsi="黑体" w:eastAsia="黑体" w:cs="黑体"/>
                <w:sz w:val="24"/>
              </w:rPr>
              <w:t>1. 总体创新理念</w:t>
            </w:r>
          </w:p>
          <w:p w14:paraId="0F255F5A">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本项目提出"领域自适应"研发理念——针对新能源汽车补能场景的特殊性，将充电曲线特性、电池安全阈值、桩站实时状态等domain knowledge深度融入算法设计，构建真正适用于新能源汽车用户的智能导航系统。</w:t>
            </w:r>
          </w:p>
          <w:p w14:paraId="6B23C058">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现有导航系统将充电站仅视为普通目的地进行检索，无法考虑新能源汽车能耗特性、充电桩功率差异、实时可用性等因素。本项目从新能源汽车充电的实际需求出发，将领域知识深度融入算法设计，实现"找桩-规划-导航-充电"全流程的智能化优化。</w:t>
            </w:r>
          </w:p>
          <w:p w14:paraId="7D4BD2AB">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核心创新可概括为三个"融合"：</w:t>
            </w:r>
          </w:p>
          <w:p w14:paraId="16ECCEEC">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b/>
                <w:bCs/>
                <w:sz w:val="24"/>
              </w:rPr>
              <w:t>算法融合：</w:t>
            </w:r>
            <w:r>
              <w:rPr>
                <w:sz w:val="24"/>
              </w:rPr>
              <w:t>针对"充电排队等不起、充得慢"的痛点，将A*路径规划、多准则决策分析、排队论进行跨领域融合。引入排队论模型预判充电等待时间，多准则决策分析综合权衡充电功率、价格、距离等因素，实现智能推荐</w:t>
            </w:r>
          </w:p>
          <w:p w14:paraId="50B02B43">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b/>
                <w:bCs/>
                <w:sz w:val="24"/>
              </w:rPr>
              <w:t>数据融合</w:t>
            </w:r>
            <w:r>
              <w:rPr>
                <w:sz w:val="24"/>
              </w:rPr>
              <w:t>：针对"充电桩找不到、用不上"的痛点，整合高德地图API、充电运营商实时数据、OSM路网数据构建多源异构数据底座。打通桩站位置、实时状态、可用数量等关键信息，解决信息不对称问题</w:t>
            </w:r>
          </w:p>
          <w:p w14:paraId="1879A157">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b/>
                <w:bCs/>
                <w:sz w:val="24"/>
              </w:rPr>
              <w:t>服务融合</w:t>
            </w:r>
            <w:r>
              <w:rPr>
                <w:sz w:val="24"/>
              </w:rPr>
              <w:t>：针对"路径规划不智能、不划算"的痛点，打通"找桩-规划-导航-充电"全流程，实现一站式服务闭环。用户无需手动计算续航里程与充电成本，系统自动完成全路径最优规划</w:t>
            </w:r>
          </w:p>
          <w:p w14:paraId="7AB6031D">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textAlignment w:val="auto"/>
              <w:rPr>
                <w:rFonts w:hint="eastAsia" w:ascii="黑体" w:hAnsi="黑体" w:eastAsia="黑体" w:cs="黑体"/>
                <w:sz w:val="24"/>
              </w:rPr>
            </w:pPr>
            <w:r>
              <w:rPr>
                <w:rFonts w:hint="eastAsia" w:ascii="黑体" w:hAnsi="黑体" w:eastAsia="黑体" w:cs="黑体"/>
                <w:sz w:val="24"/>
              </w:rPr>
              <w:t>2. 主要创新举措</w:t>
            </w:r>
          </w:p>
          <w:p w14:paraId="48EB66E3">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创新点一：</w:t>
            </w:r>
            <w:r>
              <w:rPr>
                <w:b/>
                <w:bCs/>
                <w:sz w:val="24"/>
              </w:rPr>
              <w:t>基于分段充电曲线的时间精准估算</w:t>
            </w:r>
          </w:p>
          <w:p w14:paraId="4E526167">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背景问题：针对"充电排队等不起、充得慢"的痛点，传统恒功率假设导致充电时间估算偏差超过40%，用户到达充电站后实际耗时与导航预估严重不符。这不仅影响用户的出行计划，更降低了用户对导航系统的信任度。</w:t>
            </w:r>
          </w:p>
          <w:p w14:paraId="04DB4FE5">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解决方案：本项目通过分析锂电池充放电特性，构建分段线性充电曲线模型，区分0-50%、50-80%、80-100%三个SOC区间的功率衰减规律。模型考虑充电初期峰值功率（100%）、中期恒流阶段（65-80%）、后期涓流阶段（15-25%）的功率衰减特性，精确计算从当前电量充至目标电量的所需时间。</w:t>
            </w:r>
          </w:p>
          <w:p w14:paraId="66935A86">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创新成效：实验表明，该模型较恒功率假设误差降低37%，用户可提前获知精确充电时长，合理规划行程安排。该创新点为充电时间估算提供了更加精准的方法，显著提升了用户体验。</w:t>
            </w:r>
          </w:p>
          <w:p w14:paraId="0C21B20E">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b/>
                <w:bCs/>
                <w:sz w:val="24"/>
              </w:rPr>
            </w:pPr>
            <w:r>
              <w:rPr>
                <w:sz w:val="24"/>
              </w:rPr>
              <w:t>创新点二：</w:t>
            </w:r>
            <w:r>
              <w:rPr>
                <w:b/>
                <w:bCs/>
                <w:sz w:val="24"/>
              </w:rPr>
              <w:t>可达性约束下的多目标路径优化</w:t>
            </w:r>
          </w:p>
          <w:p w14:paraId="6BBF4328">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背景问题：针对"充电桩找不到、用不上"的痛点，现有导航系统仅支持目的地检索，无法预判充电桩可用状态。用户常常遭遇"三个充电站全是坏的"的困境，更严重的是，用户无法提前判断目标充电站是否在其续航范围内，可能导致半路趴窝的窘境。</w:t>
            </w:r>
          </w:p>
          <w:p w14:paraId="25EFAB56">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解决方案：本项目创新性地引入可达性作为硬约束，基于车辆当前电量、续航里程及沿途充电站分布，确保推荐路径用户一定能够到达。在可达集合内，采用多属性效用理论融合距离、价格、等待时间、充电功率四维因素，实现全局最优推荐，从根本上规避续航焦虑。</w:t>
            </w:r>
          </w:p>
          <w:p w14:paraId="71CD5D3B">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创新成效：该创新点从根本上解决了用户"找不到、用不上"的困境，确保推荐方案用户一定能够到达，同时在可达集合内实现综合最优。</w:t>
            </w:r>
          </w:p>
          <w:p w14:paraId="469E761C">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b/>
                <w:bCs/>
                <w:sz w:val="24"/>
              </w:rPr>
            </w:pPr>
            <w:r>
              <w:rPr>
                <w:sz w:val="24"/>
              </w:rPr>
              <w:t>创新点三：</w:t>
            </w:r>
            <w:r>
              <w:rPr>
                <w:b/>
                <w:bCs/>
                <w:sz w:val="24"/>
              </w:rPr>
              <w:t>三层降级与服务可用性保障</w:t>
            </w:r>
          </w:p>
          <w:p w14:paraId="602554B2">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背景问题：针对"充电桩找不到"的配套设施缺失问题，充电桩实时数据API可能因网络波动或服务商故障而不可用。传统系统在此情况下服务中断，用户陷入"找桩中断"的困境，严重影响用户体验。</w:t>
            </w:r>
          </w:p>
          <w:p w14:paraId="45CCB945">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解决方案：本项目设计"高德API→A*OSM路网→系数估算"三层降级机制：</w:t>
            </w:r>
          </w:p>
          <w:p w14:paraId="73869F4C">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第一层（高德API）：优先使用高德地图Web服务API进行路径规划，获取高精度导航路径</w:t>
            </w:r>
          </w:p>
          <w:p w14:paraId="20E986AE">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第二层（A*OSM路网）：当高德API超时或不可用时，自动切换至本地A*路径规划算法，基于OSM开源路网进行路径搜索</w:t>
            </w:r>
          </w:p>
          <w:p w14:paraId="725A6097">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第三层（系数估算）：当A*路网未加载或搜索失败时，进一步降级为基于直线距离乘以道路曲折系数（短距离1.5、中距离1.35、长距离1.25）的估算方法</w:t>
            </w:r>
          </w:p>
          <w:p w14:paraId="4938AE97">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系统通过asyncio异步超时机制实现自动降级切换，切换时间控制在200ms以内，用户无感知。降级日志实时记录，确保运维人员可追溯。</w:t>
            </w:r>
          </w:p>
          <w:p w14:paraId="4B8EA57C">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创新成效：该创新点确保服务在任何网络环境下均可用，用户不再因网络波动或API异常而陷入"找桩中断"的困境，保障了服务的高可用性。</w:t>
            </w:r>
          </w:p>
          <w:p w14:paraId="0E909468">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b/>
                <w:bCs/>
                <w:sz w:val="24"/>
              </w:rPr>
            </w:pPr>
            <w:r>
              <w:rPr>
                <w:sz w:val="24"/>
              </w:rPr>
              <w:t>创新点四：</w:t>
            </w:r>
            <w:r>
              <w:rPr>
                <w:b/>
                <w:bCs/>
                <w:sz w:val="24"/>
              </w:rPr>
              <w:t>时变交通阻抗的动态路径规划</w:t>
            </w:r>
          </w:p>
          <w:p w14:paraId="3E22A5C7">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背景问题：针对"路径规划不智能、不划算"的痛点，现有导航系统将充电站仅视为普通途经点，无法为用户提供最优充电方案。用户需要手动计算续航里程与充电成本，且无法考虑时段拥堵、电价差异等因素。</w:t>
            </w:r>
          </w:p>
          <w:p w14:paraId="044E93EF">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解决方案：本项目引入时段交通因子，将道路通行时间表述为距离与时变阻抗的函数：</w:t>
            </w:r>
          </w:p>
          <w:p w14:paraId="3B0726ED">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早高峰时段（7:00-9:00）：交通因子1.5倍</w:t>
            </w:r>
          </w:p>
          <w:p w14:paraId="45406DBC">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晚高峰时段（17:00-19:00）：交通因子1.4倍</w:t>
            </w:r>
          </w:p>
          <w:p w14:paraId="04D7A521">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凌晨时段（0:00-6:00）：交通因子0.8倍</w:t>
            </w:r>
          </w:p>
          <w:p w14:paraId="00DC08AF">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同时结合充电桩电价差异（0.6元/度至1.8元/度不等），考虑峰谷时段电价波动，实现综合成本最优的路径规划。用户无需手动计算续航与充电成本，系统自动推荐最优充电时机与桩站。</w:t>
            </w:r>
          </w:p>
          <w:p w14:paraId="09C3D942">
            <w:pPr>
              <w:pStyle w:val="6"/>
              <w:keepNext w:val="0"/>
              <w:keepLines w:val="0"/>
              <w:pageBreakBefore w:val="0"/>
              <w:widowControl w:val="0"/>
              <w:numPr>
                <w:ilvl w:val="0"/>
                <w:numId w:val="0"/>
              </w:numPr>
              <w:kinsoku/>
              <w:wordWrap/>
              <w:overflowPunct/>
              <w:topLinePunct w:val="0"/>
              <w:autoSpaceDE w:val="0"/>
              <w:autoSpaceDN w:val="0"/>
              <w:bidi w:val="0"/>
              <w:adjustRightInd w:val="0"/>
              <w:snapToGrid/>
              <w:spacing w:line="440" w:lineRule="exact"/>
              <w:ind w:leftChars="0" w:right="0" w:rightChars="0" w:firstLine="480" w:firstLineChars="200"/>
              <w:textAlignment w:val="auto"/>
              <w:rPr>
                <w:sz w:val="24"/>
              </w:rPr>
            </w:pPr>
            <w:r>
              <w:rPr>
                <w:sz w:val="24"/>
              </w:rPr>
              <w:t>创新成效：该创新点将交通拥堵状况与充电成本纳入统一优化框架，实现综合成本最优的路径规划，帮助用户节省时间与费用。</w:t>
            </w:r>
          </w:p>
        </w:tc>
      </w:tr>
      <w:tr w14:paraId="35B2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5000" w:type="pct"/>
            <w:tcBorders>
              <w:bottom w:val="single" w:color="auto" w:sz="4" w:space="0"/>
            </w:tcBorders>
          </w:tcPr>
          <w:p w14:paraId="39095296">
            <w:pPr>
              <w:pStyle w:val="6"/>
              <w:ind w:left="0"/>
              <w:rPr>
                <w:position w:val="-30"/>
                <w:sz w:val="24"/>
              </w:rPr>
            </w:pPr>
            <w:r>
              <w:rPr>
                <w:b/>
                <w:position w:val="-30"/>
                <w:sz w:val="24"/>
              </w:rPr>
              <w:t>（</w:t>
            </w:r>
            <w:r>
              <w:rPr>
                <w:rFonts w:hint="eastAsia"/>
                <w:b/>
                <w:position w:val="-30"/>
                <w:sz w:val="24"/>
              </w:rPr>
              <w:t>五</w:t>
            </w:r>
            <w:r>
              <w:rPr>
                <w:b/>
                <w:position w:val="-30"/>
                <w:sz w:val="24"/>
              </w:rPr>
              <w:t>）研究的进度安排</w:t>
            </w:r>
            <w:r>
              <w:rPr>
                <w:rFonts w:hint="eastAsia"/>
                <w:b/>
                <w:position w:val="-30"/>
                <w:sz w:val="24"/>
              </w:rPr>
              <w:t>及</w:t>
            </w:r>
            <w:r>
              <w:rPr>
                <w:b/>
                <w:position w:val="-30"/>
                <w:sz w:val="24"/>
              </w:rPr>
              <w:t>预期成果</w:t>
            </w:r>
            <w:r>
              <w:rPr>
                <w:position w:val="-30"/>
                <w:sz w:val="24"/>
              </w:rPr>
              <w:t>（明确预期成果内容及成果的体现方式）</w:t>
            </w:r>
          </w:p>
        </w:tc>
      </w:tr>
      <w:tr w14:paraId="7C7F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40" w:hRule="atLeast"/>
        </w:trPr>
        <w:tc>
          <w:tcPr>
            <w:tcW w:w="5000" w:type="pct"/>
            <w:tcBorders>
              <w:top w:val="single" w:color="auto" w:sz="4" w:space="0"/>
              <w:bottom w:val="single" w:color="auto" w:sz="4" w:space="0"/>
            </w:tcBorders>
          </w:tcPr>
          <w:p w14:paraId="2B509A0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ascii="黑体" w:hAnsi="黑体" w:eastAsia="黑体" w:cs="黑体"/>
                <w:sz w:val="24"/>
              </w:rPr>
            </w:pPr>
            <w:r>
              <w:rPr>
                <w:rFonts w:hint="eastAsia" w:ascii="黑体" w:hAnsi="黑体" w:eastAsia="黑体" w:cs="黑体"/>
                <w:sz w:val="24"/>
              </w:rPr>
              <w:t>1. 研究进度安排</w:t>
            </w:r>
          </w:p>
          <w:p w14:paraId="1EF9F9E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第一阶段：需求分析与系统设计（第1-2个月）</w:t>
            </w:r>
          </w:p>
          <w:p w14:paraId="1CD7070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本阶段主要完成项目前期调研与系统架构设计工作，具体包括：</w:t>
            </w:r>
          </w:p>
          <w:p w14:paraId="778617E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（1）完成用户需求调研与痛点分析，通过问卷调查、用户访谈等方式收集新能源汽车用户的充电痛点与需求</w:t>
            </w:r>
          </w:p>
          <w:p w14:paraId="7E30B2A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（2）调研国内外现有充电导航系统，分析其功能特点与不足之处</w:t>
            </w:r>
          </w:p>
          <w:p w14:paraId="51E79B3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（3）确定系统架构与技术选型，完成详细设计文档编写</w:t>
            </w:r>
          </w:p>
          <w:p w14:paraId="676053A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（4）搭建开发环境与测试平台，建立项目代码仓库与协作流程</w:t>
            </w:r>
          </w:p>
          <w:p w14:paraId="5E52DE9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第二阶段：核心算法研发（第3-4个月）</w:t>
            </w:r>
          </w:p>
          <w:p w14:paraId="4F5F096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本阶段聚焦核心算法的设计与实现，主要工作包括：</w:t>
            </w:r>
          </w:p>
          <w:p w14:paraId="160F8B2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（1）实现多目标加权评分算法，设计距离、价格、等待时间、功率四维评分函数</w:t>
            </w:r>
          </w:p>
          <w:p w14:paraId="07112FD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（2）完成A*路径规划算法开发，实现基于OSM路网的最短路径搜索</w:t>
            </w:r>
          </w:p>
          <w:p w14:paraId="42DBAB1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（3）实现充电曲线拟合模型，建立分段线性充电曲线，考虑SOC区间功率衰减特性</w:t>
            </w:r>
          </w:p>
          <w:p w14:paraId="149AE40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（4）开发可达性判断算法，基于车辆SOC、电池容量、能耗参数计算安全续航阈值</w:t>
            </w:r>
          </w:p>
          <w:p w14:paraId="2C9A0C6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（5）设计"高德API→A*OSM路网→系数估算"三层降级机制</w:t>
            </w:r>
          </w:p>
          <w:p w14:paraId="4DDAC28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第三阶段：系统开发与集成（第5-6个月）</w:t>
            </w:r>
          </w:p>
          <w:p w14:paraId="3016387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本阶段完成系统各组件的开发与集成工作：</w:t>
            </w:r>
          </w:p>
          <w:p w14:paraId="7D176D0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（1）后端API开发：基于FastAPI框架开发RESTful API，实现数据层与业务逻辑层的解耦</w:t>
            </w:r>
          </w:p>
          <w:p w14:paraId="6A673CA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（2）数据库建设：完成充电站数据库、车型参数库、路网数据的整理与导入</w:t>
            </w:r>
          </w:p>
          <w:p w14:paraId="597A4BB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（3）移动端App开发：基于Flutter框架开发Android版本，实现地图展示、路径规划、站点详情等功能</w:t>
            </w:r>
          </w:p>
          <w:p w14:paraId="60638B1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（4）Web管理端开发：基于Vue.js框架开发后台管理系统，实现数据监控、站点管理、用户管理等功能</w:t>
            </w:r>
          </w:p>
          <w:p w14:paraId="4BB20D52">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（5）系统集成与联调测试：完成前后端联调，确保各模块协同工作正常</w:t>
            </w:r>
          </w:p>
          <w:p w14:paraId="503D29E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第四阶段：试点应用与优化（第7-8个月）</w:t>
            </w:r>
          </w:p>
          <w:p w14:paraId="06ED062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480" w:firstLineChars="200"/>
              <w:textAlignment w:val="auto"/>
              <w:rPr>
                <w:sz w:val="24"/>
              </w:rPr>
            </w:pPr>
            <w:r>
              <w:rPr>
                <w:sz w:val="24"/>
              </w:rPr>
              <w:t>本阶段进行实际场景的应用测试与算法优化：</w:t>
            </w:r>
          </w:p>
          <w:p w14:paraId="5E27CD4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（1）武汉市主城区试点部署，在武昌区、江岸区、汉阳区三区开展试点运营</w:t>
            </w:r>
          </w:p>
          <w:p w14:paraId="5F9FD5C7">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（2）收集用户反馈，了解系统在实际使用中的问题与改进建议</w:t>
            </w:r>
          </w:p>
          <w:p w14:paraId="574A784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（3）算法性能评估，对多目标评分算法、A*路径规划算法、充电时间估算模型进行性能测试</w:t>
            </w:r>
          </w:p>
          <w:p w14:paraId="3F0DDF4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（4）根据反馈与评估结果进行系统迭代优化，提升用户体验与算法效果</w:t>
            </w:r>
          </w:p>
          <w:p w14:paraId="7088CE87">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266" w:firstLine="0" w:firstLineChars="0"/>
              <w:jc w:val="center"/>
              <w:textAlignment w:val="auto"/>
              <w:rPr>
                <w:rFonts w:hint="eastAsia" w:eastAsia="宋体"/>
                <w:sz w:val="24"/>
                <w:lang w:eastAsia="zh-CN"/>
              </w:rPr>
            </w:pPr>
            <w:r>
              <w:rPr>
                <w:rFonts w:hint="eastAsia" w:eastAsia="宋体"/>
                <w:sz w:val="24"/>
                <w:lang w:eastAsia="zh-CN"/>
              </w:rPr>
              <w:drawing>
                <wp:inline distT="0" distB="0" distL="114300" distR="114300">
                  <wp:extent cx="5091430" cy="2785745"/>
                  <wp:effectExtent l="0" t="0" r="13970" b="14605"/>
                  <wp:docPr id="4" name="图片 4" descr="屏幕截图 2026-05-11 19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5-11 194529"/>
                          <pic:cNvPicPr>
                            <a:picLocks noChangeAspect="1"/>
                          </pic:cNvPicPr>
                        </pic:nvPicPr>
                        <pic:blipFill>
                          <a:blip r:embed="rId26"/>
                          <a:srcRect t="7875"/>
                          <a:stretch>
                            <a:fillRect/>
                          </a:stretch>
                        </pic:blipFill>
                        <pic:spPr>
                          <a:xfrm>
                            <a:off x="0" y="0"/>
                            <a:ext cx="5091430" cy="2785745"/>
                          </a:xfrm>
                          <a:prstGeom prst="rect">
                            <a:avLst/>
                          </a:prstGeom>
                        </pic:spPr>
                      </pic:pic>
                    </a:graphicData>
                  </a:graphic>
                </wp:inline>
              </w:drawing>
            </w:r>
          </w:p>
          <w:p w14:paraId="571666B9">
            <w:pPr>
              <w:pStyle w:val="6"/>
              <w:keepNext w:val="0"/>
              <w:keepLines w:val="0"/>
              <w:pageBreakBefore w:val="0"/>
              <w:widowControl w:val="0"/>
              <w:kinsoku/>
              <w:wordWrap/>
              <w:overflowPunct/>
              <w:topLinePunct w:val="0"/>
              <w:autoSpaceDE w:val="0"/>
              <w:autoSpaceDN w:val="0"/>
              <w:bidi w:val="0"/>
              <w:adjustRightInd w:val="0"/>
              <w:snapToGrid/>
              <w:spacing w:line="240" w:lineRule="auto"/>
              <w:ind w:left="0" w:leftChars="0" w:right="266" w:firstLine="0" w:firstLineChars="0"/>
              <w:jc w:val="center"/>
              <w:textAlignment w:val="auto"/>
              <w:rPr>
                <w:rFonts w:hint="default" w:eastAsia="宋体"/>
                <w:sz w:val="18"/>
                <w:szCs w:val="18"/>
                <w:lang w:val="en-US" w:eastAsia="zh-CN"/>
              </w:rPr>
            </w:pPr>
            <w:r>
              <w:rPr>
                <w:rFonts w:hint="eastAsia"/>
                <w:sz w:val="18"/>
                <w:szCs w:val="18"/>
                <w:lang w:val="en-US" w:eastAsia="zh-CN"/>
              </w:rPr>
              <w:t>图13：研究进度计划图</w:t>
            </w:r>
          </w:p>
          <w:p w14:paraId="457AD94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ascii="黑体" w:hAnsi="黑体" w:eastAsia="黑体" w:cs="黑体"/>
                <w:sz w:val="24"/>
              </w:rPr>
            </w:pPr>
            <w:r>
              <w:rPr>
                <w:rFonts w:hint="eastAsia" w:ascii="黑体" w:hAnsi="黑体" w:eastAsia="黑体" w:cs="黑体"/>
                <w:sz w:val="24"/>
              </w:rPr>
              <w:t>2. 预期成果</w:t>
            </w:r>
          </w:p>
          <w:p w14:paraId="30400E5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eastAsia="宋体"/>
                <w:sz w:val="24"/>
                <w:lang w:eastAsia="zh-CN"/>
              </w:rPr>
            </w:pPr>
            <w:r>
              <w:rPr>
                <w:sz w:val="24"/>
              </w:rPr>
              <w:t>软著成果</w:t>
            </w:r>
            <w:r>
              <w:rPr>
                <w:rFonts w:hint="eastAsia"/>
                <w:sz w:val="24"/>
                <w:lang w:eastAsia="zh-CN"/>
              </w:rPr>
              <w:t>：</w:t>
            </w:r>
          </w:p>
          <w:p w14:paraId="3162CA9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w:t>
            </w:r>
            <w:r>
              <w:rPr>
                <w:rFonts w:hint="eastAsia"/>
                <w:sz w:val="24"/>
                <w:lang w:val="en-US" w:eastAsia="zh-CN"/>
              </w:rPr>
              <w:t>电满满</w:t>
            </w:r>
            <w:r>
              <w:rPr>
                <w:sz w:val="24"/>
              </w:rPr>
              <w:t>智能充电导航</w:t>
            </w:r>
            <w:r>
              <w:rPr>
                <w:rFonts w:hint="eastAsia"/>
                <w:sz w:val="24"/>
                <w:lang w:val="en-US" w:eastAsia="zh-CN"/>
              </w:rPr>
              <w:t>综合平台</w:t>
            </w:r>
            <w:r>
              <w:rPr>
                <w:sz w:val="24"/>
              </w:rPr>
              <w:t>V1.0"（已登记）</w:t>
            </w:r>
          </w:p>
          <w:p w14:paraId="2DC60D2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专利成果</w:t>
            </w:r>
          </w:p>
          <w:p w14:paraId="5BDB5F1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"一种基于多目标优化的电动汽车充电路径规划方法"（已</w:t>
            </w:r>
            <w:r>
              <w:rPr>
                <w:rFonts w:hint="eastAsia"/>
                <w:sz w:val="24"/>
                <w:lang w:val="en-US" w:eastAsia="zh-CN"/>
              </w:rPr>
              <w:t>申请</w:t>
            </w:r>
            <w:r>
              <w:rPr>
                <w:sz w:val="24"/>
              </w:rPr>
              <w:t>）</w:t>
            </w:r>
          </w:p>
          <w:p w14:paraId="3BE5414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学术成果</w:t>
            </w:r>
          </w:p>
          <w:p w14:paraId="4FF5F92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《基于时空图神经网络的充电需求预测方法》（拟投稿）</w:t>
            </w:r>
          </w:p>
          <w:p w14:paraId="73128BF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eastAsia="宋体"/>
                <w:sz w:val="24"/>
                <w:lang w:eastAsia="zh-CN"/>
              </w:rPr>
            </w:pPr>
            <w:r>
              <w:rPr>
                <w:sz w:val="24"/>
              </w:rPr>
              <w:t>创新成果</w:t>
            </w:r>
            <w:r>
              <w:rPr>
                <w:rFonts w:hint="eastAsia"/>
                <w:sz w:val="24"/>
                <w:lang w:eastAsia="zh-CN"/>
              </w:rPr>
              <w:t>：</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0"/>
              <w:gridCol w:w="2763"/>
              <w:gridCol w:w="2783"/>
            </w:tblGrid>
            <w:tr w14:paraId="7E2EA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12218B6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成果类型</w:t>
                  </w:r>
                </w:p>
              </w:tc>
              <w:tc>
                <w:tcPr>
                  <w:tcW w:w="2880" w:type="dxa"/>
                </w:tcPr>
                <w:p w14:paraId="59C985E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具体内容</w:t>
                  </w:r>
                </w:p>
              </w:tc>
              <w:tc>
                <w:tcPr>
                  <w:tcW w:w="2880" w:type="dxa"/>
                </w:tcPr>
                <w:p w14:paraId="4FAE778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说明</w:t>
                  </w:r>
                </w:p>
              </w:tc>
            </w:tr>
            <w:tr w14:paraId="5BA34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59F6D8B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算法模型</w:t>
                  </w:r>
                </w:p>
              </w:tc>
              <w:tc>
                <w:tcPr>
                  <w:tcW w:w="2880" w:type="dxa"/>
                </w:tcPr>
                <w:p w14:paraId="4CEDC5B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多目标加权评分模型</w:t>
                  </w:r>
                </w:p>
              </w:tc>
              <w:tc>
                <w:tcPr>
                  <w:tcW w:w="2880" w:type="dxa"/>
                </w:tcPr>
                <w:p w14:paraId="48260F8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综合距离、价格、时间、功率四维因素</w:t>
                  </w:r>
                </w:p>
              </w:tc>
            </w:tr>
            <w:tr w14:paraId="57E44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080B9D1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算法模型</w:t>
                  </w:r>
                </w:p>
              </w:tc>
              <w:tc>
                <w:tcPr>
                  <w:tcW w:w="2880" w:type="dxa"/>
                </w:tcPr>
                <w:p w14:paraId="608EF8C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分段充电曲线拟合模型</w:t>
                  </w:r>
                </w:p>
              </w:tc>
              <w:tc>
                <w:tcPr>
                  <w:tcW w:w="2880" w:type="dxa"/>
                </w:tcPr>
                <w:p w14:paraId="6DECB83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误差较恒功率假设降低37%</w:t>
                  </w:r>
                </w:p>
              </w:tc>
            </w:tr>
            <w:tr w14:paraId="48091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80" w:type="dxa"/>
                </w:tcPr>
                <w:p w14:paraId="35E8AD3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算法模型</w:t>
                  </w:r>
                </w:p>
              </w:tc>
              <w:tc>
                <w:tcPr>
                  <w:tcW w:w="2880" w:type="dxa"/>
                </w:tcPr>
                <w:p w14:paraId="578F853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A*路径规划算法</w:t>
                  </w:r>
                </w:p>
              </w:tc>
              <w:tc>
                <w:tcPr>
                  <w:tcW w:w="2880" w:type="dxa"/>
                </w:tcPr>
                <w:p w14:paraId="159F9E7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基于OSM路网的启发式搜索</w:t>
                  </w:r>
                </w:p>
              </w:tc>
            </w:tr>
            <w:tr w14:paraId="05456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13BF20B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软件系统</w:t>
                  </w:r>
                </w:p>
              </w:tc>
              <w:tc>
                <w:tcPr>
                  <w:tcW w:w="2880" w:type="dxa"/>
                </w:tcPr>
                <w:p w14:paraId="05AF94A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电满满移动App</w:t>
                  </w:r>
                </w:p>
              </w:tc>
              <w:tc>
                <w:tcPr>
                  <w:tcW w:w="2880" w:type="dxa"/>
                </w:tcPr>
                <w:p w14:paraId="21E2941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支持Android平台</w:t>
                  </w:r>
                </w:p>
              </w:tc>
            </w:tr>
            <w:tr w14:paraId="5B9C9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70FB7447">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软件系统</w:t>
                  </w:r>
                </w:p>
              </w:tc>
              <w:tc>
                <w:tcPr>
                  <w:tcW w:w="2880" w:type="dxa"/>
                </w:tcPr>
                <w:p w14:paraId="4549E1B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Web管理后台</w:t>
                  </w:r>
                </w:p>
              </w:tc>
              <w:tc>
                <w:tcPr>
                  <w:tcW w:w="2880" w:type="dxa"/>
                </w:tcPr>
                <w:p w14:paraId="218923A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数据监控与站点管理</w:t>
                  </w:r>
                </w:p>
              </w:tc>
            </w:tr>
          </w:tbl>
          <w:p w14:paraId="1E4AE58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表2：创新成果表</w:t>
            </w:r>
          </w:p>
          <w:p w14:paraId="5386D291">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ascii="黑体" w:hAnsi="黑体" w:eastAsia="黑体" w:cs="黑体"/>
                <w:sz w:val="24"/>
              </w:rPr>
            </w:pPr>
            <w:r>
              <w:rPr>
                <w:rFonts w:hint="eastAsia" w:ascii="黑体" w:hAnsi="黑体" w:eastAsia="黑体" w:cs="黑体"/>
                <w:sz w:val="24"/>
              </w:rPr>
              <w:t>3. 应用效果指标</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5"/>
              <w:gridCol w:w="2785"/>
              <w:gridCol w:w="2756"/>
            </w:tblGrid>
            <w:tr w14:paraId="36420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17845607">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指标</w:t>
                  </w:r>
                </w:p>
              </w:tc>
              <w:tc>
                <w:tcPr>
                  <w:tcW w:w="2880" w:type="dxa"/>
                </w:tcPr>
                <w:p w14:paraId="219B9D5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数值</w:t>
                  </w:r>
                </w:p>
              </w:tc>
              <w:tc>
                <w:tcPr>
                  <w:tcW w:w="2880" w:type="dxa"/>
                </w:tcPr>
                <w:p w14:paraId="7B9C448E">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说明</w:t>
                  </w:r>
                </w:p>
              </w:tc>
            </w:tr>
            <w:tr w14:paraId="15F96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26E9088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充电桩利用率提升</w:t>
                  </w:r>
                </w:p>
              </w:tc>
              <w:tc>
                <w:tcPr>
                  <w:tcW w:w="2880" w:type="dxa"/>
                </w:tcPr>
                <w:p w14:paraId="0DB2396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18%+</w:t>
                  </w:r>
                </w:p>
              </w:tc>
              <w:tc>
                <w:tcPr>
                  <w:tcW w:w="2880" w:type="dxa"/>
                </w:tcPr>
                <w:p w14:paraId="0030CCD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较传统导航系统</w:t>
                  </w:r>
                </w:p>
              </w:tc>
            </w:tr>
            <w:tr w14:paraId="4009F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22B075AB">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用户等待时间缩短</w:t>
                  </w:r>
                </w:p>
              </w:tc>
              <w:tc>
                <w:tcPr>
                  <w:tcW w:w="2880" w:type="dxa"/>
                </w:tcPr>
                <w:p w14:paraId="66A75237">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23%</w:t>
                  </w:r>
                </w:p>
              </w:tc>
              <w:tc>
                <w:tcPr>
                  <w:tcW w:w="2880" w:type="dxa"/>
                </w:tcPr>
                <w:p w14:paraId="58C6E94F">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基于排队论优化</w:t>
                  </w:r>
                </w:p>
              </w:tc>
            </w:tr>
            <w:tr w14:paraId="45076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80" w:type="dxa"/>
                </w:tcPr>
                <w:p w14:paraId="2462BCE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日均服务用户</w:t>
                  </w:r>
                </w:p>
              </w:tc>
              <w:tc>
                <w:tcPr>
                  <w:tcW w:w="2880" w:type="dxa"/>
                </w:tcPr>
                <w:p w14:paraId="218B03DA">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3500+人次</w:t>
                  </w:r>
                </w:p>
              </w:tc>
              <w:tc>
                <w:tcPr>
                  <w:tcW w:w="2880" w:type="dxa"/>
                </w:tcPr>
                <w:p w14:paraId="542DB0E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武汉三区试点</w:t>
                  </w:r>
                </w:p>
              </w:tc>
            </w:tr>
            <w:tr w14:paraId="273C1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7E830CE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充电时间估算误差</w:t>
                  </w:r>
                </w:p>
              </w:tc>
              <w:tc>
                <w:tcPr>
                  <w:tcW w:w="2880" w:type="dxa"/>
                </w:tcPr>
                <w:p w14:paraId="7F728377">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降低37%</w:t>
                  </w:r>
                </w:p>
              </w:tc>
              <w:tc>
                <w:tcPr>
                  <w:tcW w:w="2880" w:type="dxa"/>
                </w:tcPr>
                <w:p w14:paraId="2E0613A0">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较恒功率假设</w:t>
                  </w:r>
                </w:p>
              </w:tc>
            </w:tr>
            <w:tr w14:paraId="68766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493335F8">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系统响应时间</w:t>
                  </w:r>
                </w:p>
              </w:tc>
              <w:tc>
                <w:tcPr>
                  <w:tcW w:w="2880" w:type="dxa"/>
                </w:tcPr>
                <w:p w14:paraId="725EE04D">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&lt;200ms</w:t>
                  </w:r>
                </w:p>
              </w:tc>
              <w:tc>
                <w:tcPr>
                  <w:tcW w:w="2880" w:type="dxa"/>
                </w:tcPr>
                <w:p w14:paraId="2D5872C9">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三层降级切换时间</w:t>
                  </w:r>
                </w:p>
              </w:tc>
            </w:tr>
          </w:tbl>
          <w:p w14:paraId="2C21348F">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jc w:val="center"/>
              <w:textAlignment w:val="auto"/>
              <w:rPr>
                <w:rFonts w:hint="default" w:ascii="黑体" w:hAnsi="黑体" w:eastAsia="黑体" w:cs="黑体"/>
                <w:sz w:val="24"/>
                <w:lang w:val="en-US" w:eastAsia="zh-CN"/>
              </w:rPr>
            </w:pPr>
            <w:r>
              <w:rPr>
                <w:rFonts w:hint="eastAsia" w:ascii="宋体" w:hAnsi="宋体" w:eastAsia="宋体" w:cs="宋体"/>
                <w:sz w:val="18"/>
                <w:szCs w:val="18"/>
                <w:lang w:val="en-US" w:eastAsia="zh-CN"/>
              </w:rPr>
              <w:t>表3：应用效果指标图</w:t>
            </w:r>
          </w:p>
          <w:p w14:paraId="11FEFA16">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ascii="黑体" w:hAnsi="黑体" w:eastAsia="黑体" w:cs="黑体"/>
                <w:sz w:val="24"/>
              </w:rPr>
            </w:pPr>
            <w:r>
              <w:rPr>
                <w:rFonts w:hint="eastAsia" w:ascii="黑体" w:hAnsi="黑体" w:eastAsia="黑体" w:cs="黑体"/>
                <w:sz w:val="24"/>
              </w:rPr>
              <w:t>4. 成果体现方式</w:t>
            </w:r>
          </w:p>
          <w:p w14:paraId="1FEAAC7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（1）软件系统：可运行的MVP版本，覆盖武汉市三区（武昌区、江岸区、汉阳区），包含移动端App与Web管理端</w:t>
            </w:r>
          </w:p>
          <w:p w14:paraId="3FBA3644">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（2）数据资产：982个充电桩数据接入，覆盖152座充电站；60+主流电动车型参数库，涵盖15个品牌</w:t>
            </w:r>
          </w:p>
          <w:p w14:paraId="225E78E5">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（3）算法模型：多目标加权评分模型、分段充电曲线拟合模型、A*路径规划算法、可达性判断算法</w:t>
            </w:r>
          </w:p>
          <w:p w14:paraId="714536AC">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sz w:val="24"/>
              </w:rPr>
            </w:pPr>
            <w:r>
              <w:rPr>
                <w:sz w:val="24"/>
              </w:rPr>
              <w:t>（4）文档成果：技术设计文档、用户使用手册、测试报告、用户反馈分析报告</w:t>
            </w:r>
          </w:p>
          <w:p w14:paraId="1E236493">
            <w:pPr>
              <w:pStyle w:val="6"/>
              <w:keepNext w:val="0"/>
              <w:keepLines w:val="0"/>
              <w:pageBreakBefore w:val="0"/>
              <w:widowControl w:val="0"/>
              <w:kinsoku/>
              <w:wordWrap/>
              <w:overflowPunct/>
              <w:topLinePunct w:val="0"/>
              <w:autoSpaceDE w:val="0"/>
              <w:autoSpaceDN w:val="0"/>
              <w:bidi w:val="0"/>
              <w:adjustRightInd w:val="0"/>
              <w:snapToGrid/>
              <w:spacing w:line="440" w:lineRule="exact"/>
              <w:ind w:left="0" w:leftChars="0" w:right="266" w:firstLine="0" w:firstLineChars="0"/>
              <w:textAlignment w:val="auto"/>
              <w:rPr>
                <w:rFonts w:hint="eastAsia" w:eastAsia="宋体"/>
                <w:sz w:val="24"/>
                <w:lang w:eastAsia="zh-CN"/>
              </w:rPr>
            </w:pPr>
            <w:r>
              <w:rPr>
                <w:sz w:val="24"/>
              </w:rPr>
              <w:t>（5）经济效益：预计带动充电服务效率提升18%以上</w:t>
            </w:r>
            <w:r>
              <w:rPr>
                <w:rFonts w:hint="eastAsia"/>
                <w:sz w:val="24"/>
                <w:lang w:eastAsia="zh-CN"/>
              </w:rPr>
              <w:t>。</w:t>
            </w:r>
          </w:p>
          <w:p w14:paraId="2EC6272B">
            <w:pPr>
              <w:pStyle w:val="6"/>
              <w:spacing w:line="440" w:lineRule="exact"/>
              <w:ind w:left="0" w:leftChars="0" w:firstLine="0" w:firstLineChars="0"/>
              <w:rPr>
                <w:sz w:val="24"/>
              </w:rPr>
            </w:pPr>
          </w:p>
        </w:tc>
      </w:tr>
      <w:tr w14:paraId="381F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5000" w:type="pct"/>
            <w:tcBorders>
              <w:bottom w:val="single" w:color="auto" w:sz="4" w:space="0"/>
            </w:tcBorders>
          </w:tcPr>
          <w:p w14:paraId="4625EDC8">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eastAsia="宋体" w:cs="宋体"/>
                <w:kern w:val="0"/>
                <w:position w:val="-30"/>
                <w:sz w:val="24"/>
                <w:szCs w:val="32"/>
              </w:rPr>
            </w:pPr>
            <w:r>
              <w:rPr>
                <w:rFonts w:hint="eastAsia" w:ascii="宋体" w:eastAsia="宋体" w:cs="宋体"/>
                <w:b/>
                <w:kern w:val="0"/>
                <w:position w:val="-30"/>
                <w:sz w:val="24"/>
                <w:szCs w:val="32"/>
              </w:rPr>
              <w:t>（六）</w:t>
            </w:r>
            <w:r>
              <w:rPr>
                <w:rFonts w:ascii="宋体" w:eastAsia="宋体" w:cs="宋体"/>
                <w:b/>
                <w:kern w:val="0"/>
                <w:position w:val="-30"/>
                <w:sz w:val="24"/>
                <w:szCs w:val="32"/>
              </w:rPr>
              <w:t>完成项目的条件和保证</w:t>
            </w:r>
            <w:r>
              <w:rPr>
                <w:rFonts w:ascii="宋体" w:eastAsia="宋体" w:cs="宋体"/>
                <w:kern w:val="0"/>
                <w:position w:val="-30"/>
                <w:sz w:val="24"/>
                <w:szCs w:val="32"/>
              </w:rPr>
              <w:t>（与本项目有关的前期或相关工作、拟投入课题研究的时间、项目研究所需场地、资料、设备等是否有保障、指导教师能否保证指导时间等。）</w:t>
            </w:r>
          </w:p>
        </w:tc>
      </w:tr>
      <w:tr w14:paraId="2C29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000" w:type="pct"/>
            <w:tcBorders>
              <w:top w:val="single" w:color="auto" w:sz="4" w:space="0"/>
              <w:bottom w:val="single" w:color="auto" w:sz="4" w:space="0"/>
            </w:tcBorders>
          </w:tcPr>
          <w:p w14:paraId="07603925">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rFonts w:hint="eastAsia" w:ascii="黑体" w:hAnsi="黑体" w:eastAsia="黑体" w:cs="黑体"/>
                <w:bCs/>
                <w:position w:val="-30"/>
                <w:sz w:val="24"/>
              </w:rPr>
            </w:pPr>
            <w:r>
              <w:rPr>
                <w:rFonts w:hint="eastAsia" w:ascii="黑体" w:hAnsi="黑体" w:eastAsia="黑体" w:cs="黑体"/>
                <w:bCs/>
                <w:position w:val="-30"/>
                <w:sz w:val="24"/>
              </w:rPr>
              <w:t>1. 与本项目有关的前期工作</w:t>
            </w:r>
          </w:p>
          <w:p w14:paraId="6821D691">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
                <w:bCs w:val="0"/>
                <w:position w:val="-30"/>
                <w:sz w:val="24"/>
              </w:rPr>
              <w:t>系统开发基础</w:t>
            </w:r>
            <w:r>
              <w:rPr>
                <w:rFonts w:hint="eastAsia"/>
                <w:b/>
                <w:bCs w:val="0"/>
                <w:position w:val="-30"/>
                <w:sz w:val="24"/>
                <w:lang w:eastAsia="zh-CN"/>
              </w:rPr>
              <w:t>：</w:t>
            </w:r>
            <w:r>
              <w:rPr>
                <w:bCs/>
                <w:position w:val="-30"/>
                <w:sz w:val="24"/>
              </w:rPr>
              <w:t>本项目团队已完成电满满新能源智能平台的开发，采用FastAPI微服务架构，实现了"用户端-算法端-管理端"三位一体的服务体系。系统采用分层模块化设计，包含接入层、业务逻辑层、数据层、外部服务层四个核心层级，各层之间低耦合、高内聚，便于后续功能扩展与算法迭代。</w:t>
            </w:r>
          </w:p>
          <w:p w14:paraId="19CCE6A2">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rFonts w:hint="eastAsia" w:eastAsia="宋体"/>
                <w:bCs/>
                <w:position w:val="-30"/>
                <w:sz w:val="24"/>
                <w:lang w:eastAsia="zh-CN"/>
              </w:rPr>
            </w:pPr>
            <w:r>
              <w:rPr>
                <w:b/>
                <w:bCs w:val="0"/>
                <w:position w:val="-30"/>
                <w:sz w:val="24"/>
              </w:rPr>
              <w:t>数据建设基础</w:t>
            </w:r>
            <w:r>
              <w:rPr>
                <w:rFonts w:hint="eastAsia"/>
                <w:b/>
                <w:bCs w:val="0"/>
                <w:position w:val="-30"/>
                <w:sz w:val="24"/>
                <w:lang w:eastAsia="zh-CN"/>
              </w:rPr>
              <w:t>：</w:t>
            </w:r>
          </w:p>
          <w:p w14:paraId="546ECAD7">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（1）充电站数据接入：已完成武汉市982个充电桩、152座充电站的数据接入工作，数据包含站点位置、充电桩数量、实时可用性、动态电价、服务费率、运营商信息等完整属性</w:t>
            </w:r>
          </w:p>
          <w:p w14:paraId="3F930CB7">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（2）车型参数数据库：已建立覆盖15个品牌、60余款主流电动车型的参数数据库，包含特斯拉Model 3/Model Y、比亚迪汉EV/唐EV、蔚来ES6/ES8、小鹏P7/G3等市场主流车型，数据项包括电池容量（kWh）、能耗率（kWh/100km）、最大充电功率（kW）、电池类型等</w:t>
            </w:r>
          </w:p>
          <w:p w14:paraId="52ADA67B">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（3）路网数据处理：已完成OSM开源路网数据的下载、解析与存储，覆盖武汉市主城区道路网络，包含道路长度、限速、类型等属性信息</w:t>
            </w:r>
          </w:p>
          <w:p w14:paraId="04F37A1A">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rFonts w:hint="eastAsia" w:eastAsia="宋体"/>
                <w:b/>
                <w:bCs w:val="0"/>
                <w:position w:val="-30"/>
                <w:sz w:val="24"/>
                <w:lang w:eastAsia="zh-CN"/>
              </w:rPr>
            </w:pPr>
            <w:r>
              <w:rPr>
                <w:b/>
                <w:bCs w:val="0"/>
                <w:position w:val="-30"/>
                <w:sz w:val="24"/>
              </w:rPr>
              <w:t>算法实现基础</w:t>
            </w:r>
            <w:r>
              <w:rPr>
                <w:rFonts w:hint="eastAsia"/>
                <w:b/>
                <w:bCs w:val="0"/>
                <w:position w:val="-30"/>
                <w:sz w:val="24"/>
                <w:lang w:eastAsia="zh-CN"/>
              </w:rPr>
              <w:t>：</w:t>
            </w:r>
          </w:p>
          <w:p w14:paraId="03904A75">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（1）已完成多目标加权评分算法的开发，综合距离、价格、等待时间、充电功率四维因素进行智能推荐</w:t>
            </w:r>
          </w:p>
          <w:p w14:paraId="4966E52B">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（2）已完成A*路径规划算法的开发，基于OSM路网实现最短路径搜索</w:t>
            </w:r>
          </w:p>
          <w:p w14:paraId="2FE50282">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（3）已完成充电曲线拟合模型的开发，建立分段线性充电曲线，考虑功率衰减特性</w:t>
            </w:r>
          </w:p>
          <w:p w14:paraId="43ECDEA3">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（4）已完成可达性判断算法的开发，基于车辆SOC、电池容量、能耗参数计算安全续航阈值</w:t>
            </w:r>
          </w:p>
          <w:p w14:paraId="652EF058">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（5）已完成"高德API→A*OSM路网→系数估算"三层降级机制的实现，保障服务高可用性</w:t>
            </w:r>
          </w:p>
          <w:p w14:paraId="3C421AE7">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
                <w:bCs w:val="0"/>
                <w:position w:val="-30"/>
                <w:sz w:val="24"/>
              </w:rPr>
              <w:t>试点应用基础</w:t>
            </w:r>
            <w:r>
              <w:rPr>
                <w:rFonts w:hint="eastAsia"/>
                <w:b/>
                <w:bCs w:val="0"/>
                <w:position w:val="-30"/>
                <w:sz w:val="24"/>
                <w:lang w:eastAsia="zh-CN"/>
              </w:rPr>
              <w:t>：</w:t>
            </w:r>
            <w:r>
              <w:rPr>
                <w:bCs/>
                <w:position w:val="-30"/>
                <w:sz w:val="24"/>
              </w:rPr>
              <w:t>本项目武汉市主城区152座充电站的接入与试点应用，系统日均服务约3500人次。试点过程中积累的用户反馈与运营经验，为后续系统优化与规模推广奠定了坚实基础。</w:t>
            </w:r>
          </w:p>
          <w:p w14:paraId="175D7434">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rFonts w:hint="eastAsia" w:ascii="黑体" w:hAnsi="黑体" w:eastAsia="黑体" w:cs="黑体"/>
                <w:bCs/>
                <w:position w:val="-30"/>
                <w:sz w:val="24"/>
              </w:rPr>
            </w:pPr>
            <w:r>
              <w:rPr>
                <w:rFonts w:hint="eastAsia" w:ascii="黑体" w:hAnsi="黑体" w:eastAsia="黑体" w:cs="黑体"/>
                <w:bCs/>
                <w:position w:val="-30"/>
                <w:sz w:val="24"/>
              </w:rPr>
              <w:t>2. 拟投入课题研究的时间</w:t>
            </w:r>
          </w:p>
          <w:p w14:paraId="419FFBE1">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Cs/>
                <w:position w:val="-30"/>
                <w:sz w:val="24"/>
              </w:rPr>
              <w:t>本项目团队成员共5人，均为武汉理工大学交通与物流工程学院本科生，具备充足的时间投入项目研究。团队成员分工明确，角色清晰，形成完整的研发体系。团队成员均具备扎实的专业基础与较强的科研能力，能够保证项目的高质量完成。在项目周期内，团队将保持每周至少</w:t>
            </w:r>
            <w:r>
              <w:rPr>
                <w:rFonts w:hint="eastAsia"/>
                <w:bCs/>
                <w:position w:val="-30"/>
                <w:sz w:val="24"/>
                <w:lang w:val="en-US" w:eastAsia="zh-CN"/>
              </w:rPr>
              <w:t>1</w:t>
            </w:r>
            <w:r>
              <w:rPr>
                <w:bCs/>
                <w:position w:val="-30"/>
                <w:sz w:val="24"/>
              </w:rPr>
              <w:t>次的组会沟通，确保研发进度与问题解决的及时性。</w:t>
            </w:r>
          </w:p>
          <w:p w14:paraId="727FF31A">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rFonts w:hint="eastAsia" w:ascii="黑体" w:hAnsi="黑体" w:eastAsia="黑体" w:cs="黑体"/>
                <w:bCs/>
                <w:position w:val="-30"/>
                <w:sz w:val="24"/>
              </w:rPr>
              <w:t>3. 项目研究所需场地、资料、设备保障</w:t>
            </w:r>
          </w:p>
          <w:p w14:paraId="36F7B5C1">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
                <w:bCs w:val="0"/>
                <w:position w:val="-30"/>
                <w:sz w:val="24"/>
              </w:rPr>
              <w:t>场地保障</w:t>
            </w:r>
            <w:r>
              <w:rPr>
                <w:rFonts w:hint="eastAsia"/>
                <w:b/>
                <w:bCs w:val="0"/>
                <w:position w:val="-30"/>
                <w:sz w:val="24"/>
                <w:lang w:eastAsia="zh-CN"/>
              </w:rPr>
              <w:t>：</w:t>
            </w:r>
            <w:r>
              <w:rPr>
                <w:bCs/>
                <w:position w:val="-30"/>
                <w:sz w:val="24"/>
              </w:rPr>
              <w:t>武汉理工大学交通与物流工程学院提供必要的科研场地与设备，包括实验室工位、服务器机房、网络环境等</w:t>
            </w:r>
            <w:r>
              <w:rPr>
                <w:rFonts w:hint="eastAsia"/>
                <w:bCs/>
                <w:position w:val="-30"/>
                <w:sz w:val="24"/>
                <w:lang w:eastAsia="zh-CN"/>
              </w:rPr>
              <w:t>。</w:t>
            </w:r>
            <w:r>
              <w:rPr>
                <w:bCs/>
                <w:position w:val="-30"/>
                <w:sz w:val="24"/>
              </w:rPr>
              <w:t>团队具备良好的学习与科研环境，成员可在实验室进行开发、测试与讨论工作</w:t>
            </w:r>
            <w:r>
              <w:rPr>
                <w:rFonts w:hint="eastAsia"/>
                <w:bCs/>
                <w:position w:val="-30"/>
                <w:sz w:val="24"/>
                <w:lang w:eastAsia="zh-CN"/>
              </w:rPr>
              <w:t>。</w:t>
            </w:r>
            <w:r>
              <w:rPr>
                <w:bCs/>
                <w:position w:val="-30"/>
                <w:sz w:val="24"/>
              </w:rPr>
              <w:t>学校图书馆与数据库资源可为项目提供充足的文献检索与资料查阅支持</w:t>
            </w:r>
          </w:p>
          <w:p w14:paraId="52984F09">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rFonts w:hint="eastAsia" w:eastAsia="宋体"/>
                <w:b/>
                <w:bCs w:val="0"/>
                <w:position w:val="-30"/>
                <w:sz w:val="24"/>
                <w:lang w:eastAsia="zh-CN"/>
              </w:rPr>
            </w:pPr>
            <w:r>
              <w:rPr>
                <w:b/>
                <w:bCs w:val="0"/>
                <w:position w:val="-30"/>
                <w:sz w:val="24"/>
              </w:rPr>
              <w:t>资料保障</w:t>
            </w:r>
            <w:r>
              <w:rPr>
                <w:rFonts w:hint="eastAsia"/>
                <w:b/>
                <w:bCs w:val="0"/>
                <w:position w:val="-30"/>
                <w:sz w:val="24"/>
                <w:lang w:eastAsia="zh-CN"/>
              </w:rPr>
              <w:t>：</w:t>
            </w:r>
          </w:p>
          <w:p w14:paraId="25FFE414">
            <w:pPr>
              <w:pStyle w:val="6"/>
              <w:keepNext w:val="0"/>
              <w:keepLines w:val="0"/>
              <w:pageBreakBefore w:val="0"/>
              <w:widowControl w:val="0"/>
              <w:numPr>
                <w:ilvl w:val="0"/>
                <w:numId w:val="10"/>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路网数据：OSM开源路网数据覆盖完整，可免费获取武汉市主城区道路网络数据</w:t>
            </w:r>
          </w:p>
          <w:p w14:paraId="6D68C9A3">
            <w:pPr>
              <w:pStyle w:val="6"/>
              <w:keepNext w:val="0"/>
              <w:keepLines w:val="0"/>
              <w:pageBreakBefore w:val="0"/>
              <w:widowControl w:val="0"/>
              <w:numPr>
                <w:ilvl w:val="0"/>
                <w:numId w:val="10"/>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充电运营商数据：已与国家电网、星星充电等运营商建立数据接口对接，获取实时充电桩状态与电价信息</w:t>
            </w:r>
          </w:p>
          <w:p w14:paraId="302C9195">
            <w:pPr>
              <w:pStyle w:val="6"/>
              <w:keepNext w:val="0"/>
              <w:keepLines w:val="0"/>
              <w:pageBreakBefore w:val="0"/>
              <w:widowControl w:val="0"/>
              <w:numPr>
                <w:ilvl w:val="0"/>
                <w:numId w:val="10"/>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地图API：高德地图Web服务API已集成，提供路径规划与导航功能支持</w:t>
            </w:r>
          </w:p>
          <w:p w14:paraId="4F79D3B1">
            <w:pPr>
              <w:pStyle w:val="6"/>
              <w:keepNext w:val="0"/>
              <w:keepLines w:val="0"/>
              <w:pageBreakBefore w:val="0"/>
              <w:widowControl w:val="0"/>
              <w:numPr>
                <w:ilvl w:val="0"/>
                <w:numId w:val="10"/>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车型参数：通过汽车厂商官网、媒体报道、行业报告等多渠道收集60余款主流电动车型的参数信息</w:t>
            </w:r>
          </w:p>
          <w:p w14:paraId="1D356D0A">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rFonts w:hint="eastAsia" w:eastAsia="宋体"/>
                <w:b/>
                <w:bCs w:val="0"/>
                <w:position w:val="-30"/>
                <w:sz w:val="24"/>
                <w:lang w:eastAsia="zh-CN"/>
              </w:rPr>
            </w:pPr>
            <w:r>
              <w:rPr>
                <w:b/>
                <w:bCs w:val="0"/>
                <w:position w:val="-30"/>
                <w:sz w:val="24"/>
              </w:rPr>
              <w:t>设备保障</w:t>
            </w:r>
            <w:r>
              <w:rPr>
                <w:rFonts w:hint="eastAsia"/>
                <w:b/>
                <w:bCs w:val="0"/>
                <w:position w:val="-30"/>
                <w:sz w:val="24"/>
                <w:lang w:eastAsia="zh-CN"/>
              </w:rPr>
              <w:t>：</w:t>
            </w:r>
          </w:p>
          <w:p w14:paraId="35252796">
            <w:pPr>
              <w:pStyle w:val="6"/>
              <w:keepNext w:val="0"/>
              <w:keepLines w:val="0"/>
              <w:pageBreakBefore w:val="0"/>
              <w:widowControl w:val="0"/>
              <w:numPr>
                <w:ilvl w:val="0"/>
                <w:numId w:val="11"/>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开发测试服务器：已配置云服务器，用于后端API部署与算法测试</w:t>
            </w:r>
          </w:p>
          <w:p w14:paraId="1B6C8A0E">
            <w:pPr>
              <w:pStyle w:val="6"/>
              <w:keepNext w:val="0"/>
              <w:keepLines w:val="0"/>
              <w:pageBreakBefore w:val="0"/>
              <w:widowControl w:val="0"/>
              <w:numPr>
                <w:ilvl w:val="0"/>
                <w:numId w:val="11"/>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移动端测试设备：团队成员持有多种Android设备，可进行移动端App的兼容性测试</w:t>
            </w:r>
          </w:p>
          <w:p w14:paraId="2394BA31">
            <w:pPr>
              <w:pStyle w:val="6"/>
              <w:keepNext w:val="0"/>
              <w:keepLines w:val="0"/>
              <w:pageBreakBefore w:val="0"/>
              <w:widowControl w:val="0"/>
              <w:numPr>
                <w:ilvl w:val="0"/>
                <w:numId w:val="11"/>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云服务资源：阿里云/腾讯云服务资源充足，满足系统部署与扩展需求</w:t>
            </w:r>
          </w:p>
          <w:p w14:paraId="74418B19">
            <w:pPr>
              <w:pStyle w:val="6"/>
              <w:keepNext w:val="0"/>
              <w:keepLines w:val="0"/>
              <w:pageBreakBefore w:val="0"/>
              <w:widowControl w:val="0"/>
              <w:numPr>
                <w:ilvl w:val="0"/>
                <w:numId w:val="11"/>
              </w:numPr>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开发工具：团队成员开发环境配置齐全，包括Python、Flutter、Vue.js等技术栈所需的IDE与工具链</w:t>
            </w:r>
          </w:p>
          <w:p w14:paraId="058A2A27">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rFonts w:hint="eastAsia" w:ascii="黑体" w:hAnsi="黑体" w:eastAsia="黑体" w:cs="黑体"/>
                <w:bCs/>
                <w:position w:val="-30"/>
                <w:sz w:val="24"/>
              </w:rPr>
            </w:pPr>
            <w:r>
              <w:rPr>
                <w:rFonts w:hint="eastAsia" w:ascii="黑体" w:hAnsi="黑体" w:eastAsia="黑体" w:cs="黑体"/>
                <w:bCs/>
                <w:position w:val="-30"/>
                <w:sz w:val="24"/>
              </w:rPr>
              <w:t>4. 指导教师指导时间保证</w:t>
            </w:r>
          </w:p>
          <w:p w14:paraId="217D0E2A">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Cs/>
                <w:position w:val="-30"/>
                <w:sz w:val="24"/>
              </w:rPr>
              <w:t>指导教师赵欣副教授为武汉理工大学交通与物流工程学院副教授，长期从事智能交通系统、车辆导航优化、物流路径规划等领域的教学与科研工作，具有丰富的项目指导经验。近年来主持参与了多项交通领域的科研项目，发表高水平学术论文十余篇。</w:t>
            </w:r>
          </w:p>
          <w:p w14:paraId="2A896312">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
                <w:bCs w:val="0"/>
                <w:position w:val="-30"/>
                <w:sz w:val="24"/>
              </w:rPr>
            </w:pPr>
            <w:r>
              <w:rPr>
                <w:b/>
                <w:bCs w:val="0"/>
                <w:position w:val="-30"/>
                <w:sz w:val="24"/>
              </w:rPr>
              <w:t>指导时间安排与保障：</w:t>
            </w:r>
          </w:p>
          <w:p w14:paraId="3C927228">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（1）每周固定组会：每周至少1次线下组会，汇报项目进展、讨论技术问题、明确下周计划</w:t>
            </w:r>
          </w:p>
          <w:p w14:paraId="06C0F19E">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（2）随时答疑机制：通过微信、邮件等线上方式随时与指导教师沟通，确保关键问题及时解决</w:t>
            </w:r>
          </w:p>
          <w:p w14:paraId="50064245">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（3）关键节点指导：在系统设计、算法实现、论文撰写等重大节点，指导教师给予方向性指导与把关</w:t>
            </w:r>
          </w:p>
          <w:p w14:paraId="7E73AA41">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bCs/>
                <w:position w:val="-30"/>
                <w:sz w:val="24"/>
              </w:rPr>
            </w:pPr>
            <w:r>
              <w:rPr>
                <w:bCs/>
                <w:position w:val="-30"/>
                <w:sz w:val="24"/>
              </w:rPr>
              <w:t>（4）资源协调支持：指导教师可帮助协调校内实验室资源、联系企业合作、对接行业专家等</w:t>
            </w:r>
          </w:p>
          <w:p w14:paraId="44ED69CD">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0" w:firstLineChars="0"/>
              <w:textAlignment w:val="auto"/>
              <w:rPr>
                <w:rFonts w:hint="eastAsia" w:ascii="黑体" w:hAnsi="黑体" w:eastAsia="黑体" w:cs="黑体"/>
                <w:bCs/>
                <w:position w:val="-30"/>
                <w:sz w:val="24"/>
              </w:rPr>
            </w:pPr>
            <w:r>
              <w:rPr>
                <w:rFonts w:hint="eastAsia" w:ascii="黑体" w:hAnsi="黑体" w:eastAsia="黑体" w:cs="黑体"/>
                <w:bCs/>
                <w:position w:val="-30"/>
                <w:sz w:val="24"/>
              </w:rPr>
              <w:t>5. 项目研究的其他保障条件</w:t>
            </w:r>
          </w:p>
          <w:p w14:paraId="5DC0C7D2">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
                <w:bCs w:val="0"/>
                <w:position w:val="-30"/>
                <w:sz w:val="24"/>
              </w:rPr>
              <w:t>团队协作机制</w:t>
            </w:r>
            <w:r>
              <w:rPr>
                <w:rFonts w:hint="eastAsia"/>
                <w:b/>
                <w:bCs w:val="0"/>
                <w:position w:val="-30"/>
                <w:sz w:val="24"/>
                <w:lang w:eastAsia="zh-CN"/>
              </w:rPr>
              <w:t>：</w:t>
            </w:r>
            <w:r>
              <w:rPr>
                <w:bCs/>
                <w:position w:val="-30"/>
                <w:sz w:val="24"/>
              </w:rPr>
              <w:t>项目建立了完善的团队协作机制，包括：每日</w:t>
            </w:r>
            <w:r>
              <w:rPr>
                <w:rFonts w:hint="eastAsia"/>
                <w:bCs/>
                <w:position w:val="-30"/>
                <w:sz w:val="24"/>
                <w:lang w:val="en-US" w:eastAsia="zh-CN"/>
              </w:rPr>
              <w:t>会议</w:t>
            </w:r>
            <w:r>
              <w:rPr>
                <w:bCs/>
                <w:position w:val="-30"/>
                <w:sz w:val="24"/>
              </w:rPr>
              <w:t>（15分钟）同步工作进展、周报制度记录与汇报、代码评审机制确保代码质量、文档同步机制保证知识共享。团队使用Git进行版本控制，使用飞书/</w:t>
            </w:r>
            <w:r>
              <w:rPr>
                <w:rFonts w:hint="eastAsia"/>
                <w:bCs/>
                <w:position w:val="-30"/>
                <w:sz w:val="24"/>
                <w:lang w:val="en-US" w:eastAsia="zh-CN"/>
              </w:rPr>
              <w:t>微信</w:t>
            </w:r>
            <w:r>
              <w:rPr>
                <w:bCs/>
                <w:position w:val="-30"/>
                <w:sz w:val="24"/>
              </w:rPr>
              <w:t>进行日常沟通，使用飞书文档进行知识管理。</w:t>
            </w:r>
          </w:p>
          <w:p w14:paraId="06E5D82E">
            <w:pPr>
              <w:pStyle w:val="6"/>
              <w:keepNext w:val="0"/>
              <w:keepLines w:val="0"/>
              <w:pageBreakBefore w:val="0"/>
              <w:widowControl w:val="0"/>
              <w:kinsoku/>
              <w:wordWrap/>
              <w:overflowPunct/>
              <w:topLinePunct w:val="0"/>
              <w:autoSpaceDE w:val="0"/>
              <w:autoSpaceDN w:val="0"/>
              <w:bidi w:val="0"/>
              <w:adjustRightInd w:val="0"/>
              <w:snapToGrid w:val="0"/>
              <w:spacing w:line="440" w:lineRule="atLeast"/>
              <w:ind w:left="0" w:leftChars="0" w:right="0" w:firstLine="480" w:firstLineChars="200"/>
              <w:textAlignment w:val="auto"/>
              <w:rPr>
                <w:bCs/>
                <w:position w:val="-30"/>
                <w:sz w:val="24"/>
              </w:rPr>
            </w:pPr>
            <w:r>
              <w:rPr>
                <w:b/>
                <w:bCs w:val="0"/>
                <w:position w:val="-30"/>
                <w:sz w:val="24"/>
              </w:rPr>
              <w:t>质量保障机制</w:t>
            </w:r>
            <w:r>
              <w:rPr>
                <w:rFonts w:hint="eastAsia"/>
                <w:b/>
                <w:bCs w:val="0"/>
                <w:position w:val="-30"/>
                <w:sz w:val="24"/>
                <w:lang w:eastAsia="zh-CN"/>
              </w:rPr>
              <w:t>：</w:t>
            </w:r>
            <w:r>
              <w:rPr>
                <w:bCs/>
                <w:position w:val="-30"/>
                <w:sz w:val="24"/>
              </w:rPr>
              <w:t>项目遵循敏捷开发方法，采用迭代式开发周期，每个迭代周期为2周。每个迭代结束前进行功能测试与性能评估，确保交付质量。项目设立代码审查制度，所有代码合并前需经过至少一名团队成员的审查，确保代码质量与可维护性。</w:t>
            </w:r>
          </w:p>
          <w:p w14:paraId="3A42AB45">
            <w:pPr>
              <w:pStyle w:val="6"/>
              <w:snapToGrid w:val="0"/>
              <w:ind w:left="0" w:leftChars="0" w:right="0" w:firstLine="0" w:firstLineChars="0"/>
              <w:rPr>
                <w:bCs/>
                <w:position w:val="-30"/>
                <w:sz w:val="24"/>
              </w:rPr>
            </w:pPr>
          </w:p>
        </w:tc>
      </w:tr>
    </w:tbl>
    <w:p w14:paraId="46B18742">
      <w:pPr>
        <w:spacing w:line="360" w:lineRule="auto"/>
        <w:rPr>
          <w:sz w:val="18"/>
        </w:rPr>
      </w:pPr>
      <w:r>
        <w:rPr>
          <w:rFonts w:hint="eastAsia" w:eastAsia="黑体"/>
          <w:sz w:val="28"/>
        </w:rPr>
        <w:t>四</w:t>
      </w:r>
      <w:r>
        <w:rPr>
          <w:rFonts w:eastAsia="黑体"/>
          <w:sz w:val="28"/>
        </w:rPr>
        <w:t>、申请资助金额和经费预算</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1844"/>
        <w:gridCol w:w="2384"/>
        <w:gridCol w:w="2235"/>
      </w:tblGrid>
      <w:tr w14:paraId="147C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1206" w:type="pct"/>
            <w:vAlign w:val="center"/>
          </w:tcPr>
          <w:p w14:paraId="239EBCE7">
            <w:pPr>
              <w:spacing w:line="440" w:lineRule="exact"/>
              <w:jc w:val="center"/>
              <w:rPr>
                <w:sz w:val="24"/>
              </w:rPr>
            </w:pPr>
            <w:r>
              <w:rPr>
                <w:sz w:val="24"/>
              </w:rPr>
              <w:t>资金总额及来源</w:t>
            </w:r>
          </w:p>
        </w:tc>
        <w:tc>
          <w:tcPr>
            <w:tcW w:w="1082" w:type="pct"/>
            <w:vAlign w:val="center"/>
          </w:tcPr>
          <w:p w14:paraId="1BC1C02A">
            <w:pPr>
              <w:spacing w:line="440" w:lineRule="exact"/>
              <w:rPr>
                <w:sz w:val="24"/>
              </w:rPr>
            </w:pPr>
            <w:r>
              <w:rPr>
                <w:sz w:val="24"/>
              </w:rPr>
              <w:t>共计</w:t>
            </w:r>
            <w:r>
              <w:rPr>
                <w:rFonts w:hint="eastAsia"/>
                <w:sz w:val="24"/>
              </w:rPr>
              <w:t>：17000元</w:t>
            </w:r>
          </w:p>
        </w:tc>
        <w:tc>
          <w:tcPr>
            <w:tcW w:w="1399" w:type="pct"/>
            <w:vAlign w:val="center"/>
          </w:tcPr>
          <w:p w14:paraId="72F5C15A">
            <w:pPr>
              <w:spacing w:line="440" w:lineRule="exact"/>
              <w:jc w:val="left"/>
              <w:rPr>
                <w:sz w:val="24"/>
              </w:rPr>
            </w:pPr>
            <w:r>
              <w:rPr>
                <w:sz w:val="24"/>
              </w:rPr>
              <w:t>申请资助</w:t>
            </w:r>
            <w:r>
              <w:rPr>
                <w:rFonts w:hint="eastAsia"/>
                <w:sz w:val="24"/>
              </w:rPr>
              <w:t>17000元</w:t>
            </w:r>
          </w:p>
        </w:tc>
        <w:tc>
          <w:tcPr>
            <w:tcW w:w="1311" w:type="pct"/>
            <w:vAlign w:val="center"/>
          </w:tcPr>
          <w:p w14:paraId="59079F71">
            <w:pPr>
              <w:spacing w:line="440" w:lineRule="exact"/>
              <w:jc w:val="left"/>
              <w:rPr>
                <w:sz w:val="24"/>
              </w:rPr>
            </w:pPr>
            <w:r>
              <w:rPr>
                <w:sz w:val="24"/>
              </w:rPr>
              <w:t xml:space="preserve">自筹经费 </w:t>
            </w:r>
            <w:r>
              <w:rPr>
                <w:rFonts w:hint="eastAsia"/>
                <w:sz w:val="24"/>
              </w:rPr>
              <w:t>0 元</w:t>
            </w:r>
          </w:p>
        </w:tc>
      </w:tr>
      <w:tr w14:paraId="52EE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1206" w:type="pct"/>
            <w:vAlign w:val="center"/>
          </w:tcPr>
          <w:p w14:paraId="0A62AC3E">
            <w:pPr>
              <w:spacing w:line="720" w:lineRule="auto"/>
              <w:jc w:val="center"/>
              <w:rPr>
                <w:sz w:val="24"/>
              </w:rPr>
            </w:pPr>
            <w:r>
              <w:rPr>
                <w:sz w:val="24"/>
              </w:rPr>
              <w:t>预算支出科目</w:t>
            </w:r>
          </w:p>
        </w:tc>
        <w:tc>
          <w:tcPr>
            <w:tcW w:w="1082" w:type="pct"/>
            <w:vAlign w:val="center"/>
          </w:tcPr>
          <w:p w14:paraId="067685FE">
            <w:pPr>
              <w:spacing w:line="720" w:lineRule="auto"/>
              <w:jc w:val="center"/>
              <w:rPr>
                <w:sz w:val="24"/>
              </w:rPr>
            </w:pPr>
            <w:r>
              <w:rPr>
                <w:sz w:val="24"/>
              </w:rPr>
              <w:t>支出金额</w:t>
            </w:r>
          </w:p>
        </w:tc>
        <w:tc>
          <w:tcPr>
            <w:tcW w:w="2710" w:type="pct"/>
            <w:gridSpan w:val="2"/>
            <w:vAlign w:val="center"/>
          </w:tcPr>
          <w:p w14:paraId="0BFF0EFC">
            <w:pPr>
              <w:spacing w:line="720" w:lineRule="auto"/>
              <w:jc w:val="center"/>
              <w:rPr>
                <w:sz w:val="24"/>
              </w:rPr>
            </w:pPr>
            <w:r>
              <w:rPr>
                <w:sz w:val="24"/>
              </w:rPr>
              <w:t>预算依据及理由</w:t>
            </w:r>
          </w:p>
        </w:tc>
      </w:tr>
      <w:tr w14:paraId="5F7D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237FBE0B">
            <w:pPr>
              <w:spacing w:line="720" w:lineRule="auto"/>
              <w:jc w:val="center"/>
              <w:rPr>
                <w:sz w:val="24"/>
              </w:rPr>
            </w:pPr>
            <w:r>
              <w:rPr>
                <w:sz w:val="24"/>
              </w:rPr>
              <w:t>实验材料费</w:t>
            </w:r>
          </w:p>
        </w:tc>
        <w:tc>
          <w:tcPr>
            <w:tcW w:w="1082" w:type="pct"/>
            <w:vAlign w:val="center"/>
          </w:tcPr>
          <w:p w14:paraId="76AA83BC">
            <w:pPr>
              <w:spacing w:line="720" w:lineRule="auto"/>
              <w:ind w:firstLine="480" w:firstLineChars="200"/>
              <w:jc w:val="both"/>
              <w:rPr>
                <w:sz w:val="24"/>
              </w:rPr>
            </w:pPr>
            <w:r>
              <w:rPr>
                <w:rFonts w:hint="eastAsia"/>
                <w:sz w:val="24"/>
                <w:lang w:eastAsia="zh"/>
                <w:woUserID w:val="1"/>
              </w:rPr>
              <w:t>1800</w:t>
            </w:r>
            <w:r>
              <w:rPr>
                <w:rFonts w:hint="eastAsia"/>
                <w:sz w:val="24"/>
              </w:rPr>
              <w:t>0元</w:t>
            </w:r>
          </w:p>
        </w:tc>
        <w:tc>
          <w:tcPr>
            <w:tcW w:w="2710" w:type="pct"/>
            <w:gridSpan w:val="2"/>
            <w:vAlign w:val="center"/>
          </w:tcPr>
          <w:p w14:paraId="068CB80A">
            <w:pPr>
              <w:spacing w:line="720" w:lineRule="auto"/>
              <w:rPr>
                <w:sz w:val="24"/>
              </w:rPr>
            </w:pPr>
            <w:r>
              <w:rPr>
                <w:rFonts w:ascii="宋体" w:hAnsi="宋体" w:eastAsia="宋体" w:cs="宋体"/>
                <w:sz w:val="24"/>
                <w:szCs w:val="24"/>
                <w:woUserID w:val="1"/>
              </w:rPr>
              <w:t>用于购买新能源汽车充电导航系统研发及硬件搭建所需的微控制器元器件、数据采集模块、开发套件及相关实验耗材等。</w:t>
            </w:r>
          </w:p>
        </w:tc>
      </w:tr>
      <w:tr w14:paraId="7662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5B2002D8">
            <w:pPr>
              <w:spacing w:line="720" w:lineRule="auto"/>
              <w:jc w:val="center"/>
              <w:rPr>
                <w:sz w:val="24"/>
              </w:rPr>
            </w:pPr>
            <w:r>
              <w:rPr>
                <w:sz w:val="24"/>
              </w:rPr>
              <w:t>设备费</w:t>
            </w:r>
          </w:p>
        </w:tc>
        <w:tc>
          <w:tcPr>
            <w:tcW w:w="1843" w:type="dxa"/>
            <w:vAlign w:val="center"/>
          </w:tcPr>
          <w:p w14:paraId="7619F1DB">
            <w:pPr>
              <w:widowControl/>
              <w:spacing w:line="300" w:lineRule="atLeast"/>
              <w:ind w:firstLine="240" w:firstLineChars="100"/>
              <w:jc w:val="left"/>
              <w:rPr>
                <w:sz w:val="24"/>
              </w:rPr>
            </w:pPr>
            <w:bookmarkStart w:id="0" w:name="_GoBack"/>
            <w:bookmarkEnd w:id="0"/>
            <w:r>
              <w:rPr>
                <w:rFonts w:hint="eastAsia" w:ascii="宋体" w:hAnsi="宋体" w:eastAsia="宋体" w:cs="宋体"/>
                <w:color w:val="0F1115"/>
                <w:kern w:val="0"/>
                <w:sz w:val="24"/>
                <w:szCs w:val="24"/>
                <w:lang w:bidi="ar"/>
              </w:rPr>
              <w:t>元</w:t>
            </w:r>
          </w:p>
        </w:tc>
        <w:tc>
          <w:tcPr>
            <w:tcW w:w="4617" w:type="dxa"/>
            <w:gridSpan w:val="2"/>
            <w:vAlign w:val="center"/>
          </w:tcPr>
          <w:p w14:paraId="5C605325">
            <w:pPr>
              <w:widowControl/>
              <w:spacing w:line="300" w:lineRule="atLeast"/>
              <w:jc w:val="left"/>
              <w:rPr>
                <w:sz w:val="24"/>
              </w:rPr>
            </w:pPr>
            <w:r>
              <w:rPr>
                <w:rFonts w:hint="eastAsia" w:ascii="宋体" w:hAnsi="宋体" w:eastAsia="宋体" w:cs="宋体"/>
                <w:color w:val="0F1115"/>
                <w:kern w:val="0"/>
                <w:sz w:val="24"/>
                <w:szCs w:val="24"/>
                <w:lang w:bidi="ar"/>
              </w:rPr>
              <w:t>租用云服务器（ECS、数据库等）用于平台部署、测试及展示，按需付费。</w:t>
            </w:r>
          </w:p>
        </w:tc>
      </w:tr>
      <w:tr w14:paraId="1A57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414FCDED">
            <w:pPr>
              <w:spacing w:line="720" w:lineRule="auto"/>
              <w:jc w:val="center"/>
              <w:rPr>
                <w:sz w:val="24"/>
              </w:rPr>
            </w:pPr>
            <w:r>
              <w:rPr>
                <w:sz w:val="24"/>
              </w:rPr>
              <w:t>论文费</w:t>
            </w:r>
          </w:p>
        </w:tc>
        <w:tc>
          <w:tcPr>
            <w:tcW w:w="1843" w:type="dxa"/>
            <w:vAlign w:val="center"/>
          </w:tcPr>
          <w:p w14:paraId="2D9BDE22">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5000元</w:t>
            </w:r>
          </w:p>
        </w:tc>
        <w:tc>
          <w:tcPr>
            <w:tcW w:w="4617" w:type="dxa"/>
            <w:gridSpan w:val="2"/>
            <w:vAlign w:val="center"/>
          </w:tcPr>
          <w:p w14:paraId="4FA57A72">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用于支付拟投稿学术论文的版面费。</w:t>
            </w:r>
          </w:p>
        </w:tc>
      </w:tr>
      <w:tr w14:paraId="5126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1E9201C1">
            <w:pPr>
              <w:spacing w:line="720" w:lineRule="auto"/>
              <w:jc w:val="center"/>
              <w:rPr>
                <w:sz w:val="24"/>
              </w:rPr>
            </w:pPr>
            <w:r>
              <w:rPr>
                <w:sz w:val="24"/>
              </w:rPr>
              <w:t>专利费</w:t>
            </w:r>
          </w:p>
        </w:tc>
        <w:tc>
          <w:tcPr>
            <w:tcW w:w="1843" w:type="dxa"/>
            <w:vAlign w:val="center"/>
          </w:tcPr>
          <w:p w14:paraId="625A1C0F">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3500元</w:t>
            </w:r>
          </w:p>
        </w:tc>
        <w:tc>
          <w:tcPr>
            <w:tcW w:w="4617" w:type="dxa"/>
            <w:gridSpan w:val="2"/>
            <w:vAlign w:val="center"/>
          </w:tcPr>
          <w:p w14:paraId="35F34836">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用于支付发明专利的申请费、实质审查费等前期官费。</w:t>
            </w:r>
          </w:p>
        </w:tc>
      </w:tr>
      <w:tr w14:paraId="6055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3CEDB7B6">
            <w:pPr>
              <w:spacing w:line="720" w:lineRule="auto"/>
              <w:jc w:val="center"/>
              <w:rPr>
                <w:sz w:val="24"/>
              </w:rPr>
            </w:pPr>
            <w:r>
              <w:rPr>
                <w:sz w:val="24"/>
              </w:rPr>
              <w:t>差旅费</w:t>
            </w:r>
          </w:p>
        </w:tc>
        <w:tc>
          <w:tcPr>
            <w:tcW w:w="1843" w:type="dxa"/>
            <w:vAlign w:val="center"/>
          </w:tcPr>
          <w:p w14:paraId="06AD9DF5">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1500元</w:t>
            </w:r>
          </w:p>
        </w:tc>
        <w:tc>
          <w:tcPr>
            <w:tcW w:w="4617" w:type="dxa"/>
            <w:gridSpan w:val="2"/>
            <w:vAlign w:val="center"/>
          </w:tcPr>
          <w:p w14:paraId="4D917581">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用于项目组成员进行实地调研、数据采集及参加学术会议交流的交通及住宿支出。</w:t>
            </w:r>
          </w:p>
        </w:tc>
      </w:tr>
      <w:tr w14:paraId="5935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507C327F">
            <w:pPr>
              <w:spacing w:line="720" w:lineRule="auto"/>
              <w:jc w:val="center"/>
              <w:rPr>
                <w:sz w:val="24"/>
              </w:rPr>
            </w:pPr>
            <w:r>
              <w:rPr>
                <w:sz w:val="24"/>
              </w:rPr>
              <w:t>打印费</w:t>
            </w:r>
          </w:p>
        </w:tc>
        <w:tc>
          <w:tcPr>
            <w:tcW w:w="1843" w:type="dxa"/>
            <w:vAlign w:val="center"/>
          </w:tcPr>
          <w:p w14:paraId="47AA0A7A">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500元</w:t>
            </w:r>
          </w:p>
        </w:tc>
        <w:tc>
          <w:tcPr>
            <w:tcW w:w="4617" w:type="dxa"/>
            <w:gridSpan w:val="2"/>
            <w:vAlign w:val="center"/>
          </w:tcPr>
          <w:p w14:paraId="6160CA14">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用于文献资料、申报书、结题报告等材料的打印与装订。</w:t>
            </w:r>
          </w:p>
        </w:tc>
      </w:tr>
      <w:tr w14:paraId="286F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6AF2836D">
            <w:pPr>
              <w:spacing w:line="720" w:lineRule="auto"/>
              <w:jc w:val="center"/>
              <w:rPr>
                <w:sz w:val="24"/>
              </w:rPr>
            </w:pPr>
            <w:r>
              <w:rPr>
                <w:sz w:val="24"/>
              </w:rPr>
              <w:t>测试费</w:t>
            </w:r>
          </w:p>
        </w:tc>
        <w:tc>
          <w:tcPr>
            <w:tcW w:w="1843" w:type="dxa"/>
            <w:vAlign w:val="center"/>
          </w:tcPr>
          <w:p w14:paraId="74A8D86B">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1500元</w:t>
            </w:r>
          </w:p>
        </w:tc>
        <w:tc>
          <w:tcPr>
            <w:tcW w:w="4617" w:type="dxa"/>
            <w:gridSpan w:val="2"/>
            <w:vAlign w:val="center"/>
          </w:tcPr>
          <w:p w14:paraId="0C836966">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用于购买高德地图等第三方API调用次数包，以支撑系统功能测试与数据调用。</w:t>
            </w:r>
          </w:p>
        </w:tc>
      </w:tr>
      <w:tr w14:paraId="3C34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4CA51636">
            <w:pPr>
              <w:spacing w:line="720" w:lineRule="auto"/>
              <w:jc w:val="center"/>
              <w:rPr>
                <w:sz w:val="24"/>
              </w:rPr>
            </w:pPr>
            <w:r>
              <w:rPr>
                <w:sz w:val="24"/>
              </w:rPr>
              <w:t>查新费</w:t>
            </w:r>
          </w:p>
        </w:tc>
        <w:tc>
          <w:tcPr>
            <w:tcW w:w="1843" w:type="dxa"/>
            <w:vAlign w:val="center"/>
          </w:tcPr>
          <w:p w14:paraId="745202C9">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500元</w:t>
            </w:r>
          </w:p>
        </w:tc>
        <w:tc>
          <w:tcPr>
            <w:tcW w:w="4617" w:type="dxa"/>
            <w:gridSpan w:val="2"/>
            <w:vAlign w:val="center"/>
          </w:tcPr>
          <w:p w14:paraId="0941CBD0">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用于支付申请专利前的科技查新费用。</w:t>
            </w:r>
          </w:p>
        </w:tc>
      </w:tr>
      <w:tr w14:paraId="4915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4B322533">
            <w:pPr>
              <w:spacing w:line="720" w:lineRule="auto"/>
              <w:jc w:val="center"/>
              <w:rPr>
                <w:sz w:val="24"/>
              </w:rPr>
            </w:pPr>
            <w:r>
              <w:rPr>
                <w:sz w:val="24"/>
              </w:rPr>
              <w:t>资料费</w:t>
            </w:r>
          </w:p>
        </w:tc>
        <w:tc>
          <w:tcPr>
            <w:tcW w:w="1843" w:type="dxa"/>
            <w:vAlign w:val="center"/>
          </w:tcPr>
          <w:p w14:paraId="5DC9ED6B">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1000元</w:t>
            </w:r>
          </w:p>
        </w:tc>
        <w:tc>
          <w:tcPr>
            <w:tcW w:w="4617" w:type="dxa"/>
            <w:gridSpan w:val="2"/>
            <w:vAlign w:val="center"/>
          </w:tcPr>
          <w:p w14:paraId="26A5FE2F">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用于购买相关专业书籍、电子文献数据库下载费用。</w:t>
            </w:r>
          </w:p>
        </w:tc>
      </w:tr>
      <w:tr w14:paraId="2AC2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4ADA332A">
            <w:pPr>
              <w:spacing w:line="720" w:lineRule="auto"/>
              <w:jc w:val="center"/>
              <w:rPr>
                <w:sz w:val="24"/>
              </w:rPr>
            </w:pPr>
            <w:r>
              <w:rPr>
                <w:sz w:val="24"/>
              </w:rPr>
              <w:t>其他</w:t>
            </w:r>
          </w:p>
        </w:tc>
        <w:tc>
          <w:tcPr>
            <w:tcW w:w="1843" w:type="dxa"/>
            <w:vAlign w:val="center"/>
          </w:tcPr>
          <w:p w14:paraId="2FE9ACD9">
            <w:pPr>
              <w:widowControl/>
              <w:spacing w:line="300" w:lineRule="atLeast"/>
              <w:ind w:firstLine="240" w:firstLineChars="100"/>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1000元</w:t>
            </w:r>
          </w:p>
        </w:tc>
        <w:tc>
          <w:tcPr>
            <w:tcW w:w="4617" w:type="dxa"/>
            <w:gridSpan w:val="2"/>
            <w:vAlign w:val="center"/>
          </w:tcPr>
          <w:p w14:paraId="3298CB76">
            <w:pPr>
              <w:widowControl/>
              <w:spacing w:line="300" w:lineRule="atLeast"/>
              <w:jc w:val="left"/>
              <w:rPr>
                <w:rFonts w:hint="eastAsia" w:ascii="宋体" w:hAnsi="宋体" w:eastAsia="宋体" w:cs="宋体"/>
                <w:sz w:val="24"/>
                <w:szCs w:val="24"/>
              </w:rPr>
            </w:pPr>
            <w:r>
              <w:rPr>
                <w:rFonts w:hint="eastAsia" w:ascii="宋体" w:hAnsi="宋体" w:eastAsia="宋体" w:cs="宋体"/>
                <w:color w:val="0F1115"/>
                <w:kern w:val="0"/>
                <w:sz w:val="24"/>
                <w:szCs w:val="24"/>
                <w:lang w:bidi="ar"/>
              </w:rPr>
              <w:t>用于项目软著登记代理费等相关杂项支出。</w:t>
            </w:r>
          </w:p>
        </w:tc>
      </w:tr>
      <w:tr w14:paraId="5948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jc w:val="center"/>
        </w:trPr>
        <w:tc>
          <w:tcPr>
            <w:tcW w:w="1206" w:type="pct"/>
          </w:tcPr>
          <w:p w14:paraId="79C7421D">
            <w:pPr>
              <w:spacing w:line="720" w:lineRule="auto"/>
              <w:jc w:val="center"/>
              <w:rPr>
                <w:sz w:val="24"/>
              </w:rPr>
            </w:pPr>
            <w:r>
              <w:rPr>
                <w:rFonts w:hint="eastAsia"/>
                <w:sz w:val="24"/>
              </w:rPr>
              <w:t>合计</w:t>
            </w:r>
          </w:p>
        </w:tc>
        <w:tc>
          <w:tcPr>
            <w:tcW w:w="1082" w:type="pct"/>
          </w:tcPr>
          <w:p w14:paraId="6C4047CC">
            <w:pPr>
              <w:spacing w:line="720" w:lineRule="auto"/>
              <w:ind w:firstLine="240" w:firstLineChars="100"/>
              <w:rPr>
                <w:sz w:val="24"/>
              </w:rPr>
            </w:pPr>
            <w:r>
              <w:rPr>
                <w:rFonts w:hint="eastAsia" w:ascii="宋体" w:hAnsi="宋体" w:eastAsia="宋体" w:cs="宋体"/>
                <w:sz w:val="24"/>
              </w:rPr>
              <w:t>17000元</w:t>
            </w:r>
          </w:p>
        </w:tc>
        <w:tc>
          <w:tcPr>
            <w:tcW w:w="2710" w:type="pct"/>
            <w:gridSpan w:val="2"/>
          </w:tcPr>
          <w:p w14:paraId="790F4149">
            <w:pPr>
              <w:spacing w:line="720" w:lineRule="auto"/>
              <w:rPr>
                <w:sz w:val="24"/>
              </w:rPr>
            </w:pPr>
          </w:p>
        </w:tc>
      </w:tr>
    </w:tbl>
    <w:p w14:paraId="4E9D0D86">
      <w:pPr>
        <w:spacing w:line="360" w:lineRule="auto"/>
        <w:rPr>
          <w:b/>
          <w:bCs/>
          <w:sz w:val="28"/>
        </w:rPr>
      </w:pPr>
      <w:r>
        <w:rPr>
          <w:rFonts w:hint="eastAsia" w:eastAsia="黑体"/>
          <w:sz w:val="28"/>
        </w:rPr>
        <w:t>注：项目经费以立项后学校实际批复为准。</w:t>
      </w:r>
    </w:p>
    <w:p w14:paraId="7A1CAC16">
      <w:pPr>
        <w:spacing w:line="360" w:lineRule="auto"/>
        <w:rPr>
          <w:rFonts w:eastAsia="黑体"/>
          <w:sz w:val="28"/>
        </w:rPr>
      </w:pPr>
      <w:r>
        <w:rPr>
          <w:b/>
          <w:bCs/>
        </w:rPr>
        <w:br w:type="page"/>
      </w:r>
      <w:r>
        <w:rPr>
          <w:rFonts w:hint="eastAsia" w:eastAsia="黑体"/>
          <w:sz w:val="28"/>
        </w:rPr>
        <w:t>五</w:t>
      </w:r>
      <w:r>
        <w:rPr>
          <w:rFonts w:eastAsia="黑体"/>
          <w:sz w:val="28"/>
        </w:rPr>
        <w:t>、指导教师意见</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7790"/>
      </w:tblGrid>
      <w:tr w14:paraId="08DC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7" w:hRule="atLeast"/>
          <w:jc w:val="center"/>
        </w:trPr>
        <w:tc>
          <w:tcPr>
            <w:tcW w:w="417" w:type="pct"/>
            <w:textDirection w:val="tbRlV"/>
            <w:vAlign w:val="center"/>
          </w:tcPr>
          <w:p w14:paraId="3902C31A">
            <w:pPr>
              <w:spacing w:line="360" w:lineRule="auto"/>
              <w:ind w:left="113" w:right="113"/>
              <w:jc w:val="center"/>
              <w:rPr>
                <w:sz w:val="24"/>
              </w:rPr>
            </w:pPr>
            <w:r>
              <w:rPr>
                <w:spacing w:val="21"/>
                <w:kern w:val="0"/>
                <w:sz w:val="24"/>
                <w:fitText w:val="3360" w:id="370"/>
              </w:rPr>
              <w:t>与指导项目相关的工作简</w:t>
            </w:r>
            <w:r>
              <w:rPr>
                <w:spacing w:val="9"/>
                <w:kern w:val="0"/>
                <w:sz w:val="24"/>
                <w:fitText w:val="3360" w:id="370"/>
              </w:rPr>
              <w:t>介</w:t>
            </w:r>
          </w:p>
        </w:tc>
        <w:tc>
          <w:tcPr>
            <w:tcW w:w="4582" w:type="pct"/>
          </w:tcPr>
          <w:p w14:paraId="3A0380B5">
            <w:pPr>
              <w:spacing w:line="440" w:lineRule="exact"/>
              <w:rPr>
                <w:rFonts w:hint="eastAsia" w:eastAsia="等线"/>
                <w:sz w:val="24"/>
                <w:lang w:eastAsia="zh"/>
                <w:woUserID w:val="1"/>
              </w:rPr>
            </w:pPr>
            <w:r>
              <w:rPr>
                <w:rFonts w:hint="eastAsia"/>
                <w:sz w:val="24"/>
                <w:lang w:eastAsia="zh"/>
                <w:woUserID w:val="1"/>
              </w:rPr>
              <w:t>本人隶属于交通与物流工程学院，长期深耕智能交通系统与交通信息工程领域，核心聚焦车路协同、智能路网建模与交通资源优化调配等前沿方向。针对本次指导的“新能源电车导航充电系统”项目，本人将强化学习交通决策、现代交通控制理论及出行路径优化等领域的研究积淀，深度转化为项目的核心驱动力，为充电站动态调度与智能路径规划算法的构建提供权威的理论支撑与技术指导。此外，依托学院完善的专业化实验室、先进的仿真模拟平台及多源交通大数据资源，可为该导航充电系统的模型训练、算法验证与场景模拟提供全方位的软硬件支撑与精准的数据保障。</w:t>
            </w:r>
          </w:p>
          <w:p w14:paraId="336D6570">
            <w:pPr>
              <w:spacing w:line="440" w:lineRule="exact"/>
              <w:rPr>
                <w:sz w:val="24"/>
              </w:rPr>
            </w:pPr>
          </w:p>
          <w:p w14:paraId="06D950AF">
            <w:pPr>
              <w:spacing w:line="440" w:lineRule="exact"/>
              <w:rPr>
                <w:sz w:val="24"/>
              </w:rPr>
            </w:pPr>
          </w:p>
          <w:p w14:paraId="59F8F8A1">
            <w:pPr>
              <w:spacing w:line="440" w:lineRule="exact"/>
              <w:rPr>
                <w:sz w:val="24"/>
              </w:rPr>
            </w:pPr>
          </w:p>
          <w:p w14:paraId="3F671506">
            <w:pPr>
              <w:spacing w:line="440" w:lineRule="exact"/>
              <w:rPr>
                <w:sz w:val="24"/>
              </w:rPr>
            </w:pPr>
          </w:p>
          <w:p w14:paraId="709E6D87">
            <w:pPr>
              <w:spacing w:line="360" w:lineRule="auto"/>
              <w:rPr>
                <w:sz w:val="24"/>
              </w:rPr>
            </w:pPr>
          </w:p>
        </w:tc>
      </w:tr>
      <w:tr w14:paraId="525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40" w:hRule="atLeast"/>
          <w:jc w:val="center"/>
        </w:trPr>
        <w:tc>
          <w:tcPr>
            <w:tcW w:w="417" w:type="pct"/>
            <w:vAlign w:val="center"/>
          </w:tcPr>
          <w:p w14:paraId="1B797E9E">
            <w:pPr>
              <w:spacing w:line="440" w:lineRule="exact"/>
              <w:jc w:val="center"/>
              <w:rPr>
                <w:sz w:val="24"/>
              </w:rPr>
            </w:pPr>
            <w:r>
              <w:rPr>
                <w:sz w:val="24"/>
              </w:rPr>
              <w:t>指</w:t>
            </w:r>
          </w:p>
          <w:p w14:paraId="1EFB3A6F">
            <w:pPr>
              <w:spacing w:line="440" w:lineRule="exact"/>
              <w:jc w:val="center"/>
              <w:rPr>
                <w:sz w:val="24"/>
              </w:rPr>
            </w:pPr>
            <w:r>
              <w:rPr>
                <w:sz w:val="24"/>
              </w:rPr>
              <w:t>导</w:t>
            </w:r>
          </w:p>
          <w:p w14:paraId="26FD6F4B">
            <w:pPr>
              <w:spacing w:line="440" w:lineRule="exact"/>
              <w:jc w:val="center"/>
              <w:rPr>
                <w:sz w:val="24"/>
              </w:rPr>
            </w:pPr>
            <w:r>
              <w:rPr>
                <w:sz w:val="24"/>
              </w:rPr>
              <w:t>教</w:t>
            </w:r>
          </w:p>
          <w:p w14:paraId="63A36836">
            <w:pPr>
              <w:spacing w:line="440" w:lineRule="exact"/>
              <w:jc w:val="center"/>
              <w:rPr>
                <w:sz w:val="24"/>
              </w:rPr>
            </w:pPr>
            <w:r>
              <w:rPr>
                <w:sz w:val="24"/>
              </w:rPr>
              <w:t>师</w:t>
            </w:r>
          </w:p>
          <w:p w14:paraId="0EE1C2E7">
            <w:pPr>
              <w:spacing w:line="440" w:lineRule="exact"/>
              <w:jc w:val="center"/>
              <w:rPr>
                <w:sz w:val="24"/>
              </w:rPr>
            </w:pPr>
            <w:r>
              <w:rPr>
                <w:sz w:val="24"/>
              </w:rPr>
              <w:t>意</w:t>
            </w:r>
          </w:p>
          <w:p w14:paraId="05FEBEE2">
            <w:pPr>
              <w:spacing w:line="440" w:lineRule="exact"/>
              <w:jc w:val="center"/>
              <w:rPr>
                <w:sz w:val="24"/>
              </w:rPr>
            </w:pPr>
            <w:r>
              <w:rPr>
                <w:sz w:val="24"/>
              </w:rPr>
              <w:t>见</w:t>
            </w:r>
          </w:p>
        </w:tc>
        <w:tc>
          <w:tcPr>
            <w:tcW w:w="4582" w:type="pct"/>
            <w:vAlign w:val="center"/>
          </w:tcPr>
          <w:p w14:paraId="18EDA8F7">
            <w:pPr>
              <w:rPr>
                <w:position w:val="-36"/>
                <w:sz w:val="24"/>
              </w:rPr>
            </w:pPr>
            <w:r>
              <w:rPr>
                <w:rFonts w:hint="eastAsia"/>
                <w:position w:val="-36"/>
                <w:sz w:val="24"/>
              </w:rPr>
              <w:t>（一）对申请人的专业基础、工作态度、学风及研究能力的评价</w:t>
            </w:r>
          </w:p>
          <w:p w14:paraId="7077BC6E">
            <w:pPr>
              <w:spacing w:line="440" w:lineRule="exact"/>
              <w:rPr>
                <w:rFonts w:hint="eastAsia"/>
                <w:sz w:val="24"/>
                <w:lang w:eastAsia="zh"/>
                <w:woUserID w:val="1"/>
              </w:rPr>
            </w:pPr>
            <w:r>
              <w:rPr>
                <w:rFonts w:hint="eastAsia"/>
                <w:sz w:val="24"/>
                <w:lang w:eastAsia="zh"/>
                <w:woUserID w:val="1"/>
              </w:rPr>
              <w:t>负责人邵明哲同学在本项目中展现了扎实的专业基础和出色的研究能力。该同学系统学习了智能交通系统、运筹学及嵌入式开发等相关课程，具备良好的编程基础和数学建模能力。在前期工作中，该同学深入参与了充电基础设施数据分析、智能路径规划算法设计以及STM32硬件控制等工作，能够熟练运用Python、MATLAB等工具进行算法仿真验证，并具备扎实的系统架构设计能力，动手实践能力强。</w:t>
            </w:r>
          </w:p>
          <w:p w14:paraId="7996B386">
            <w:pPr>
              <w:spacing w:line="440" w:lineRule="exact"/>
              <w:rPr>
                <w:rFonts w:hint="eastAsia"/>
                <w:sz w:val="24"/>
                <w:lang w:eastAsia="zh"/>
                <w:woUserID w:val="1"/>
              </w:rPr>
            </w:pPr>
            <w:r>
              <w:rPr>
                <w:rFonts w:hint="eastAsia"/>
                <w:sz w:val="24"/>
                <w:lang w:eastAsia="zh"/>
                <w:woUserID w:val="1"/>
              </w:rPr>
              <w:t>该同学学习态度端正，勤奋刻苦，学风严谨。在项目准备期间，主动查阅大量国内外文献，对新能源汽车智能导航与充电网络优化领域的研究现状和发展趋势有较为深入的了解。邵明哲同学具备较强的自主学习能力和问题分析能力，能够针对动态充电调度、路线寻优等技术难点提出有效的解决方案，展现了良好的科研潜质。</w:t>
            </w:r>
          </w:p>
          <w:p w14:paraId="50AFCDE2">
            <w:pPr>
              <w:spacing w:line="440" w:lineRule="exact"/>
              <w:rPr>
                <w:rFonts w:hint="eastAsia"/>
                <w:sz w:val="24"/>
                <w:lang w:eastAsia="zh"/>
                <w:woUserID w:val="1"/>
              </w:rPr>
            </w:pPr>
            <w:r>
              <w:rPr>
                <w:rFonts w:hint="eastAsia"/>
                <w:sz w:val="24"/>
                <w:lang w:eastAsia="zh"/>
                <w:woUserID w:val="1"/>
              </w:rPr>
              <w:t>在团队协作方面，负责人具备良好的沟通协调能力，能够与团队成员有效配合，共同高效推进项目进展。</w:t>
            </w:r>
          </w:p>
          <w:p w14:paraId="3C84CAB6">
            <w:pPr>
              <w:spacing w:line="440" w:lineRule="exact"/>
              <w:rPr>
                <w:sz w:val="24"/>
              </w:rPr>
            </w:pPr>
          </w:p>
          <w:p w14:paraId="4D61809B">
            <w:pPr>
              <w:spacing w:line="440" w:lineRule="exact"/>
              <w:rPr>
                <w:sz w:val="24"/>
              </w:rPr>
            </w:pPr>
          </w:p>
          <w:p w14:paraId="308FA801">
            <w:pPr>
              <w:spacing w:line="440" w:lineRule="exact"/>
              <w:rPr>
                <w:sz w:val="24"/>
              </w:rPr>
            </w:pPr>
          </w:p>
          <w:p w14:paraId="122D0535">
            <w:pPr>
              <w:spacing w:line="440" w:lineRule="exact"/>
              <w:rPr>
                <w:sz w:val="24"/>
              </w:rPr>
            </w:pPr>
          </w:p>
          <w:p w14:paraId="642D89BC">
            <w:pPr>
              <w:spacing w:line="440" w:lineRule="exact"/>
              <w:rPr>
                <w:sz w:val="24"/>
              </w:rPr>
            </w:pPr>
          </w:p>
          <w:p w14:paraId="4209D613">
            <w:pPr>
              <w:spacing w:line="440" w:lineRule="exact"/>
              <w:rPr>
                <w:sz w:val="24"/>
              </w:rPr>
            </w:pPr>
          </w:p>
          <w:p w14:paraId="0E667C82">
            <w:pPr>
              <w:spacing w:line="440" w:lineRule="exact"/>
              <w:rPr>
                <w:sz w:val="24"/>
              </w:rPr>
            </w:pPr>
          </w:p>
          <w:p w14:paraId="0CC34665">
            <w:pPr>
              <w:spacing w:line="440" w:lineRule="exact"/>
              <w:rPr>
                <w:sz w:val="24"/>
              </w:rPr>
            </w:pPr>
          </w:p>
          <w:p w14:paraId="3A7048E3">
            <w:pPr>
              <w:spacing w:line="440" w:lineRule="exact"/>
              <w:rPr>
                <w:sz w:val="24"/>
              </w:rPr>
            </w:pPr>
          </w:p>
          <w:p w14:paraId="00A90F26">
            <w:pPr>
              <w:rPr>
                <w:position w:val="-36"/>
                <w:sz w:val="24"/>
              </w:rPr>
            </w:pPr>
            <w:r>
              <w:rPr>
                <w:rFonts w:hint="eastAsia"/>
                <w:position w:val="-36"/>
                <w:sz w:val="24"/>
              </w:rPr>
              <w:t>（二）对申请课题的价值、研究方案的可行性、工作基础等方面的评价</w:t>
            </w:r>
          </w:p>
          <w:p w14:paraId="1357F51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本项目敏锐捕捉了当前新能源汽车用户在实际出行中面临的“找不到、用不上”充电设施，以及“等不起、充得慢”等核心痛点，提出构建“电满满”新能源车辆充电导航综合管理平台，选题既具有极强的现实紧迫性，也具备明确的产业应用背景。项目未停留在传统导航的表层功能，而是直击多目标路径规划与充电时间精准估算等底层技术难题，创新性地提出了“分段充电曲线拟合方法”与“三层降级策略”。通过深度融合距离、电价、等待时间与充电功率四维因素，该项目能够实现动态成本最优的智能推荐。这不仅填补了现有导航系统在新能源专项优化领域的理论与应用空白，更可为破解用户“里程焦虑”、提升城市充电基础设施利用率提供极具前瞻性的技术示范，学术价值与社会效益显著。</w:t>
            </w:r>
          </w:p>
          <w:p w14:paraId="0EFF204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研究方案的科学性和可行性：</w:t>
            </w:r>
          </w:p>
          <w:p w14:paraId="62B0727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本项目的研究方案经过了细致的论证，整体技术路线清晰、逻辑架构严密。在核心算法层面，系统创新性地将多准则决策分析（</w:t>
            </w:r>
            <w:r>
              <w:rPr>
                <w:rFonts w:hint="default" w:ascii="Calibri" w:hAnsi="Calibri" w:eastAsia="宋体" w:cs="Calibri"/>
                <w:kern w:val="2"/>
                <w:sz w:val="21"/>
                <w:szCs w:val="21"/>
                <w:lang w:val="en-US" w:eastAsia="zh-CN" w:bidi="ar"/>
                <w:woUserID w:val="1"/>
              </w:rPr>
              <w:t>MCDA</w:t>
            </w:r>
            <w:r>
              <w:rPr>
                <w:rFonts w:hint="eastAsia" w:ascii="宋体" w:hAnsi="宋体" w:eastAsia="宋体" w:cs="宋体"/>
                <w:kern w:val="2"/>
                <w:sz w:val="21"/>
                <w:szCs w:val="21"/>
                <w:lang w:val="en-US" w:eastAsia="zh-CN" w:bidi="ar"/>
                <w:woUserID w:val="1"/>
              </w:rPr>
              <w:t>）与</w:t>
            </w:r>
            <w:r>
              <w:rPr>
                <w:rFonts w:hint="default" w:ascii="Calibri" w:hAnsi="Calibri" w:eastAsia="宋体" w:cs="Calibri"/>
                <w:kern w:val="2"/>
                <w:sz w:val="21"/>
                <w:szCs w:val="21"/>
                <w:lang w:val="en-US" w:eastAsia="zh-CN" w:bidi="ar"/>
                <w:woUserID w:val="1"/>
              </w:rPr>
              <w:t>A*</w:t>
            </w:r>
            <w:r>
              <w:rPr>
                <w:rFonts w:hint="eastAsia" w:ascii="宋体" w:hAnsi="宋体" w:eastAsia="宋体" w:cs="宋体"/>
                <w:kern w:val="2"/>
                <w:sz w:val="21"/>
                <w:szCs w:val="21"/>
                <w:lang w:val="en-US" w:eastAsia="zh-CN" w:bidi="ar"/>
                <w:woUserID w:val="1"/>
              </w:rPr>
              <w:t>路径规划算法相融合，并前置“可达性”作为硬约束条件，理论推导严谨，所选用的基础技术栈成熟可靠，有效规避了底层技术风险；在系统架构设计层面，采用基于</w:t>
            </w:r>
            <w:r>
              <w:rPr>
                <w:rFonts w:hint="default" w:ascii="Calibri" w:hAnsi="Calibri" w:eastAsia="宋体" w:cs="Calibri"/>
                <w:kern w:val="2"/>
                <w:sz w:val="21"/>
                <w:szCs w:val="21"/>
                <w:lang w:val="en-US" w:eastAsia="zh-CN" w:bidi="ar"/>
                <w:woUserID w:val="1"/>
              </w:rPr>
              <w:t>FastAPI</w:t>
            </w:r>
            <w:r>
              <w:rPr>
                <w:rFonts w:hint="eastAsia" w:ascii="宋体" w:hAnsi="宋体" w:eastAsia="宋体" w:cs="宋体"/>
                <w:kern w:val="2"/>
                <w:sz w:val="21"/>
                <w:szCs w:val="21"/>
                <w:lang w:val="en-US" w:eastAsia="zh-CN" w:bidi="ar"/>
                <w:woUserID w:val="1"/>
              </w:rPr>
              <w:t>的异步微服务架构，从软件工程角度切实保障了高并发场景下的低延迟响应与系统高可用性；在应用服务层面，完整构筑了“用户端</w:t>
            </w:r>
            <w:r>
              <w:rPr>
                <w:rFonts w:hint="default" w:ascii="Calibri" w:hAnsi="Calibri" w:eastAsia="宋体" w:cs="Calibri"/>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算法端</w:t>
            </w:r>
            <w:r>
              <w:rPr>
                <w:rFonts w:hint="default" w:ascii="Calibri" w:hAnsi="Calibri" w:eastAsia="宋体" w:cs="Calibri"/>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管理端”三位一体的业务闭环。总体而言，项目组对重难点的剖析准确到位，五个核心研究模块环环相扣，形成了完整的技术链条，实施方案切实可行。</w:t>
            </w:r>
          </w:p>
          <w:p w14:paraId="088981B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项目实施的工作基础：</w:t>
            </w:r>
          </w:p>
          <w:p w14:paraId="778B8B3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项目组在申报前已开展了大量扎实且卓有成效的预研与筹备工作。在理论与算法验证方面，团队已系统梳理了国内外相关文献，并初步搭建了“分段充电曲线拟合模型”与“多目标加权评分算法”的计算机仿真环境，前期的推演测试已从理论层面验证了其在降低时间估算误差方面的可行性；在数据与环境支撑方面，团队已成功对接高德地图</w:t>
            </w:r>
            <w:r>
              <w:rPr>
                <w:rFonts w:hint="default" w:ascii="Calibri" w:hAnsi="Calibri" w:eastAsia="宋体" w:cs="Calibri"/>
                <w:kern w:val="2"/>
                <w:sz w:val="21"/>
                <w:szCs w:val="21"/>
                <w:lang w:val="en-US" w:eastAsia="zh-CN" w:bidi="ar"/>
                <w:woUserID w:val="1"/>
              </w:rPr>
              <w:t>API</w:t>
            </w:r>
            <w:r>
              <w:rPr>
                <w:rFonts w:hint="eastAsia" w:ascii="宋体" w:hAnsi="宋体" w:eastAsia="宋体" w:cs="宋体"/>
                <w:kern w:val="2"/>
                <w:sz w:val="21"/>
                <w:szCs w:val="21"/>
                <w:lang w:val="en-US" w:eastAsia="zh-CN" w:bidi="ar"/>
                <w:woUserID w:val="1"/>
              </w:rPr>
              <w:t>与</w:t>
            </w:r>
            <w:r>
              <w:rPr>
                <w:rFonts w:hint="default" w:ascii="Calibri" w:hAnsi="Calibri" w:eastAsia="宋体" w:cs="Calibri"/>
                <w:kern w:val="2"/>
                <w:sz w:val="21"/>
                <w:szCs w:val="21"/>
                <w:lang w:val="en-US" w:eastAsia="zh-CN" w:bidi="ar"/>
                <w:woUserID w:val="1"/>
              </w:rPr>
              <w:t>OSM</w:t>
            </w:r>
            <w:r>
              <w:rPr>
                <w:rFonts w:hint="eastAsia" w:ascii="宋体" w:hAnsi="宋体" w:eastAsia="宋体" w:cs="宋体"/>
                <w:kern w:val="2"/>
                <w:sz w:val="21"/>
                <w:szCs w:val="21"/>
                <w:lang w:val="en-US" w:eastAsia="zh-CN" w:bidi="ar"/>
                <w:woUserID w:val="1"/>
              </w:rPr>
              <w:t>开源路网的数据接口，并正稳步构建覆盖多品牌的车型参数基础数据库。此外，依托学院重点实验室，团队已获得项目研发所需的高性能</w:t>
            </w:r>
            <w:r>
              <w:rPr>
                <w:rFonts w:hint="default" w:ascii="Calibri" w:hAnsi="Calibri" w:eastAsia="宋体" w:cs="Calibri"/>
                <w:kern w:val="2"/>
                <w:sz w:val="21"/>
                <w:szCs w:val="21"/>
                <w:lang w:val="en-US" w:eastAsia="zh-CN" w:bidi="ar"/>
                <w:woUserID w:val="1"/>
              </w:rPr>
              <w:t>GPU</w:t>
            </w:r>
            <w:r>
              <w:rPr>
                <w:rFonts w:hint="eastAsia" w:ascii="宋体" w:hAnsi="宋体" w:eastAsia="宋体" w:cs="宋体"/>
                <w:kern w:val="2"/>
                <w:sz w:val="21"/>
                <w:szCs w:val="21"/>
                <w:lang w:val="en-US" w:eastAsia="zh-CN" w:bidi="ar"/>
                <w:woUserID w:val="1"/>
              </w:rPr>
              <w:t>算力与软硬件测试平台支持。特别指出的是，项目负责人邵明哲同学及核心成员系统学习过</w:t>
            </w:r>
            <w:r>
              <w:rPr>
                <w:rFonts w:hint="default" w:ascii="Calibri" w:hAnsi="Calibri" w:eastAsia="宋体" w:cs="Calibri"/>
                <w:kern w:val="2"/>
                <w:sz w:val="21"/>
                <w:szCs w:val="21"/>
                <w:lang w:val="en-US" w:eastAsia="zh-CN" w:bidi="ar"/>
                <w:woUserID w:val="1"/>
              </w:rPr>
              <w:t>Python</w:t>
            </w:r>
            <w:r>
              <w:rPr>
                <w:rFonts w:hint="eastAsia" w:ascii="宋体" w:hAnsi="宋体" w:eastAsia="宋体" w:cs="宋体"/>
                <w:kern w:val="2"/>
                <w:sz w:val="21"/>
                <w:szCs w:val="21"/>
                <w:lang w:val="en-US" w:eastAsia="zh-CN" w:bidi="ar"/>
                <w:woUserID w:val="1"/>
              </w:rPr>
              <w:t>程序设计等相关课程，具备扎实的</w:t>
            </w:r>
            <w:r>
              <w:rPr>
                <w:rFonts w:hint="default" w:ascii="Calibri" w:hAnsi="Calibri" w:eastAsia="宋体" w:cs="Calibri"/>
                <w:kern w:val="2"/>
                <w:sz w:val="21"/>
                <w:szCs w:val="21"/>
                <w:lang w:val="en-US" w:eastAsia="zh-CN" w:bidi="ar"/>
                <w:woUserID w:val="1"/>
              </w:rPr>
              <w:t>Python</w:t>
            </w:r>
            <w:r>
              <w:rPr>
                <w:rFonts w:hint="eastAsia" w:ascii="宋体" w:hAnsi="宋体" w:eastAsia="宋体" w:cs="宋体"/>
                <w:kern w:val="2"/>
                <w:sz w:val="21"/>
                <w:szCs w:val="21"/>
                <w:lang w:val="en-US" w:eastAsia="zh-CN" w:bidi="ar"/>
                <w:woUserID w:val="1"/>
              </w:rPr>
              <w:t>、</w:t>
            </w:r>
            <w:r>
              <w:rPr>
                <w:rFonts w:hint="default" w:ascii="Calibri" w:hAnsi="Calibri" w:eastAsia="宋体" w:cs="Calibri"/>
                <w:kern w:val="2"/>
                <w:sz w:val="21"/>
                <w:szCs w:val="21"/>
                <w:lang w:val="en-US" w:eastAsia="zh-CN" w:bidi="ar"/>
                <w:woUserID w:val="1"/>
              </w:rPr>
              <w:t>MATLAB</w:t>
            </w:r>
            <w:r>
              <w:rPr>
                <w:rFonts w:hint="eastAsia" w:ascii="宋体" w:hAnsi="宋体" w:eastAsia="宋体" w:cs="宋体"/>
                <w:kern w:val="2"/>
                <w:sz w:val="21"/>
                <w:szCs w:val="21"/>
                <w:lang w:val="en-US" w:eastAsia="zh-CN" w:bidi="ar"/>
                <w:woUserID w:val="1"/>
              </w:rPr>
              <w:t>算法仿真能力与</w:t>
            </w:r>
            <w:r>
              <w:rPr>
                <w:rFonts w:hint="default" w:ascii="Calibri" w:hAnsi="Calibri" w:eastAsia="宋体" w:cs="Calibri"/>
                <w:kern w:val="2"/>
                <w:sz w:val="21"/>
                <w:szCs w:val="21"/>
                <w:lang w:val="en-US" w:eastAsia="zh-CN" w:bidi="ar"/>
                <w:woUserID w:val="1"/>
              </w:rPr>
              <w:t>Android Studio</w:t>
            </w:r>
            <w:r>
              <w:rPr>
                <w:rFonts w:hint="eastAsia" w:ascii="宋体" w:hAnsi="宋体" w:eastAsia="宋体" w:cs="宋体"/>
                <w:kern w:val="2"/>
                <w:sz w:val="21"/>
                <w:szCs w:val="21"/>
                <w:lang w:val="en-US" w:eastAsia="zh-CN" w:bidi="ar"/>
                <w:woUserID w:val="1"/>
              </w:rPr>
              <w:t>移动端落地开发经验，团队专业结构互补性强，为项目的顺利实施与成果转化做好了充分准备。</w:t>
            </w:r>
          </w:p>
          <w:p w14:paraId="05D7A8D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综合评价：</w:t>
            </w:r>
          </w:p>
          <w:p w14:paraId="129AAC5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本课题选题立意新颖，直击行业痛点；技术路线科学合理，创新思维活跃；前期文献调研与仿真验证等筹备工作极其扎实，展现出极高的理论研究价值与广阔的市场推广前景。负责人邵明哲同学及团队成员具备端正的学术态度、出色的自主学习能力和强烈的科研攻坚精神。鉴于该项目前期基础完备且可行性高，本人强烈建议批准立项</w:t>
            </w:r>
          </w:p>
          <w:p w14:paraId="4257EB9F">
            <w:pPr>
              <w:rPr>
                <w:sz w:val="24"/>
              </w:rPr>
            </w:pPr>
          </w:p>
          <w:p w14:paraId="45DE4EAA">
            <w:pPr>
              <w:spacing w:line="440" w:lineRule="exact"/>
              <w:rPr>
                <w:sz w:val="24"/>
              </w:rPr>
            </w:pPr>
          </w:p>
          <w:p w14:paraId="7C7CA7DF">
            <w:pPr>
              <w:spacing w:line="440" w:lineRule="exact"/>
              <w:rPr>
                <w:sz w:val="24"/>
              </w:rPr>
            </w:pPr>
          </w:p>
          <w:p w14:paraId="5541073A">
            <w:pPr>
              <w:spacing w:line="440" w:lineRule="exact"/>
              <w:rPr>
                <w:sz w:val="24"/>
              </w:rPr>
            </w:pPr>
          </w:p>
          <w:p w14:paraId="3ABF2798">
            <w:pPr>
              <w:spacing w:line="440" w:lineRule="exact"/>
              <w:rPr>
                <w:sz w:val="24"/>
              </w:rPr>
            </w:pPr>
          </w:p>
        </w:tc>
      </w:tr>
    </w:tbl>
    <w:p w14:paraId="17CA6404">
      <w:pPr>
        <w:widowControl/>
        <w:jc w:val="left"/>
        <w:rPr>
          <w:rFonts w:ascii="仿宋" w:eastAsia="仿宋"/>
          <w:b/>
          <w:bCs/>
          <w:sz w:val="28"/>
          <w:szCs w:val="28"/>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Segoe UI Symbol">
    <w:altName w:val="Noto Sans"/>
    <w:panose1 w:val="020B0502040204020203"/>
    <w:charset w:val="00"/>
    <w:family w:val="swiss"/>
    <w:pitch w:val="default"/>
    <w:sig w:usb0="00000000" w:usb1="00000000" w:usb2="00040000" w:usb3="04000000" w:csb0="00000001" w:csb1="40000000"/>
  </w:font>
  <w:font w:name="Noto Sans">
    <w:panose1 w:val="020B0502040504020204"/>
    <w:charset w:val="00"/>
    <w:family w:val="auto"/>
    <w:pitch w:val="default"/>
    <w:sig w:usb0="E00002FF" w:usb1="4000001F" w:usb2="08000029" w:usb3="00100000" w:csb0="00000000" w:csb1="00000000"/>
  </w:font>
  <w:font w:name="Cambria Math">
    <w:panose1 w:val="02040503050406030204"/>
    <w:charset w:val="00"/>
    <w:family w:val="auto"/>
    <w:pitch w:val="default"/>
    <w:sig w:usb0="E00002FF" w:usb1="420024FF" w:usb2="00000000" w:usb3="00000000" w:csb0="2000019F" w:csb1="00000000"/>
  </w:font>
  <w:font w:name="sans-serif">
    <w:altName w:val="Times New Roman"/>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57112">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F8A05">
    <w:pPr>
      <w:pStyle w:val="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85115">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3928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6ACD9"/>
    <w:multiLevelType w:val="singleLevel"/>
    <w:tmpl w:val="A7E6ACD9"/>
    <w:lvl w:ilvl="0" w:tentative="0">
      <w:start w:val="1"/>
      <w:numFmt w:val="decimal"/>
      <w:lvlText w:val="(%1)"/>
      <w:lvlJc w:val="left"/>
      <w:pPr>
        <w:tabs>
          <w:tab w:val="left" w:pos="397"/>
        </w:tabs>
        <w:ind w:left="0" w:leftChars="0" w:firstLine="0" w:firstLineChars="0"/>
      </w:pPr>
      <w:rPr>
        <w:rFonts w:hint="default"/>
      </w:rPr>
    </w:lvl>
  </w:abstractNum>
  <w:abstractNum w:abstractNumId="1">
    <w:nsid w:val="D88CAEDD"/>
    <w:multiLevelType w:val="singleLevel"/>
    <w:tmpl w:val="D88CAEDD"/>
    <w:lvl w:ilvl="0" w:tentative="0">
      <w:start w:val="1"/>
      <w:numFmt w:val="decimal"/>
      <w:lvlText w:val="(%1)"/>
      <w:lvlJc w:val="left"/>
      <w:pPr>
        <w:tabs>
          <w:tab w:val="left" w:pos="397"/>
        </w:tabs>
        <w:ind w:left="0" w:leftChars="0" w:firstLine="0" w:firstLineChars="0"/>
      </w:pPr>
      <w:rPr>
        <w:rFonts w:hint="default"/>
      </w:rPr>
    </w:lvl>
  </w:abstractNum>
  <w:abstractNum w:abstractNumId="2">
    <w:nsid w:val="FC3089DD"/>
    <w:multiLevelType w:val="singleLevel"/>
    <w:tmpl w:val="FC3089DD"/>
    <w:lvl w:ilvl="0" w:tentative="0">
      <w:start w:val="1"/>
      <w:numFmt w:val="decimal"/>
      <w:lvlText w:val="(%1)"/>
      <w:lvlJc w:val="left"/>
      <w:pPr>
        <w:tabs>
          <w:tab w:val="left" w:pos="397"/>
        </w:tabs>
        <w:ind w:left="0" w:leftChars="0" w:firstLine="0" w:firstLineChars="0"/>
      </w:pPr>
      <w:rPr>
        <w:rFonts w:hint="default"/>
      </w:rPr>
    </w:lvl>
  </w:abstractNum>
  <w:abstractNum w:abstractNumId="3">
    <w:nsid w:val="00169D3C"/>
    <w:multiLevelType w:val="singleLevel"/>
    <w:tmpl w:val="00169D3C"/>
    <w:lvl w:ilvl="0" w:tentative="0">
      <w:start w:val="5"/>
      <w:numFmt w:val="decimal"/>
      <w:suff w:val="nothing"/>
      <w:lvlText w:val="（%1）"/>
      <w:lvlJc w:val="left"/>
    </w:lvl>
  </w:abstractNum>
  <w:abstractNum w:abstractNumId="4">
    <w:nsid w:val="03782163"/>
    <w:multiLevelType w:val="singleLevel"/>
    <w:tmpl w:val="03782163"/>
    <w:lvl w:ilvl="0" w:tentative="0">
      <w:start w:val="2"/>
      <w:numFmt w:val="decimal"/>
      <w:suff w:val="nothing"/>
      <w:lvlText w:val="（%1）"/>
      <w:lvlJc w:val="left"/>
    </w:lvl>
  </w:abstractNum>
  <w:abstractNum w:abstractNumId="5">
    <w:nsid w:val="19E0FE7C"/>
    <w:multiLevelType w:val="singleLevel"/>
    <w:tmpl w:val="19E0FE7C"/>
    <w:lvl w:ilvl="0" w:tentative="0">
      <w:start w:val="1"/>
      <w:numFmt w:val="decimal"/>
      <w:lvlText w:val="(%1)"/>
      <w:lvlJc w:val="left"/>
      <w:pPr>
        <w:tabs>
          <w:tab w:val="left" w:pos="397"/>
        </w:tabs>
        <w:ind w:left="0" w:leftChars="0" w:firstLine="0" w:firstLineChars="0"/>
      </w:pPr>
      <w:rPr>
        <w:rFonts w:hint="default"/>
      </w:rPr>
    </w:lvl>
  </w:abstractNum>
  <w:abstractNum w:abstractNumId="6">
    <w:nsid w:val="293D5308"/>
    <w:multiLevelType w:val="singleLevel"/>
    <w:tmpl w:val="293D5308"/>
    <w:lvl w:ilvl="0" w:tentative="0">
      <w:start w:val="1"/>
      <w:numFmt w:val="decimal"/>
      <w:suff w:val="space"/>
      <w:lvlText w:val="%1."/>
      <w:lvlJc w:val="left"/>
    </w:lvl>
  </w:abstractNum>
  <w:abstractNum w:abstractNumId="7">
    <w:nsid w:val="34B13B38"/>
    <w:multiLevelType w:val="singleLevel"/>
    <w:tmpl w:val="34B13B38"/>
    <w:lvl w:ilvl="0" w:tentative="0">
      <w:start w:val="1"/>
      <w:numFmt w:val="decimal"/>
      <w:lvlText w:val="(%1)"/>
      <w:lvlJc w:val="left"/>
      <w:pPr>
        <w:tabs>
          <w:tab w:val="left" w:pos="397"/>
        </w:tabs>
        <w:ind w:left="0" w:leftChars="0" w:firstLine="0" w:firstLineChars="0"/>
      </w:pPr>
      <w:rPr>
        <w:rFonts w:hint="default"/>
      </w:rPr>
    </w:lvl>
  </w:abstractNum>
  <w:abstractNum w:abstractNumId="8">
    <w:nsid w:val="4017BFFB"/>
    <w:multiLevelType w:val="singleLevel"/>
    <w:tmpl w:val="4017BFFB"/>
    <w:lvl w:ilvl="0" w:tentative="0">
      <w:start w:val="1"/>
      <w:numFmt w:val="bullet"/>
      <w:pStyle w:val="5"/>
      <w:lvlText w:val=""/>
      <w:lvlJc w:val="left"/>
      <w:pPr>
        <w:tabs>
          <w:tab w:val="left" w:pos="360"/>
        </w:tabs>
        <w:ind w:left="360" w:hanging="360"/>
      </w:pPr>
      <w:rPr>
        <w:rFonts w:hint="default" w:ascii="Wingdings" w:hAnsi="Wingdings"/>
      </w:rPr>
    </w:lvl>
  </w:abstractNum>
  <w:abstractNum w:abstractNumId="9">
    <w:nsid w:val="5A3A5F3B"/>
    <w:multiLevelType w:val="singleLevel"/>
    <w:tmpl w:val="5A3A5F3B"/>
    <w:lvl w:ilvl="0" w:tentative="0">
      <w:start w:val="1"/>
      <w:numFmt w:val="decimal"/>
      <w:lvlText w:val="(%1)"/>
      <w:lvlJc w:val="left"/>
      <w:pPr>
        <w:tabs>
          <w:tab w:val="left" w:pos="397"/>
        </w:tabs>
        <w:ind w:left="0" w:leftChars="0" w:firstLine="0" w:firstLineChars="0"/>
      </w:pPr>
      <w:rPr>
        <w:rFonts w:hint="default"/>
      </w:rPr>
    </w:lvl>
  </w:abstractNum>
  <w:abstractNum w:abstractNumId="10">
    <w:nsid w:val="7175A768"/>
    <w:multiLevelType w:val="singleLevel"/>
    <w:tmpl w:val="7175A768"/>
    <w:lvl w:ilvl="0" w:tentative="0">
      <w:start w:val="1"/>
      <w:numFmt w:val="decimal"/>
      <w:lvlText w:val="(%1)"/>
      <w:lvlJc w:val="left"/>
      <w:pPr>
        <w:tabs>
          <w:tab w:val="left" w:pos="397"/>
        </w:tabs>
        <w:ind w:left="0" w:leftChars="0" w:firstLine="0" w:firstLineChars="0"/>
      </w:pPr>
      <w:rPr>
        <w:rFonts w:hint="default"/>
      </w:rPr>
    </w:lvl>
  </w:abstractNum>
  <w:num w:numId="1">
    <w:abstractNumId w:val="8"/>
  </w:num>
  <w:num w:numId="2">
    <w:abstractNumId w:val="6"/>
  </w:num>
  <w:num w:numId="3">
    <w:abstractNumId w:val="0"/>
  </w:num>
  <w:num w:numId="4">
    <w:abstractNumId w:val="9"/>
  </w:num>
  <w:num w:numId="5">
    <w:abstractNumId w:val="1"/>
  </w:num>
  <w:num w:numId="6">
    <w:abstractNumId w:val="2"/>
  </w:num>
  <w:num w:numId="7">
    <w:abstractNumId w:val="10"/>
  </w:num>
  <w:num w:numId="8">
    <w:abstractNumId w:val="3"/>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rsids>
    <w:rsidRoot w:val="00450070"/>
    <w:rsid w:val="00450070"/>
    <w:rsid w:val="00590335"/>
    <w:rsid w:val="00841070"/>
    <w:rsid w:val="008F7F7D"/>
    <w:rsid w:val="00A54F50"/>
    <w:rsid w:val="00B92D45"/>
    <w:rsid w:val="00D1419A"/>
    <w:rsid w:val="00D1623C"/>
    <w:rsid w:val="00D8316D"/>
    <w:rsid w:val="00FD0639"/>
    <w:rsid w:val="07827F55"/>
    <w:rsid w:val="14AC0B76"/>
    <w:rsid w:val="183668F9"/>
    <w:rsid w:val="248C17B4"/>
    <w:rsid w:val="2A3F48D4"/>
    <w:rsid w:val="3D7E4731"/>
    <w:rsid w:val="49C10D2B"/>
    <w:rsid w:val="4B35476F"/>
    <w:rsid w:val="53277999"/>
    <w:rsid w:val="55DA1B1B"/>
    <w:rsid w:val="5FD75009"/>
    <w:rsid w:val="64D25B7C"/>
    <w:rsid w:val="652561BA"/>
    <w:rsid w:val="6AE6019A"/>
    <w:rsid w:val="75D6FB9A"/>
    <w:rsid w:val="7BEFA63B"/>
    <w:rsid w:val="7C95557C"/>
    <w:rsid w:val="7ED846D0"/>
    <w:rsid w:val="FBF60D62"/>
    <w:rsid w:val="FF4A8F02"/>
    <w:rsid w:val="FF69A6D6"/>
    <w:rsid w:val="FFB2B6C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Times New Roman" w:eastAsia="等线" w:cs="Arial"/>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widowControl/>
      <w:spacing w:before="100" w:beforeAutospacing="1" w:after="100" w:afterAutospacing="1"/>
      <w:jc w:val="left"/>
      <w:outlineLvl w:val="1"/>
    </w:pPr>
    <w:rPr>
      <w:rFonts w:ascii="宋体" w:eastAsia="宋体" w:cs="宋体"/>
      <w:b/>
      <w:bCs/>
      <w:kern w:val="0"/>
      <w:sz w:val="36"/>
      <w:szCs w:val="36"/>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Bullet"/>
    <w:basedOn w:val="1"/>
    <w:qFormat/>
    <w:uiPriority w:val="0"/>
    <w:pPr>
      <w:numPr>
        <w:ilvl w:val="0"/>
        <w:numId w:val="1"/>
      </w:numPr>
    </w:pPr>
  </w:style>
  <w:style w:type="paragraph" w:styleId="6">
    <w:name w:val="Body Text"/>
    <w:basedOn w:val="1"/>
    <w:qFormat/>
    <w:uiPriority w:val="0"/>
    <w:pPr>
      <w:autoSpaceDE w:val="0"/>
      <w:autoSpaceDN w:val="0"/>
      <w:adjustRightInd w:val="0"/>
      <w:ind w:left="111" w:right="268"/>
      <w:jc w:val="left"/>
    </w:pPr>
    <w:rPr>
      <w:rFonts w:ascii="宋体" w:eastAsia="宋体" w:cs="宋体"/>
      <w:kern w:val="0"/>
      <w:sz w:val="32"/>
      <w:szCs w:val="32"/>
    </w:rPr>
  </w:style>
  <w:style w:type="paragraph" w:styleId="7">
    <w:name w:val="Date"/>
    <w:basedOn w:val="1"/>
    <w:next w:val="1"/>
    <w:qFormat/>
    <w:uiPriority w:val="0"/>
    <w:pPr>
      <w:ind w:left="2500" w:leftChars="25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Emphasis"/>
    <w:basedOn w:val="12"/>
    <w:qFormat/>
    <w:uiPriority w:val="0"/>
    <w:rPr>
      <w:i/>
    </w:rPr>
  </w:style>
  <w:style w:type="paragraph" w:customStyle="1" w:styleId="15">
    <w:name w:val="列表段落1"/>
    <w:basedOn w:val="1"/>
    <w:qFormat/>
    <w:uiPriority w:val="0"/>
    <w:pPr>
      <w:spacing w:after="160" w:line="278" w:lineRule="auto"/>
      <w:ind w:left="720"/>
      <w:contextualSpacing/>
      <w:jc w:val="left"/>
    </w:pPr>
    <w:rPr>
      <w:sz w:val="22"/>
      <w:szCs w:val="24"/>
    </w:rPr>
  </w:style>
  <w:style w:type="paragraph" w:customStyle="1" w:styleId="16">
    <w:name w:val="First Paragraph"/>
    <w:basedOn w:val="6"/>
    <w:next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12666</Words>
  <Characters>14105</Characters>
  <Lines>1</Lines>
  <Paragraphs>1</Paragraphs>
  <TotalTime>22</TotalTime>
  <ScaleCrop>false</ScaleCrop>
  <LinksUpToDate>false</LinksUpToDate>
  <CharactersWithSpaces>14414</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2026-04-10T06:44:00Z</dcterms:created>
  <dc:creator>大番茄</dc:creator>
  <cp:lastModifiedBy>WPS_1684763518</cp:lastModifiedBy>
  <cp:lastPrinted>2026-03-28T11:42:00Z</cp:lastPrinted>
  <dcterms:modified xsi:type="dcterms:W3CDTF">2026-05-14T10:09:22Z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eyJoZGlkIjoiOGJiZDI5NzI2YTNlNjUxOGNjMzVjMjJiOGNjOGE4MTkiLCJ1c2VySWQiOiIxNDk2NDg5NjkwIn0=</vt:lpwstr>
  </property>
  <property fmtid="{D5CDD505-2E9C-101B-9397-08002B2CF9AE}" pid="3" name="KSOProductBuildVer">
    <vt:lpwstr>2052-0.0.0.0</vt:lpwstr>
  </property>
  <property fmtid="{D5CDD505-2E9C-101B-9397-08002B2CF9AE}" pid="4" name="ICV">
    <vt:lpwstr>0442E7A89D747DE6D22E056A89050928_43</vt:lpwstr>
  </property>
</Properties>
</file>