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21F4A" w:rsidRDefault="00E12B77">
      <w:pPr>
        <w:spacing w:after="0" w:line="240" w:lineRule="auto"/>
        <w:jc w:val="center"/>
      </w:pPr>
      <w:bookmarkStart w:id="0" w:name="_GoBack"/>
      <w:bookmarkEnd w:id="0"/>
      <w:r>
        <w:rPr>
          <w:b/>
          <w:sz w:val="28"/>
          <w:szCs w:val="28"/>
        </w:rPr>
        <w:t>Surveillance and Monitoring Policy</w:t>
      </w:r>
    </w:p>
    <w:p w:rsidR="00D21F4A" w:rsidRDefault="00D21F4A">
      <w:pPr>
        <w:spacing w:after="0" w:line="240" w:lineRule="auto"/>
      </w:pPr>
    </w:p>
    <w:p w:rsidR="00D21F4A" w:rsidRDefault="00D21F4A">
      <w:pPr>
        <w:spacing w:after="0" w:line="240" w:lineRule="auto"/>
      </w:pPr>
    </w:p>
    <w:p w:rsidR="00D21F4A" w:rsidRDefault="00E12B77">
      <w:pPr>
        <w:spacing w:after="0" w:line="240" w:lineRule="auto"/>
        <w:ind w:left="1440" w:hanging="1440"/>
        <w:jc w:val="both"/>
      </w:pPr>
      <w:bookmarkStart w:id="1" w:name="_gjdgxs" w:colFirst="0" w:colLast="0"/>
      <w:bookmarkEnd w:id="1"/>
      <w:r>
        <w:t>Purpose:</w:t>
      </w:r>
      <w:r>
        <w:tab/>
      </w:r>
      <w:r>
        <w:t xml:space="preserve">The purpose of surveillance and monitoring is to identify and flag potentially suspicious or unusual activity for review and provide for the timely reporting of such activity, if ultimately determined suspicious or unusual.  </w:t>
      </w:r>
    </w:p>
    <w:p w:rsidR="00D21F4A" w:rsidRDefault="00D21F4A">
      <w:pPr>
        <w:spacing w:after="0" w:line="240" w:lineRule="auto"/>
        <w:ind w:left="1440" w:hanging="1440"/>
        <w:jc w:val="both"/>
      </w:pPr>
    </w:p>
    <w:p w:rsidR="00D21F4A" w:rsidRDefault="00E12B77">
      <w:pPr>
        <w:spacing w:after="0" w:line="240" w:lineRule="auto"/>
        <w:ind w:left="1440" w:hanging="1440"/>
        <w:jc w:val="both"/>
      </w:pPr>
      <w:r>
        <w:t>Summary:</w:t>
      </w:r>
      <w:r>
        <w:tab/>
        <w:t>The Surveillance and</w:t>
      </w:r>
      <w:r>
        <w:t xml:space="preserve"> Monitoring Policy identifies the specific alert routines developed by Acme, LLC dba Initech Vending (“Initech”) to screen customer and transactional information for potentially suspicious or unusual activity. The alert routines monitor customers for unusu</w:t>
      </w:r>
      <w:r>
        <w:t xml:space="preserve">al volume, size, or pattern of transactions, taking into account risk factors and “red flags” appropriate to its business model. </w:t>
      </w:r>
    </w:p>
    <w:p w:rsidR="00D21F4A" w:rsidRDefault="00D21F4A">
      <w:pPr>
        <w:spacing w:after="0" w:line="240" w:lineRule="auto"/>
        <w:ind w:left="1440"/>
        <w:jc w:val="both"/>
      </w:pPr>
    </w:p>
    <w:p w:rsidR="00D21F4A" w:rsidRDefault="00E12B77">
      <w:pPr>
        <w:spacing w:after="0" w:line="240" w:lineRule="auto"/>
        <w:ind w:left="1440" w:hanging="1440"/>
        <w:jc w:val="both"/>
      </w:pPr>
      <w:r>
        <w:t>Process:</w:t>
      </w:r>
      <w:r>
        <w:tab/>
        <w:t xml:space="preserve">Alerts are generated internally and/or via third-party software vendor. The alerted information is then exported to </w:t>
      </w:r>
      <w:r>
        <w:t xml:space="preserve">the Dedicated Compliance Officer of Initech. Review and disposition of each alert should be completed by the Dedicated Compliance Officer and/or designee within fifteen (15) calendar days of receipt. </w:t>
      </w:r>
    </w:p>
    <w:p w:rsidR="00D21F4A" w:rsidRDefault="00E12B77">
      <w:pPr>
        <w:spacing w:after="0" w:line="240" w:lineRule="auto"/>
        <w:ind w:left="1440" w:hanging="1440"/>
        <w:jc w:val="both"/>
      </w:pPr>
      <w:r>
        <w:tab/>
      </w:r>
    </w:p>
    <w:p w:rsidR="00D21F4A" w:rsidRDefault="00E12B77">
      <w:pPr>
        <w:spacing w:after="0" w:line="240" w:lineRule="auto"/>
        <w:ind w:left="1440"/>
        <w:jc w:val="both"/>
      </w:pPr>
      <w:r>
        <w:t xml:space="preserve">Upon review, the Dedicated Compliance Officer and/or </w:t>
      </w:r>
      <w:r>
        <w:t>designee will document customer and transactional information, the decision as to whether a SAR was filed, and any supporting research.</w:t>
      </w:r>
    </w:p>
    <w:p w:rsidR="00D21F4A" w:rsidRDefault="00D21F4A">
      <w:pPr>
        <w:spacing w:after="0" w:line="240" w:lineRule="auto"/>
        <w:ind w:left="2880" w:hanging="1440"/>
        <w:jc w:val="both"/>
      </w:pPr>
    </w:p>
    <w:p w:rsidR="00D21F4A" w:rsidRDefault="00E12B77">
      <w:pPr>
        <w:spacing w:after="0" w:line="240" w:lineRule="auto"/>
        <w:ind w:left="1440" w:hanging="1440"/>
        <w:jc w:val="both"/>
      </w:pPr>
      <w:r>
        <w:t>Alerts:</w:t>
      </w:r>
      <w:r>
        <w:tab/>
        <w:t>Initech has developed and implemented the following alert routines:</w:t>
      </w:r>
    </w:p>
    <w:p w:rsidR="00D21F4A" w:rsidRDefault="00D21F4A">
      <w:pPr>
        <w:spacing w:after="0" w:line="240" w:lineRule="auto"/>
        <w:ind w:left="1440" w:hanging="1440"/>
        <w:jc w:val="both"/>
      </w:pPr>
    </w:p>
    <w:p w:rsidR="00D21F4A" w:rsidRDefault="00D21F4A">
      <w:pPr>
        <w:spacing w:after="0" w:line="240" w:lineRule="auto"/>
        <w:ind w:left="1440" w:hanging="1440"/>
        <w:jc w:val="both"/>
      </w:pPr>
    </w:p>
    <w:p w:rsidR="00D21F4A" w:rsidRDefault="00E12B77">
      <w:pPr>
        <w:spacing w:after="0" w:line="240" w:lineRule="auto"/>
        <w:ind w:left="1440"/>
        <w:jc w:val="both"/>
      </w:pPr>
      <w:r>
        <w:rPr>
          <w:i/>
        </w:rPr>
        <w:t>Routine Name: Customer Identification – T</w:t>
      </w:r>
      <w:r>
        <w:rPr>
          <w:i/>
        </w:rPr>
        <w:t>hreshold Aggregate – Cash In</w:t>
      </w:r>
    </w:p>
    <w:p w:rsidR="00D21F4A" w:rsidRDefault="00E12B77">
      <w:pPr>
        <w:spacing w:after="0" w:line="240" w:lineRule="auto"/>
        <w:ind w:left="1440"/>
        <w:jc w:val="both"/>
      </w:pPr>
      <w:r>
        <w:rPr>
          <w:i/>
        </w:rPr>
        <w:t>Alert Routine Threshold</w:t>
      </w:r>
      <w:r>
        <w:t>: Multiple transactions in a 24-hour period; transactions initiated with cash; same DASH address and/or same name; aggregate total denomination between $1,000 and $5,000.</w:t>
      </w:r>
    </w:p>
    <w:p w:rsidR="00D21F4A" w:rsidRDefault="00D21F4A">
      <w:pPr>
        <w:spacing w:after="0" w:line="240" w:lineRule="auto"/>
        <w:ind w:left="1440"/>
        <w:jc w:val="both"/>
      </w:pPr>
    </w:p>
    <w:p w:rsidR="00D21F4A" w:rsidRDefault="00E12B77">
      <w:pPr>
        <w:spacing w:after="0" w:line="240" w:lineRule="auto"/>
        <w:ind w:left="1440"/>
        <w:jc w:val="both"/>
      </w:pPr>
      <w:r>
        <w:rPr>
          <w:i/>
        </w:rPr>
        <w:t>Description</w:t>
      </w:r>
      <w:r>
        <w:t xml:space="preserve">: Customer transacts </w:t>
      </w:r>
      <w:r>
        <w:t>multiple exchanges of U.S. Dollar-denominated cash for DASH-denominated cryptocurrency in an aggregate amount equal to the threshold for customer identification ($1,000), but no greater than $5,000.</w:t>
      </w:r>
    </w:p>
    <w:p w:rsidR="00D21F4A" w:rsidRDefault="00D21F4A">
      <w:pPr>
        <w:spacing w:after="0" w:line="240" w:lineRule="auto"/>
        <w:ind w:left="1440"/>
        <w:jc w:val="both"/>
      </w:pPr>
    </w:p>
    <w:p w:rsidR="00D21F4A" w:rsidRDefault="00D21F4A">
      <w:pPr>
        <w:spacing w:after="0" w:line="240" w:lineRule="auto"/>
        <w:ind w:left="1440"/>
        <w:jc w:val="both"/>
      </w:pPr>
    </w:p>
    <w:p w:rsidR="00D21F4A" w:rsidRDefault="00E12B77">
      <w:pPr>
        <w:spacing w:after="0" w:line="240" w:lineRule="auto"/>
        <w:ind w:left="1440"/>
        <w:jc w:val="both"/>
      </w:pPr>
      <w:r>
        <w:rPr>
          <w:i/>
        </w:rPr>
        <w:t>Routine Name: Customer Identification – Threshold Aggre</w:t>
      </w:r>
      <w:r>
        <w:rPr>
          <w:i/>
        </w:rPr>
        <w:t>gate – Cash Out</w:t>
      </w:r>
    </w:p>
    <w:p w:rsidR="00D21F4A" w:rsidRDefault="00E12B77">
      <w:pPr>
        <w:spacing w:after="0" w:line="240" w:lineRule="auto"/>
        <w:ind w:left="1440"/>
        <w:jc w:val="both"/>
      </w:pPr>
      <w:r>
        <w:rPr>
          <w:i/>
        </w:rPr>
        <w:t>Alert Routine Threshold</w:t>
      </w:r>
      <w:r>
        <w:t>: Multiple transactions in a 24-hour period; transactions initiated with DASH; same DASH address and/or same name; aggregate total denomination between $1,000 and $5,000.</w:t>
      </w:r>
    </w:p>
    <w:p w:rsidR="00D21F4A" w:rsidRDefault="00D21F4A">
      <w:pPr>
        <w:spacing w:after="0" w:line="240" w:lineRule="auto"/>
        <w:ind w:left="1440"/>
        <w:jc w:val="both"/>
      </w:pPr>
    </w:p>
    <w:p w:rsidR="00D21F4A" w:rsidRDefault="00E12B77">
      <w:pPr>
        <w:spacing w:after="0" w:line="240" w:lineRule="auto"/>
        <w:ind w:left="1440"/>
        <w:jc w:val="both"/>
      </w:pPr>
      <w:r>
        <w:rPr>
          <w:i/>
        </w:rPr>
        <w:t>Description</w:t>
      </w:r>
      <w:r>
        <w:t>: Customer transacts multiple exchanges of DASH-denominated cryptocurrency for U.S. Dollar-denominated cash in an aggregate amount equal to the threshold for customer identification ($1,000), but no greater than $5,000.</w:t>
      </w:r>
    </w:p>
    <w:p w:rsidR="00D21F4A" w:rsidRDefault="00D21F4A">
      <w:pPr>
        <w:spacing w:after="0" w:line="240" w:lineRule="auto"/>
        <w:ind w:left="1440"/>
        <w:jc w:val="both"/>
      </w:pPr>
    </w:p>
    <w:p w:rsidR="00D21F4A" w:rsidRDefault="00D21F4A">
      <w:pPr>
        <w:spacing w:after="0" w:line="240" w:lineRule="auto"/>
        <w:ind w:left="1440"/>
        <w:jc w:val="both"/>
      </w:pPr>
    </w:p>
    <w:p w:rsidR="00D21F4A" w:rsidRDefault="00D21F4A">
      <w:pPr>
        <w:spacing w:after="0" w:line="240" w:lineRule="auto"/>
        <w:ind w:left="1440"/>
        <w:jc w:val="both"/>
      </w:pPr>
    </w:p>
    <w:p w:rsidR="00D21F4A" w:rsidRDefault="00E12B77">
      <w:pPr>
        <w:spacing w:after="0" w:line="240" w:lineRule="auto"/>
        <w:ind w:left="1440"/>
        <w:jc w:val="both"/>
      </w:pPr>
      <w:r>
        <w:rPr>
          <w:i/>
        </w:rPr>
        <w:lastRenderedPageBreak/>
        <w:t>Routine Name: Currency Transactio</w:t>
      </w:r>
      <w:r>
        <w:rPr>
          <w:i/>
        </w:rPr>
        <w:t>n Report – Threshold Aggregate – Cash In</w:t>
      </w:r>
    </w:p>
    <w:p w:rsidR="00D21F4A" w:rsidRDefault="00E12B77">
      <w:pPr>
        <w:spacing w:after="0" w:line="240" w:lineRule="auto"/>
        <w:ind w:left="1440"/>
        <w:jc w:val="both"/>
      </w:pPr>
      <w:r>
        <w:rPr>
          <w:i/>
        </w:rPr>
        <w:t>Alert Routine Threshold</w:t>
      </w:r>
      <w:r>
        <w:t>: Multiple transactions in a 24-hour period; transactions initiated with cash; same DASH address and/or same name; aggregate total denomination greater than or equal to $10,000.01.</w:t>
      </w:r>
    </w:p>
    <w:p w:rsidR="00D21F4A" w:rsidRDefault="00D21F4A">
      <w:pPr>
        <w:spacing w:after="0" w:line="240" w:lineRule="auto"/>
        <w:ind w:left="1440"/>
        <w:jc w:val="both"/>
      </w:pPr>
    </w:p>
    <w:p w:rsidR="00D21F4A" w:rsidRDefault="00E12B77">
      <w:pPr>
        <w:spacing w:after="0" w:line="240" w:lineRule="auto"/>
        <w:ind w:left="1440"/>
        <w:jc w:val="both"/>
      </w:pPr>
      <w:r>
        <w:rPr>
          <w:i/>
        </w:rPr>
        <w:t>Descriptio</w:t>
      </w:r>
      <w:r>
        <w:rPr>
          <w:i/>
        </w:rPr>
        <w:t>n</w:t>
      </w:r>
      <w:r>
        <w:t xml:space="preserve">: Customer transacts multiple exchanges of U.S. Dollar-denominated cash for DASH-denominated cryptocurrency in an aggregate amount exceeding the threshold that would trigger a Currency Transaction Report (&gt;$10,000).  </w:t>
      </w:r>
    </w:p>
    <w:p w:rsidR="00D21F4A" w:rsidRDefault="00D21F4A">
      <w:pPr>
        <w:spacing w:after="0" w:line="240" w:lineRule="auto"/>
        <w:ind w:left="1440"/>
        <w:jc w:val="both"/>
      </w:pPr>
    </w:p>
    <w:p w:rsidR="00D21F4A" w:rsidRDefault="00D21F4A">
      <w:pPr>
        <w:spacing w:after="0" w:line="240" w:lineRule="auto"/>
        <w:ind w:left="1440"/>
        <w:jc w:val="both"/>
      </w:pPr>
    </w:p>
    <w:p w:rsidR="00D21F4A" w:rsidRDefault="00E12B77">
      <w:pPr>
        <w:spacing w:after="0" w:line="240" w:lineRule="auto"/>
        <w:ind w:left="1440"/>
        <w:jc w:val="both"/>
      </w:pPr>
      <w:r>
        <w:rPr>
          <w:i/>
        </w:rPr>
        <w:t xml:space="preserve">Routine Name: Currency Transaction </w:t>
      </w:r>
      <w:r>
        <w:rPr>
          <w:i/>
        </w:rPr>
        <w:t>Report – Threshold Aggregate – Cash Out</w:t>
      </w:r>
    </w:p>
    <w:p w:rsidR="00D21F4A" w:rsidRDefault="00E12B77">
      <w:pPr>
        <w:spacing w:after="0" w:line="240" w:lineRule="auto"/>
        <w:ind w:left="1440"/>
        <w:jc w:val="both"/>
      </w:pPr>
      <w:r>
        <w:rPr>
          <w:i/>
        </w:rPr>
        <w:t>Alert Routine Threshold</w:t>
      </w:r>
      <w:r>
        <w:t>: Multiple transactions in a 24-hour period; transactions initiated with DASH; same DASH address and/or same name; aggregate total denomination greater than or equal to $10,000.01.</w:t>
      </w:r>
    </w:p>
    <w:p w:rsidR="00D21F4A" w:rsidRDefault="00D21F4A">
      <w:pPr>
        <w:spacing w:after="0" w:line="240" w:lineRule="auto"/>
        <w:ind w:left="1440"/>
        <w:jc w:val="both"/>
      </w:pPr>
    </w:p>
    <w:p w:rsidR="00D21F4A" w:rsidRDefault="00E12B77">
      <w:pPr>
        <w:spacing w:after="0" w:line="240" w:lineRule="auto"/>
        <w:ind w:left="1440"/>
        <w:jc w:val="both"/>
      </w:pPr>
      <w:r>
        <w:rPr>
          <w:i/>
        </w:rPr>
        <w:t>Description</w:t>
      </w:r>
      <w:r>
        <w:t xml:space="preserve">: Customer transacts multiple exchanges of DASH-denominated cryptocurrency for U.S. Dollar-denominated cash in an aggregate amount exceeding the threshold that would trigger a Currency Transaction Report (&gt;$10,000).  </w:t>
      </w:r>
    </w:p>
    <w:p w:rsidR="00D21F4A" w:rsidRDefault="00D21F4A">
      <w:pPr>
        <w:spacing w:after="0" w:line="240" w:lineRule="auto"/>
        <w:jc w:val="both"/>
      </w:pPr>
    </w:p>
    <w:p w:rsidR="00D21F4A" w:rsidRDefault="00D21F4A">
      <w:pPr>
        <w:spacing w:after="0" w:line="240" w:lineRule="auto"/>
        <w:jc w:val="both"/>
      </w:pPr>
    </w:p>
    <w:p w:rsidR="00D21F4A" w:rsidRDefault="00E12B77">
      <w:pPr>
        <w:spacing w:after="0" w:line="240" w:lineRule="auto"/>
        <w:ind w:left="1440"/>
        <w:jc w:val="both"/>
      </w:pPr>
      <w:r>
        <w:rPr>
          <w:i/>
        </w:rPr>
        <w:t xml:space="preserve">Routine Name: DASH Address/Customer </w:t>
      </w:r>
      <w:r>
        <w:rPr>
          <w:i/>
        </w:rPr>
        <w:t>– Transaction Velocity – Cash In</w:t>
      </w:r>
    </w:p>
    <w:p w:rsidR="00D21F4A" w:rsidRDefault="00E12B77">
      <w:pPr>
        <w:spacing w:after="0" w:line="240" w:lineRule="auto"/>
        <w:ind w:left="1440"/>
        <w:jc w:val="both"/>
      </w:pPr>
      <w:r>
        <w:rPr>
          <w:i/>
        </w:rPr>
        <w:t>Alert Routine Threshold</w:t>
      </w:r>
      <w:r>
        <w:t>: Four (4) or more transactions in a 24-hour period; transactions initiated with cash; same DASH address and/or same name.</w:t>
      </w:r>
    </w:p>
    <w:p w:rsidR="00D21F4A" w:rsidRDefault="00D21F4A">
      <w:pPr>
        <w:spacing w:after="0" w:line="240" w:lineRule="auto"/>
        <w:ind w:left="1440"/>
        <w:jc w:val="both"/>
      </w:pPr>
    </w:p>
    <w:p w:rsidR="00D21F4A" w:rsidRDefault="00E12B77">
      <w:pPr>
        <w:spacing w:after="0" w:line="240" w:lineRule="auto"/>
        <w:ind w:left="1440"/>
        <w:jc w:val="both"/>
      </w:pPr>
      <w:r>
        <w:rPr>
          <w:i/>
        </w:rPr>
        <w:t>Description</w:t>
      </w:r>
      <w:r>
        <w:t>: Customer transacts multiple exchanges of U.S. Dollar-denominate</w:t>
      </w:r>
      <w:r>
        <w:t xml:space="preserve">d cash for DASH-denominated cryptocurrency in excess of average individual expected volume.  </w:t>
      </w:r>
    </w:p>
    <w:p w:rsidR="00D21F4A" w:rsidRDefault="00D21F4A">
      <w:pPr>
        <w:spacing w:after="0" w:line="240" w:lineRule="auto"/>
        <w:jc w:val="both"/>
      </w:pPr>
    </w:p>
    <w:p w:rsidR="00D21F4A" w:rsidRDefault="00D21F4A">
      <w:pPr>
        <w:spacing w:after="0" w:line="240" w:lineRule="auto"/>
        <w:jc w:val="both"/>
      </w:pPr>
    </w:p>
    <w:p w:rsidR="00D21F4A" w:rsidRDefault="00E12B77">
      <w:pPr>
        <w:spacing w:after="0" w:line="240" w:lineRule="auto"/>
        <w:ind w:left="1440"/>
        <w:jc w:val="both"/>
      </w:pPr>
      <w:r>
        <w:rPr>
          <w:i/>
        </w:rPr>
        <w:t>Routine Name: DASH Address/Customer – Transaction Velocity – Cash Out</w:t>
      </w:r>
    </w:p>
    <w:p w:rsidR="00D21F4A" w:rsidRDefault="00E12B77">
      <w:pPr>
        <w:spacing w:after="0" w:line="240" w:lineRule="auto"/>
        <w:ind w:left="1440"/>
        <w:jc w:val="both"/>
      </w:pPr>
      <w:r>
        <w:rPr>
          <w:i/>
        </w:rPr>
        <w:t>Alert Routine Threshold</w:t>
      </w:r>
      <w:r>
        <w:t>: Four (4) or more transactions in a 24-hour period; transactions i</w:t>
      </w:r>
      <w:r>
        <w:t>nitiated with DASH; same DASH address and/or same name.</w:t>
      </w:r>
    </w:p>
    <w:p w:rsidR="00D21F4A" w:rsidRDefault="00D21F4A">
      <w:pPr>
        <w:spacing w:after="0" w:line="240" w:lineRule="auto"/>
        <w:ind w:left="1440"/>
        <w:jc w:val="both"/>
      </w:pPr>
    </w:p>
    <w:p w:rsidR="00D21F4A" w:rsidRDefault="00E12B77">
      <w:pPr>
        <w:spacing w:after="0" w:line="240" w:lineRule="auto"/>
        <w:ind w:left="1440"/>
        <w:jc w:val="both"/>
      </w:pPr>
      <w:r>
        <w:rPr>
          <w:i/>
        </w:rPr>
        <w:t>Description</w:t>
      </w:r>
      <w:r>
        <w:t xml:space="preserve">: Customer transacts multiple exchanges of DASH-denominated cryptocurrency for U.S. Dollar-denominated cash in excess of average individual expected volume.  </w:t>
      </w:r>
    </w:p>
    <w:p w:rsidR="00D21F4A" w:rsidRDefault="00D21F4A">
      <w:pPr>
        <w:spacing w:after="0" w:line="240" w:lineRule="auto"/>
        <w:jc w:val="both"/>
      </w:pPr>
    </w:p>
    <w:p w:rsidR="00D21F4A" w:rsidRDefault="00D21F4A">
      <w:pPr>
        <w:spacing w:after="0" w:line="240" w:lineRule="auto"/>
        <w:jc w:val="both"/>
      </w:pPr>
    </w:p>
    <w:p w:rsidR="00D21F4A" w:rsidRDefault="00E12B77">
      <w:pPr>
        <w:spacing w:after="0" w:line="240" w:lineRule="auto"/>
        <w:ind w:left="1440"/>
        <w:jc w:val="both"/>
      </w:pPr>
      <w:r>
        <w:rPr>
          <w:i/>
        </w:rPr>
        <w:t>Routine Name: DASH Address/Customer – Transaction Volume – Cash In</w:t>
      </w:r>
    </w:p>
    <w:p w:rsidR="00D21F4A" w:rsidRDefault="00E12B77">
      <w:pPr>
        <w:spacing w:after="0" w:line="240" w:lineRule="auto"/>
        <w:ind w:left="1440"/>
        <w:jc w:val="both"/>
      </w:pPr>
      <w:r>
        <w:rPr>
          <w:i/>
        </w:rPr>
        <w:t>Alert Routine Threshold</w:t>
      </w:r>
      <w:r>
        <w:t xml:space="preserve">: Four (4) or more transactions in a 15-day period; transactions initiated with cash; same DASH address and/or same name; individual denominations between $2,000 and </w:t>
      </w:r>
      <w:r>
        <w:t>$3,000.</w:t>
      </w:r>
    </w:p>
    <w:p w:rsidR="00D21F4A" w:rsidRDefault="00D21F4A">
      <w:pPr>
        <w:spacing w:after="0" w:line="240" w:lineRule="auto"/>
        <w:ind w:left="1440"/>
        <w:jc w:val="both"/>
      </w:pPr>
    </w:p>
    <w:p w:rsidR="00D21F4A" w:rsidRDefault="00E12B77">
      <w:pPr>
        <w:spacing w:after="0" w:line="240" w:lineRule="auto"/>
        <w:ind w:left="1440"/>
        <w:jc w:val="both"/>
      </w:pPr>
      <w:r>
        <w:rPr>
          <w:i/>
        </w:rPr>
        <w:t>Description</w:t>
      </w:r>
      <w:r>
        <w:t>: Customer transacts multiple exchanges of lower U.S. Dollar-denominated cash for DASH-denominated cryptocurrency which aggregates to a substantial sum of money.</w:t>
      </w:r>
    </w:p>
    <w:p w:rsidR="00D21F4A" w:rsidRDefault="00D21F4A">
      <w:pPr>
        <w:spacing w:after="0" w:line="240" w:lineRule="auto"/>
        <w:jc w:val="both"/>
      </w:pPr>
    </w:p>
    <w:p w:rsidR="00D21F4A" w:rsidRDefault="00D21F4A">
      <w:pPr>
        <w:spacing w:after="0" w:line="240" w:lineRule="auto"/>
        <w:jc w:val="both"/>
      </w:pPr>
    </w:p>
    <w:p w:rsidR="00D21F4A" w:rsidRDefault="00E12B77">
      <w:pPr>
        <w:spacing w:after="0" w:line="240" w:lineRule="auto"/>
        <w:ind w:left="1440"/>
        <w:jc w:val="both"/>
      </w:pPr>
      <w:r>
        <w:rPr>
          <w:i/>
        </w:rPr>
        <w:lastRenderedPageBreak/>
        <w:t>Routine Name: DASH Address/Customer – Transaction Volume – Cash Out</w:t>
      </w:r>
    </w:p>
    <w:p w:rsidR="00D21F4A" w:rsidRDefault="00E12B77">
      <w:pPr>
        <w:spacing w:after="0" w:line="240" w:lineRule="auto"/>
        <w:ind w:left="1440"/>
        <w:jc w:val="both"/>
      </w:pPr>
      <w:r>
        <w:rPr>
          <w:i/>
        </w:rPr>
        <w:t>Aler</w:t>
      </w:r>
      <w:r>
        <w:rPr>
          <w:i/>
        </w:rPr>
        <w:t>t Routine Threshold</w:t>
      </w:r>
      <w:r>
        <w:t>: Four (4) or more transactions in a 15-day period; transactions initiated with DASH; same DASH address and/or same name; individual denominations between $2,000 and $3,000.</w:t>
      </w:r>
    </w:p>
    <w:p w:rsidR="00D21F4A" w:rsidRDefault="00D21F4A">
      <w:pPr>
        <w:spacing w:after="0" w:line="240" w:lineRule="auto"/>
        <w:ind w:left="1440"/>
        <w:jc w:val="both"/>
      </w:pPr>
    </w:p>
    <w:p w:rsidR="00D21F4A" w:rsidRDefault="00E12B77">
      <w:pPr>
        <w:spacing w:after="0" w:line="240" w:lineRule="auto"/>
        <w:ind w:left="1440"/>
        <w:jc w:val="both"/>
      </w:pPr>
      <w:r>
        <w:rPr>
          <w:i/>
        </w:rPr>
        <w:t>Description</w:t>
      </w:r>
      <w:r>
        <w:t>: Customer transacts multiple exchanges of DASH-den</w:t>
      </w:r>
      <w:r>
        <w:t>ominated cryptocurrency for lower U.S. Dollar-denominated cash which aggregates to a substantial sum of money.</w:t>
      </w:r>
    </w:p>
    <w:p w:rsidR="00D21F4A" w:rsidRDefault="00D21F4A">
      <w:pPr>
        <w:spacing w:after="0" w:line="240" w:lineRule="auto"/>
        <w:ind w:left="1440"/>
        <w:jc w:val="both"/>
      </w:pPr>
    </w:p>
    <w:p w:rsidR="00D21F4A" w:rsidRDefault="00D21F4A">
      <w:pPr>
        <w:spacing w:after="0" w:line="240" w:lineRule="auto"/>
        <w:ind w:left="1440"/>
        <w:jc w:val="both"/>
      </w:pPr>
    </w:p>
    <w:p w:rsidR="00D21F4A" w:rsidRDefault="00E12B77">
      <w:pPr>
        <w:spacing w:after="0" w:line="240" w:lineRule="auto"/>
        <w:ind w:left="1440"/>
        <w:jc w:val="both"/>
      </w:pPr>
      <w:r>
        <w:rPr>
          <w:i/>
        </w:rPr>
        <w:t>Routine Name: DASH Address – Multiple Customers – Cash In</w:t>
      </w:r>
    </w:p>
    <w:p w:rsidR="00D21F4A" w:rsidRDefault="00E12B77">
      <w:pPr>
        <w:spacing w:after="0" w:line="240" w:lineRule="auto"/>
        <w:ind w:left="1440"/>
        <w:jc w:val="both"/>
      </w:pPr>
      <w:r>
        <w:rPr>
          <w:i/>
        </w:rPr>
        <w:t>Alert Routine Threshold</w:t>
      </w:r>
      <w:r>
        <w:t>: Multiple transactions; transactions initiated with cash; sin</w:t>
      </w:r>
      <w:r>
        <w:t>gle wallet address; multiple names.</w:t>
      </w:r>
    </w:p>
    <w:p w:rsidR="00D21F4A" w:rsidRDefault="00D21F4A">
      <w:pPr>
        <w:spacing w:after="0" w:line="240" w:lineRule="auto"/>
        <w:ind w:left="1440"/>
        <w:jc w:val="both"/>
      </w:pPr>
    </w:p>
    <w:p w:rsidR="00D21F4A" w:rsidRDefault="00E12B77">
      <w:pPr>
        <w:spacing w:after="0" w:line="240" w:lineRule="auto"/>
        <w:ind w:left="1440"/>
        <w:jc w:val="both"/>
      </w:pPr>
      <w:r>
        <w:rPr>
          <w:i/>
        </w:rPr>
        <w:t>Description</w:t>
      </w:r>
      <w:r>
        <w:t xml:space="preserve">: Multiple customers transacting exchanges of U.S. Dollar-denominated cash for DASH-denominated cryptocurrency using a single DASH address.  </w:t>
      </w:r>
    </w:p>
    <w:p w:rsidR="00D21F4A" w:rsidRDefault="00D21F4A">
      <w:pPr>
        <w:spacing w:after="0" w:line="240" w:lineRule="auto"/>
        <w:jc w:val="both"/>
      </w:pPr>
    </w:p>
    <w:p w:rsidR="00D21F4A" w:rsidRDefault="00D21F4A">
      <w:pPr>
        <w:spacing w:after="0" w:line="240" w:lineRule="auto"/>
        <w:jc w:val="both"/>
      </w:pPr>
    </w:p>
    <w:p w:rsidR="00D21F4A" w:rsidRDefault="00E12B77">
      <w:pPr>
        <w:spacing w:after="0" w:line="240" w:lineRule="auto"/>
        <w:ind w:left="1440"/>
        <w:jc w:val="both"/>
      </w:pPr>
      <w:r>
        <w:rPr>
          <w:i/>
        </w:rPr>
        <w:t>Routine Name: DASH Address – Multiple Customers – Cash Out</w:t>
      </w:r>
    </w:p>
    <w:p w:rsidR="00D21F4A" w:rsidRDefault="00E12B77">
      <w:pPr>
        <w:spacing w:after="0" w:line="240" w:lineRule="auto"/>
        <w:ind w:left="1440"/>
        <w:jc w:val="both"/>
      </w:pPr>
      <w:r>
        <w:rPr>
          <w:i/>
        </w:rPr>
        <w:t>Alert</w:t>
      </w:r>
      <w:r>
        <w:rPr>
          <w:i/>
        </w:rPr>
        <w:t xml:space="preserve"> Routine Threshold</w:t>
      </w:r>
      <w:r>
        <w:t>: Multiple transactions; transactions initiated with DASH; single wallet address; multiple names.</w:t>
      </w:r>
    </w:p>
    <w:p w:rsidR="00D21F4A" w:rsidRDefault="00D21F4A">
      <w:pPr>
        <w:spacing w:after="0" w:line="240" w:lineRule="auto"/>
        <w:ind w:left="1440"/>
        <w:jc w:val="both"/>
      </w:pPr>
    </w:p>
    <w:p w:rsidR="00D21F4A" w:rsidRDefault="00E12B77">
      <w:pPr>
        <w:spacing w:after="0" w:line="240" w:lineRule="auto"/>
        <w:ind w:left="1440"/>
        <w:jc w:val="both"/>
      </w:pPr>
      <w:r>
        <w:rPr>
          <w:i/>
        </w:rPr>
        <w:t>Description</w:t>
      </w:r>
      <w:r>
        <w:t>: Multiple customers transacting exchanges of DASH-denominated cryptocurrency for U.S. Dollar-denominated cash using a single DA</w:t>
      </w:r>
      <w:r>
        <w:t xml:space="preserve">SH address.  </w:t>
      </w:r>
    </w:p>
    <w:p w:rsidR="00D21F4A" w:rsidRDefault="00D21F4A">
      <w:pPr>
        <w:spacing w:after="0" w:line="240" w:lineRule="auto"/>
        <w:ind w:left="1440" w:hanging="1440"/>
        <w:jc w:val="both"/>
      </w:pPr>
    </w:p>
    <w:p w:rsidR="00D21F4A" w:rsidRDefault="00D21F4A">
      <w:pPr>
        <w:spacing w:after="0" w:line="240" w:lineRule="auto"/>
        <w:ind w:left="1440" w:hanging="1440"/>
        <w:jc w:val="both"/>
      </w:pPr>
    </w:p>
    <w:p w:rsidR="00D21F4A" w:rsidRDefault="00E12B77">
      <w:pPr>
        <w:spacing w:after="0" w:line="240" w:lineRule="auto"/>
        <w:ind w:left="1440" w:hanging="1440"/>
        <w:jc w:val="both"/>
      </w:pPr>
      <w:r>
        <w:t>Records:</w:t>
      </w:r>
      <w:r>
        <w:tab/>
      </w:r>
      <w:r>
        <w:t>Initech will retain all records relating to generated alert routines, including its decision as to whether a SAR was filed, and any supporting documentation. Initech will retain these records for at least five (5) years from the date of review disposition.</w:t>
      </w:r>
      <w:r>
        <w:t xml:space="preserve"> These records will be filed or stored in such a way as to be accessible within a reasonable period of time.</w:t>
      </w:r>
    </w:p>
    <w:p w:rsidR="00D21F4A" w:rsidRDefault="00D21F4A">
      <w:pPr>
        <w:spacing w:after="0" w:line="240" w:lineRule="auto"/>
        <w:ind w:left="1440" w:hanging="1440"/>
        <w:jc w:val="both"/>
      </w:pPr>
    </w:p>
    <w:p w:rsidR="00D21F4A" w:rsidRDefault="00E12B77">
      <w:pPr>
        <w:ind w:left="1440" w:hanging="1440"/>
        <w:jc w:val="both"/>
      </w:pPr>
      <w:r>
        <w:t>Approval:</w:t>
      </w:r>
      <w:r>
        <w:tab/>
      </w:r>
      <w:r>
        <w:t>Initech’s Senior Management has approved the Surveillance and Monitoring Policy. This approval is indicated by the signature below.</w:t>
      </w:r>
    </w:p>
    <w:p w:rsidR="00D21F4A" w:rsidRDefault="00E12B77">
      <w:pPr>
        <w:ind w:left="1440"/>
        <w:jc w:val="both"/>
      </w:pPr>
      <w:r>
        <w:br/>
        <w:t>Sig</w:t>
      </w:r>
      <w:r>
        <w:t>ned:</w:t>
      </w:r>
      <w:r>
        <w:tab/>
      </w:r>
      <w:r>
        <w:tab/>
      </w:r>
      <w:r>
        <w:tab/>
      </w:r>
      <w:r>
        <w:tab/>
      </w:r>
      <w:r>
        <w:tab/>
      </w:r>
      <w:r>
        <w:tab/>
      </w:r>
    </w:p>
    <w:p w:rsidR="00D21F4A" w:rsidRDefault="00E12B77">
      <w:pPr>
        <w:ind w:left="1440"/>
      </w:pPr>
      <w:r>
        <w:br/>
        <w:t>Name:</w:t>
      </w:r>
    </w:p>
    <w:p w:rsidR="00D21F4A" w:rsidRDefault="00E12B77">
      <w:pPr>
        <w:ind w:left="720" w:firstLine="720"/>
      </w:pPr>
      <w:r>
        <w:t>Title:</w:t>
      </w:r>
    </w:p>
    <w:p w:rsidR="00D21F4A" w:rsidRDefault="00E12B77">
      <w:pPr>
        <w:ind w:left="720" w:firstLine="720"/>
      </w:pPr>
      <w:r>
        <w:t>Date:</w:t>
      </w:r>
    </w:p>
    <w:p w:rsidR="00D21F4A" w:rsidRDefault="00D21F4A">
      <w:pPr>
        <w:spacing w:after="0" w:line="240" w:lineRule="auto"/>
        <w:ind w:left="1440" w:hanging="1440"/>
        <w:jc w:val="both"/>
      </w:pPr>
    </w:p>
    <w:sectPr w:rsidR="00D21F4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2B77" w:rsidRDefault="00E12B77">
      <w:pPr>
        <w:spacing w:after="0" w:line="240" w:lineRule="auto"/>
      </w:pPr>
      <w:r>
        <w:separator/>
      </w:r>
    </w:p>
  </w:endnote>
  <w:endnote w:type="continuationSeparator" w:id="0">
    <w:p w:rsidR="00E12B77" w:rsidRDefault="00E12B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A32" w:rsidRDefault="00DB1A3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F4A" w:rsidRDefault="00E12B77">
    <w:pPr>
      <w:spacing w:after="720"/>
      <w:jc w:val="right"/>
    </w:pPr>
    <w:r>
      <w:rPr>
        <w:sz w:val="18"/>
        <w:szCs w:val="18"/>
      </w:rPr>
      <w:t xml:space="preserve">Acme, LLC dba Innovate Vending – Surveillance and Monitoring Policy - Confidential     </w:t>
    </w:r>
    <w:r>
      <w:fldChar w:fldCharType="begin"/>
    </w:r>
    <w:r>
      <w:instrText>PAGE</w:instrText>
    </w:r>
    <w:r>
      <w:fldChar w:fldCharType="separate"/>
    </w:r>
    <w:r w:rsidR="00DB1A32">
      <w:rPr>
        <w:noProof/>
      </w:rPr>
      <w:t>1</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A32" w:rsidRDefault="00DB1A3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2B77" w:rsidRDefault="00E12B77">
      <w:pPr>
        <w:spacing w:after="0" w:line="240" w:lineRule="auto"/>
      </w:pPr>
      <w:r>
        <w:separator/>
      </w:r>
    </w:p>
  </w:footnote>
  <w:footnote w:type="continuationSeparator" w:id="0">
    <w:p w:rsidR="00E12B77" w:rsidRDefault="00E12B7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A32" w:rsidRDefault="00DB1A3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90643049"/>
      <w:docPartObj>
        <w:docPartGallery w:val="Watermarks"/>
        <w:docPartUnique/>
      </w:docPartObj>
    </w:sdtPr>
    <w:sdtContent>
      <w:p w:rsidR="00DB1A32" w:rsidRDefault="00DB1A32">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1383355" o:spid="_x0000_s2049" type="#_x0000_t136" style="position:absolute;margin-left:0;margin-top:0;width:479.9pt;height:179.95pt;rotation:315;z-index:-251657216;mso-position-horizontal:center;mso-position-horizontal-relative:margin;mso-position-vertical:center;mso-position-vertical-relative:margin" o:allowincell="f" fillcolor="#9cc2e5 [1940]" stroked="f">
              <v:fill opacity=".5"/>
              <v:textpath style="font-family:&quot;Calibri&quot;;font-size:1pt" string="DASH.ORG"/>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1A32" w:rsidRDefault="00DB1A3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D21F4A"/>
    <w:rsid w:val="00D21F4A"/>
    <w:rsid w:val="00DB1A32"/>
    <w:rsid w:val="00E12B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docId w15:val="{223AEC51-B102-4788-AC40-F8B593C70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Header">
    <w:name w:val="header"/>
    <w:basedOn w:val="Normal"/>
    <w:link w:val="HeaderChar"/>
    <w:uiPriority w:val="99"/>
    <w:unhideWhenUsed/>
    <w:rsid w:val="00DB1A32"/>
    <w:pPr>
      <w:tabs>
        <w:tab w:val="center" w:pos="4703"/>
        <w:tab w:val="right" w:pos="9406"/>
      </w:tabs>
      <w:spacing w:after="0" w:line="240" w:lineRule="auto"/>
    </w:pPr>
  </w:style>
  <w:style w:type="character" w:customStyle="1" w:styleId="HeaderChar">
    <w:name w:val="Header Char"/>
    <w:basedOn w:val="DefaultParagraphFont"/>
    <w:link w:val="Header"/>
    <w:uiPriority w:val="99"/>
    <w:rsid w:val="00DB1A32"/>
  </w:style>
  <w:style w:type="paragraph" w:styleId="Footer">
    <w:name w:val="footer"/>
    <w:basedOn w:val="Normal"/>
    <w:link w:val="FooterChar"/>
    <w:uiPriority w:val="99"/>
    <w:unhideWhenUsed/>
    <w:rsid w:val="00DB1A32"/>
    <w:pPr>
      <w:tabs>
        <w:tab w:val="center" w:pos="4703"/>
        <w:tab w:val="right" w:pos="9406"/>
      </w:tabs>
      <w:spacing w:after="0" w:line="240" w:lineRule="auto"/>
    </w:pPr>
  </w:style>
  <w:style w:type="character" w:customStyle="1" w:styleId="FooterChar">
    <w:name w:val="Footer Char"/>
    <w:basedOn w:val="DefaultParagraphFont"/>
    <w:link w:val="Footer"/>
    <w:uiPriority w:val="99"/>
    <w:rsid w:val="00DB1A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923</Words>
  <Characters>5263</Characters>
  <Application>Microsoft Office Word</Application>
  <DocSecurity>0</DocSecurity>
  <Lines>43</Lines>
  <Paragraphs>12</Paragraphs>
  <ScaleCrop>false</ScaleCrop>
  <Company/>
  <LinksUpToDate>false</LinksUpToDate>
  <CharactersWithSpaces>6174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Wiecko</cp:lastModifiedBy>
  <cp:revision>3</cp:revision>
  <dcterms:created xsi:type="dcterms:W3CDTF">2017-03-16T13:43:00Z</dcterms:created>
  <dcterms:modified xsi:type="dcterms:W3CDTF">2017-03-16T13:44:00Z</dcterms:modified>
</cp:coreProperties>
</file>