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Q15_AA_ITA_2022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km².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Q15_AB_ITA_2022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320 km².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Q15_AC_ITA_2022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4.800 km².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Q15_AD_ITA_2022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52.000 km².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Q15_AE_ITA_2022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680.000 km².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Q16_AA_ITA_2022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respeito distanciado, porém, genuíno, que as classes populares da época nutriam para com os políticos.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Q16_AB_ITA_2022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A idolatria do autor para com os políticos que defendiam a volta do regime monárquico.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Q16_AC_ITA_2022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A ironia com que a narrativa retrata a política institucional da República Velha.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Q16_AD_ITA_2022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A crença do narrador de que os males da política tinham origem nas intrigas das cortes europeias.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Q16_AE_ITA_2022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O tom de desesperança para com o futuro do Brasil manifestado na psicologia das personagens femininas.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Q17_AA_ITA_2022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São o espelho da boa educação aristocrática que também caracteriza a dupla Edgarda e D. Florinda.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Q17_AB_ITA_2022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Representam a dignidade de caráter do povo brasileiro, como Bogóloff e Juca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Chaveco.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Q17_AC_ITA_2022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São personagens secundárias, cuja única função é auxiliar as personagens verdadeiramente centrais da narrativa.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Q17_AD_ITA_2022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São protagonistas porque contribuem decisivamente para o sucesso das carreiras políticas de Bentes e Benevenuto.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Q17_AE_ITA_2022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Representam ao leitor que o oportunismo e a ação por mera conveniência estão presentes em todas as classes sociais brasileiras.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Q18_AA_ITA_2022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É um narrador onisciente, que julga crítica e sarcasticamente os fatos e as personagens.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Q18_AB_ITA_2022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É um narrador personagem, imparcial, em 3ª pessoa.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Q18_AC_ITA_2022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É um narrador em 3ª pessoa, imparcial ao narrar os fatos, mas que julga criticamente as personagens.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Q18_AD_ITA_2022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É um narrador onisciente, em 1ª pessoa, que julga moralmente as demais personagens.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Q18_AE_ITA_2022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É um narrador onisciente, distanciado dos fatos e das personagens.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Q19_AA_ITA_2022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Apenas I é verdadeira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Q19_AB_ITA_2022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Apenas II é verdadeira.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Q19_AC_ITA_2022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Apenas I e II são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Q19_AD_ITA_2022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Apenas III é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Q19_AE_ITA_2022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são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Q20_AA_ITA_2022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A observação de fatos cotidianos aproxima-se da crônica e permite ao narrador relatar algo que o senso comum não percebe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Q20_AB_ITA_2022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Pelo relato dos fatos cotidianos, o narrador revela que, por trás das aparências, há uma recusa da cultura popular implícita na adesão à estrangeira.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Q20_AC_ITA_2022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O narrador manifesta sutilmente um juízo acerca do que se passa.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Q20_AD_ITA_2022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O relato e a interpretação do fato cotidiano facultam ao leitor formular seus próprios juízos sobre o que se passa.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Q20_AE_ITA_2022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É um relato estritamente objetivo que não busca manifestar nenhuma perspectiva subjetiva ou aspecto despercebido do cotidiano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Q21_AA_ITA_2022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Os verbos, advérbios e complementos representam uma situação perigosa para quem bebe pouco leite.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Q21_AB_ITA_2022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A construção repetitiva dos versos sugere uma tensão entre as condições de vida, a repetição própria do trabalho moderno e uma moralidade social violenta.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Q21_AC_ITA_2022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O estilo coloquial do poema está em perfeita consonância com os preceitos da poética romântica do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Q21_AD_ITA_2022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Os versos tematizam a luta no campo entre grandes e pequenos pecuaristas dedicados à produção de laticínios no país.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Q21_AE_ITA_2022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A escassez de recursos linguísticos é uma metáfora da escassez de recursos na produção social de laticínios no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Q22_AA_ITA_2022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vida besta, meu Deus.” (“Cidadezinha qualquer”).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Q22_AB_ITA_2022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“Amanhecem de novo as antigas manhãs/ que não vivi jamais, pois jamais me sorriram.” (“Campo de flores”).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Q22_AC_ITA_2022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“Não cantarei amores que não tenho,/ e, quando tive, nunca celebrei.” (“Nudez”).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Q22_AD_ITA_2022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“E como ficou chato ser moderno./ Agora serei eterno.” (“Eterno”).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Q22_AE_ITA_2022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“Então nos punimos em nossa delícia./ O amor atinge raso, e fere tanto.” (“Ciclo”).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Q23_AA_ITA_2022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O poeta quer dizer que a divisão é rígida e espelha fielmente as fases de sua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Q23_AB_ITA_2022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O poeta admite, com ironia, a própria falibilidade e faculta ao leitor a liberdade de outra organização dos poemas.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Q23_AC_ITA_2022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A antologia poética deve ser entendida normativamente, isto é, segundo uma “ordem interna” inalterável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Q23_AD_ITA_2022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O poeta retira do leitor a possibilidade de interpretar a sua poesia.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Q23_AE_ITA_2022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É evidente a falta de critério para a seleção dos poemas, o que indica apenas a intenção de amostragem, sem qualquer planejamento ou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Q24_AA_ITA_2022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A sua poética mantém uma relação ambígua com a memória, com traços de esperança, embora sem saudosismo ou idealização, como atestam os versos: “Pois de tudo fica um pouco./ Fica um pouco de teu queixo/ no queixo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tua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filha.” (“Resíduo”).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Q24_AB_ITA_2022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Não é sua característica tratar do amor como luxúria carnal que intensifica a dor de amar, conforme atestam os versos: “Não cantarei amores que não tenho,/ e, quando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tive,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nunca celebrei.” (“Nudez”).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Q24_AC_ITA_2022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Não é marcada por terna evocação saudosista do passado, como atestam os versos: “E de tudo fica um pouco./ Oh abre os vidros de loção/ e abafa/ o insuportável mau cheiro da memória.” (“Resíduo”).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Q24_AD_ITA_2022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O poeta jamais demonstra dúvidas relativamente ao amor, conforme atestam os versos: “Amarei mesmo Fulana?/ ou é ilusão de sexo?” (“O mito”).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Q24_AE_ITA_2022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O poeta não evita o tema da memória e só trata da expectativa do futuro, como atestam os versos: “Amanhecem de novo as antigas manhãs/ que não vivi jamais, pois jamais me sorriram.” (“Campo de flores”).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Q25_AA_ITA_2022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Os versos evidenciam que o amor, na poética de Drummond, não representa um tema importante e é apenas ligeiramente abordado em seus poemas.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Q25_AB_ITA_2022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Os versos evidenciam a centralidade do amor erótico na poética de Drummond, por meio do qual a subjetividade individual se exprime.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Q25_AC_ITA_2022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Os versos evidenciam que, na poética de Drummond, o amor vai além do sentimentalismo individual para englobar relações humanas mais profundas.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Q25_AD_ITA_2022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Nestes versos, o poeta reduz o amor ao ato sexual, ao desejo carnal entre homem e mulher.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Q25_AE_ITA_2022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Nestes versos, o amor restringe-se a um sentimentalismo convencional, evidenciado pela escolha da forma tradicional do soneto para exprimir 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Q26_AA_ITA_2022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É um narrador predominantemente em terceira pessoa, que utiliza, por vezes, o discurso indireto livre para se confundir com a personagem protagonista.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Q26_AB_ITA_2022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É um narrador em primeira pessoa que constrói um monólogo interior.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Q26_AC_ITA_2022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É um narrador protagonista, que relata, em primeira pessoa, as experiências que outra personagem lhe contou.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Q26_AD_ITA_2022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É Um narrador em terceira pessoa pouco atento aos pensamentos da personagem protagonista.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Q26_AE_ITA_2022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É um narrador judicativo que recrimina a culpa que a personagem protagonista sente e, por isso, faz perguntas a si próprio.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Q27_AA_ITA_2022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“Se por acaso alguém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tinha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pensado em comprar um novo fio dental porque este estava no fim. Não está, respondi, é que ele se enredou lá dentro, se a gente tirar esta plaqueta (tentei levantar a plaqueta) a gente vê que o rolo está inteiro mas enredado e quando o fio se enreda desse jeito, nunca mais!, melhor jogar fora e começar outro rolo. Não joguei.” (“Noturno amarelo”).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Q27_AB_ITA_2022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“Chega também de banho? ela perguntou enquanto dava tapinhas no queixo. Ele calçou os chinelos: se não estivesse tão cansado, poderia odiá-la.” (“A mão no ombro”).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Q27_AC_ITA_2022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“Acho que você nunca amou ninguém a não ser você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mesmo, 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disse apertando as palmas das mãos contra os olhos. Amei você — quis dizer e não tive forças.” (“A sauna”).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Q27_AD_ITA_2022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“Fiz minha cara inocente: na véspera, ele 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advertira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eu podia ser uma moça de mãos feias, ‘Ainda não pensou nisso?’. Nunca tinha pensado antes, nunca me importei com as mãos, mas no instante em que ele fez a pergunta comecei a me importar.” (“Herbarium”).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Q27_AE_ITA_2022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“E achei que seria a oportunidade de me livrar dele, a troca era vantajosa, mas calculei mal, logo nos primeiros encontros descobri que a traição faz apodrecer o amor. Na rua, no restaurante, no cinema, na cama e em toda parte, Eduarda, você esteve presente.” (“Noturno amarelo”)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Q28_AA_ITA_2022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A visita de Laura, protagonista do conto, à antiga casa de sua família, aconteceu realmente, mas isso não a afeta em 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Q28_AB_ITA_2022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A visita de Laura à antiga casa de sua família só aconteceu na sua imaginação, o que revela a futilidade da personagem.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Q28_AC_ITA_2022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Por nunca ter nutrido sentimentos de amor por sua família, Laura decide voltar no meio do caminho e cancelar a visita.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Q28_AD_ITA_2022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Mais importante do que saber se a visita de Laura à antiga casa de sua família aconteceu realmente ou não é entender que as suas memórias a levam a passar a sua vida a limpo.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Q28_AE_ITA_2022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Mais importante do que saber se a visita de Laura à antiga casa de sua família aconteceu realmente ou não é entender que nenhuma lembrança é capaz de alterar a sua falsidade e dissimulação em relação ao passado.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md5ce91SJ72XstYx1iWotb/PDA==">AMUW2mWKNBDu9Y8xeskHn16PEA7EhurXlAtYdpth816m+qXauQGyJyHKdNQyQTNMHYaQXKjH8U/N9k1U8fGjlc7vbO1cdFQZ9QGQJHmv26yGtQ+HAIWgyKs=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2022-09-12T00:31:00Z</dcterms:created>
  <dc:creator>Paulo Henrique Nascimento Tavares</dc:creator>
</cp:coreProperties>
</file>