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AXRIK Project Kickoff Protocol</w:t>
      </w:r>
    </w:p>
    <w:p>
      <w:pPr>
        <w:spacing w:after="60"/>
      </w:pPr>
      <w:r>
        <w:rPr>
          <w:color w:val="555555"/>
          <w:sz w:val="24"/>
          <w:szCs w:val="24"/>
        </w:rPr>
        <w:t xml:space="preserve">The standing operating procedure for starting and building a new bespoke web-app project</w:t>
      </w:r>
    </w:p>
    <w:p>
      <w:pPr>
        <w:pBdr>
          <w:bottom w:val="single" w:color="007B5F" w:sz="6" w:space="1"/>
        </w:pBdr>
        <w:spacing w:after="120" w:before="60"/>
      </w:pPr>
      <w:r>
        <w:t xml:space="preserve"/>
      </w:r>
    </w:p>
    <w:p>
      <w:pPr>
        <w:spacing w:after="160" w:line="276"/>
      </w:pPr>
      <w:r>
        <w:t xml:space="preserve">Attach this document at the start of any new AXRIK project. It tells Claude exactly how to set the project up and which protocols to run, so every build reuses the same proven spine and nothing is re-explained from scratch.</w:t>
      </w:r>
    </w:p>
    <w:p>
      <w:pPr>
        <w:pStyle w:val="Heading1"/>
      </w:pPr>
      <w:r>
        <w:t xml:space="preserve">How to use this document</w:t>
      </w:r>
    </w:p>
    <w:p>
      <w:pPr>
        <w:spacing w:after="160" w:line="276"/>
      </w:pPr>
      <w:r>
        <w:t xml:space="preserve">When kicking off a new client, attach this file and describe the client in a couple of sentences (who they are, what they do, what the website and admin app need to do). Then instruct Claude with something like:</w:t>
      </w:r>
    </w:p>
    <w:p>
      <w:pPr>
        <w:spacing w:after="160" w:line="276"/>
      </w:pPr>
      <w:r>
        <w:rPr>
          <w:i/>
          <w:iCs/>
          <w:color w:val="007B5F"/>
        </w:rPr>
        <w:t xml:space="preserve">“See the attached AXRIK Project Kickoff Protocol. Use this playbook to set the project up and initiate all protocols inside it.”</w:t>
      </w:r>
    </w:p>
    <w:p>
      <w:pPr>
        <w:spacing w:after="160" w:line="276"/>
      </w:pPr>
      <w:r>
        <w:t xml:space="preserve">Claude should then follow the build workflow below in order, apply the dev-environment, security and asset rules throughout, and treat the standing protocols in section 7 as always in force.</w:t>
      </w:r>
    </w:p>
    <w:p>
      <w:pPr>
        <w:pStyle w:val="Heading1"/>
      </w:pPr>
      <w:r>
        <w:t xml:space="preserve">1. Build workflow</w:t>
      </w:r>
    </w:p>
    <w:p>
      <w:pPr>
        <w:pStyle w:val="Heading2"/>
      </w:pPr>
      <w:r>
        <w:t xml:space="preserve">Golden rule: discovery before code, schema before screens</w:t>
      </w:r>
    </w:p>
    <w:p>
      <w:pPr>
        <w:spacing w:after="160" w:line="276"/>
      </w:pPr>
      <w:r>
        <w:t xml:space="preserve">The public website and the admin app are </w:t>
      </w:r>
      <w:r>
        <w:rPr>
          <w:b/>
          <w:bCs/>
        </w:rPr>
        <w:t xml:space="preserve">one system sharing one database</w:t>
      </w:r>
      <w:r>
        <w:t xml:space="preserve">. Model the data from the client’s real artefacts — their spreadsheets, order messages, invoice format, delivery days — not from assumptions. Getting the data model and security right </w:t>
      </w:r>
      <w:r>
        <w:rPr>
          <w:i/>
          <w:iCs/>
        </w:rPr>
        <w:t xml:space="preserve">once</w:t>
      </w:r>
      <w:r>
        <w:t xml:space="preserve">, before any screens exist, is where the biggest time savings come from.</w:t>
      </w:r>
    </w:p>
    <w:p>
      <w:pPr>
        <w:pStyle w:val="Heading2"/>
      </w:pPr>
      <w:r>
        <w:t xml:space="preserve">Phase order (do not reorder)</w:t>
      </w:r>
    </w:p>
    <w:p>
      <w:pPr>
        <w:pStyle w:val="ListParagraph"/>
        <w:numPr>
          <w:ilvl w:val="0"/>
          <w:numId w:val="2"/>
        </w:numPr>
        <w:spacing w:after="80" w:line="276"/>
      </w:pPr>
      <w:r>
        <w:rPr>
          <w:b/>
          <w:bCs/>
        </w:rPr>
        <w:t xml:space="preserve">Discovery.</w:t>
      </w:r>
      <w:r>
        <w:t xml:space="preserve"> Gather the client’s real artefacts and answer: how do orders/enquiries arrive, what are the key dates/rules, who else needs a login, do they invoice, is there tiered pricing.</w:t>
      </w:r>
    </w:p>
    <w:p>
      <w:pPr>
        <w:pStyle w:val="ListParagraph"/>
        <w:numPr>
          <w:ilvl w:val="0"/>
          <w:numId w:val="2"/>
        </w:numPr>
        <w:spacing w:after="80" w:line="276"/>
      </w:pPr>
      <w:r>
        <w:rPr>
          <w:b/>
          <w:bCs/>
        </w:rPr>
        <w:t xml:space="preserve">Schema + RLS + Auth — all at once, day one.</w:t>
      </w:r>
      <w:r>
        <w:t xml:space="preserve"> Start from the starter-kit migrations. Write role-based RLS immediately. Never “add security later.”</w:t>
      </w:r>
    </w:p>
    <w:p>
      <w:pPr>
        <w:pStyle w:val="ListParagraph"/>
        <w:numPr>
          <w:ilvl w:val="0"/>
          <w:numId w:val="2"/>
        </w:numPr>
        <w:spacing w:after="80" w:line="276"/>
      </w:pPr>
      <w:r>
        <w:rPr>
          <w:b/>
          <w:bCs/>
        </w:rPr>
        <w:t xml:space="preserve">Customer-facing website.</w:t>
      </w:r>
      <w:r>
        <w:t xml:space="preserve"> The visible win — public pages plus any online ordering/enquiry/booking flow.</w:t>
      </w:r>
    </w:p>
    <w:p>
      <w:pPr>
        <w:pStyle w:val="ListParagraph"/>
        <w:numPr>
          <w:ilvl w:val="0"/>
          <w:numId w:val="2"/>
        </w:numPr>
        <w:spacing w:after="80" w:line="276"/>
      </w:pPr>
      <w:r>
        <w:rPr>
          <w:b/>
          <w:bCs/>
        </w:rPr>
        <w:t xml:space="preserve">Admin app screens.</w:t>
      </w:r>
      <w:r>
        <w:t xml:space="preserve"> Built on the single-file showPage() shell: dashboard, the core records, finance, etc.</w:t>
      </w:r>
    </w:p>
    <w:p>
      <w:pPr>
        <w:pStyle w:val="ListParagraph"/>
        <w:numPr>
          <w:ilvl w:val="0"/>
          <w:numId w:val="2"/>
        </w:numPr>
        <w:spacing w:after="80" w:line="276"/>
      </w:pPr>
      <w:r>
        <w:rPr>
          <w:b/>
          <w:bCs/>
        </w:rPr>
        <w:t xml:space="preserve">AI features.</w:t>
      </w:r>
      <w:r>
        <w:t xml:space="preserve"> Layered on last, each with a non-AI fallback.</w:t>
      </w:r>
    </w:p>
    <w:p>
      <w:pPr>
        <w:pStyle w:val="ListParagraph"/>
        <w:numPr>
          <w:ilvl w:val="0"/>
          <w:numId w:val="2"/>
        </w:numPr>
        <w:spacing w:after="80" w:line="276"/>
      </w:pPr>
      <w:r>
        <w:rPr>
          <w:b/>
          <w:bCs/>
        </w:rPr>
        <w:t xml:space="preserve">Go-live + handover.</w:t>
      </w:r>
      <w:r>
        <w:t xml:space="preserve"> Testing worksheet, build summary, go-live checklist, and the data-protection setup in section 7.</w:t>
      </w:r>
    </w:p>
    <w:p>
      <w:pPr>
        <w:pStyle w:val="Heading1"/>
      </w:pPr>
      <w:r>
        <w:t xml:space="preserve">2. Dev environment and tooling</w:t>
      </w:r>
    </w:p>
    <w:p>
      <w:pPr>
        <w:spacing w:after="160" w:line="276"/>
      </w:pPr>
      <w:r>
        <w:t xml:space="preserve">Wire Claude Code into the live stack so it reads reality instead of guessing:</w:t>
      </w:r>
    </w:p>
    <w:p>
      <w:pPr>
        <w:pBdr>
          <w:left w:val="single" w:color="007B5F" w:sz="18" w:space="8"/>
        </w:pBdr>
        <w:shd w:fill="F2F2F2" w:color="auto" w:val="clear"/>
        <w:spacing w:after="120" w:before="40"/>
      </w:pPr>
      <w:r>
        <w:rPr>
          <w:rFonts w:ascii="Courier New" w:cs="Courier New" w:eastAsia="Courier New" w:hAnsi="Courier New"/>
          <w:sz w:val="18"/>
          <w:szCs w:val="18"/>
        </w:rPr>
        <w:t xml:space="preserve">claude mcp add supabase -- npx -y @supabase/mcp-server-supabase@latest --read-only --project-ref &lt;ref&gt;</w:t>
      </w:r>
    </w:p>
    <w:p>
      <w:pPr>
        <w:pBdr>
          <w:left w:val="single" w:color="007B5F" w:sz="18" w:space="8"/>
        </w:pBdr>
        <w:shd w:fill="F2F2F2" w:color="auto" w:val="clear"/>
        <w:spacing w:after="120" w:before="40"/>
      </w:pPr>
      <w:r>
        <w:rPr>
          <w:rFonts w:ascii="Courier New" w:cs="Courier New" w:eastAsia="Courier New" w:hAnsi="Courier New"/>
          <w:sz w:val="18"/>
          <w:szCs w:val="18"/>
        </w:rPr>
        <w:t xml:space="preserve">claude mcp add netlify  -- npx -y @netlify/mcp</w:t>
      </w:r>
    </w:p>
    <w:p>
      <w:pPr>
        <w:pStyle w:val="ListParagraph"/>
        <w:numPr>
          <w:ilvl w:val="0"/>
          <w:numId w:val="3"/>
        </w:numPr>
        <w:spacing w:after="80" w:line="276"/>
      </w:pPr>
      <w:r>
        <w:t xml:space="preserve">Always use </w:t>
      </w:r>
      <w:r>
        <w:rPr>
          <w:rFonts w:ascii="Courier New" w:cs="Courier New" w:eastAsia="Courier New" w:hAnsi="Courier New"/>
          <w:sz w:val="18"/>
          <w:szCs w:val="18"/>
        </w:rPr>
        <w:t xml:space="preserve">--read-only</w:t>
      </w:r>
      <w:r>
        <w:t xml:space="preserve"> on the Supabase server, and point </w:t>
      </w:r>
      <w:r>
        <w:rPr>
          <w:rFonts w:ascii="Courier New" w:cs="Courier New" w:eastAsia="Courier New" w:hAnsi="Courier New"/>
          <w:sz w:val="18"/>
          <w:szCs w:val="18"/>
        </w:rPr>
        <w:t xml:space="preserve">--project-ref</w:t>
      </w:r>
      <w:r>
        <w:t xml:space="preserve"> at a local Docker or staging instance — never AI structural writes against live production.</w:t>
      </w:r>
    </w:p>
    <w:p>
      <w:pPr>
        <w:pStyle w:val="ListParagraph"/>
        <w:numPr>
          <w:ilvl w:val="0"/>
          <w:numId w:val="3"/>
        </w:numPr>
        <w:spacing w:after="80" w:line="276"/>
      </w:pPr>
      <w:r>
        <w:t xml:space="preserve">Install the fast indexing CLIs: </w:t>
      </w:r>
      <w:r>
        <w:rPr>
          <w:b/>
          <w:bCs/>
        </w:rPr>
        <w:t xml:space="preserve">ripgrep (rg)</w:t>
      </w:r>
      <w:r>
        <w:t xml:space="preserve"> for code search, </w:t>
      </w:r>
      <w:r>
        <w:rPr>
          <w:b/>
          <w:bCs/>
        </w:rPr>
        <w:t xml:space="preserve">fd</w:t>
      </w:r>
      <w:r>
        <w:t xml:space="preserve"> for directory mapping, </w:t>
      </w:r>
      <w:r>
        <w:rPr>
          <w:b/>
          <w:bCs/>
        </w:rPr>
        <w:t xml:space="preserve">tokei</w:t>
      </w:r>
      <w:r>
        <w:t xml:space="preserve"> for codebase metrics and finding oversized/legacy files.</w:t>
      </w:r>
    </w:p>
    <w:p>
      <w:pPr>
        <w:pStyle w:val="Heading1"/>
      </w:pPr>
      <w:r>
        <w:t xml:space="preserve">3. Architect → Executor flow</w:t>
      </w:r>
    </w:p>
    <w:p>
      <w:pPr>
        <w:spacing w:after="160" w:line="276"/>
      </w:pPr>
      <w:r>
        <w:t xml:space="preserve">For any non-trivial feature, split the work in two to avoid token drift and hallucinated edits:</w:t>
      </w:r>
    </w:p>
    <w:p>
      <w:pPr>
        <w:pStyle w:val="ListParagraph"/>
        <w:numPr>
          <w:ilvl w:val="0"/>
          <w:numId w:val="4"/>
        </w:numPr>
        <w:spacing w:after="80" w:line="276"/>
      </w:pPr>
      <w:r>
        <w:rPr>
          <w:b/>
          <w:bCs/>
        </w:rPr>
        <w:t xml:space="preserve">Architect phase.</w:t>
      </w:r>
      <w:r>
        <w:t xml:space="preserve"> Claude writes an isolated markdown spec (e.g. /specs/auth-v2.md) defining the file tree, imports, database updates and dependencies before touching code. Audit it.</w:t>
      </w:r>
    </w:p>
    <w:p>
      <w:pPr>
        <w:pStyle w:val="ListParagraph"/>
        <w:numPr>
          <w:ilvl w:val="0"/>
          <w:numId w:val="4"/>
        </w:numPr>
        <w:spacing w:after="80" w:line="276"/>
      </w:pPr>
      <w:r>
        <w:rPr>
          <w:b/>
          <w:bCs/>
        </w:rPr>
        <w:t xml:space="preserve">Executor phase.</w:t>
      </w:r>
      <w:r>
        <w:t xml:space="preserve"> Only after sign-off: “Implement Phase 1 of the specification exactly as detailed inside /specs/auth-v2.md.” Lock onto the exact files named in the spec.</w:t>
      </w:r>
    </w:p>
    <w:p>
      <w:pPr>
        <w:pStyle w:val="Heading1"/>
      </w:pPr>
      <w:r>
        <w:t xml:space="preserve">4. Reusable blueprints</w:t>
      </w:r>
    </w:p>
    <w:p>
      <w:pPr>
        <w:spacing w:after="160" w:line="276"/>
      </w:pPr>
      <w:r>
        <w:t xml:space="preserve">Keep a local </w:t>
      </w:r>
      <w:r>
        <w:rPr>
          <w:rFonts w:ascii="Courier New" w:cs="Courier New" w:eastAsia="Courier New" w:hAnsi="Courier New"/>
          <w:sz w:val="18"/>
          <w:szCs w:val="18"/>
        </w:rPr>
        <w:t xml:space="preserve">.axrik-patterns/</w:t>
      </w:r>
      <w:r>
        <w:t xml:space="preserve"> directory of master pattern files the build references, so isolation and auth stay identical across clients — e.g. </w:t>
      </w:r>
      <w:r>
        <w:rPr>
          <w:rFonts w:ascii="Courier New" w:cs="Courier New" w:eastAsia="Courier New" w:hAnsi="Courier New"/>
          <w:sz w:val="18"/>
          <w:szCs w:val="18"/>
        </w:rPr>
        <w:t xml:space="preserve">multi-tenancy.md</w:t>
      </w:r>
      <w:r>
        <w:t xml:space="preserve"> (how tables isolate each customer’s data) and </w:t>
      </w:r>
      <w:r>
        <w:rPr>
          <w:rFonts w:ascii="Courier New" w:cs="Courier New" w:eastAsia="Courier New" w:hAnsi="Courier New"/>
          <w:sz w:val="18"/>
          <w:szCs w:val="18"/>
        </w:rPr>
        <w:t xml:space="preserve">auth-state.md</w:t>
      </w:r>
      <w:r>
        <w:t xml:space="preserve"> (how Supabase auth context is initialised and passed into components). Point Claude at the relevant file when building a new feature.</w:t>
      </w:r>
    </w:p>
    <w:p>
      <w:pPr>
        <w:pStyle w:val="Heading1"/>
      </w:pPr>
      <w:r>
        <w:t xml:space="preserve">5. Database and security rules</w:t>
      </w:r>
    </w:p>
    <w:p>
      <w:pPr>
        <w:pStyle w:val="Heading2"/>
      </w:pPr>
      <w:r>
        <w:t xml:space="preserve">RLS mandate</w:t>
      </w:r>
    </w:p>
    <w:p>
      <w:pPr>
        <w:spacing w:after="160" w:line="276"/>
      </w:pPr>
      <w:r>
        <w:t xml:space="preserve">Never create a table or migration without enabling RLS and adding at least one policy in the </w:t>
      </w:r>
      <w:r>
        <w:rPr>
          <w:i/>
          <w:iCs/>
        </w:rPr>
        <w:t xml:space="preserve">same</w:t>
      </w:r>
      <w:r>
        <w:t xml:space="preserve"> migration. A migration that creates a table but leaves RLS off is incomplete.</w:t>
      </w:r>
    </w:p>
    <w:p>
      <w:pPr>
        <w:pBdr>
          <w:left w:val="single" w:color="007B5F" w:sz="18" w:space="8"/>
        </w:pBdr>
        <w:shd w:fill="F2F2F2" w:color="auto" w:val="clear"/>
        <w:spacing w:after="120" w:before="40"/>
      </w:pPr>
      <w:r>
        <w:rPr>
          <w:rFonts w:ascii="Courier New" w:cs="Courier New" w:eastAsia="Courier New" w:hAnsi="Courier New"/>
          <w:sz w:val="18"/>
          <w:szCs w:val="18"/>
        </w:rPr>
        <w:t xml:space="preserve">ALTER TABLE public.client_data ENABLE ROW LEVEL SECURITY;
CREATE POLICY "Tenant Isolation" ON public.client_data
  FOR ALL TO authenticated
  USING (auth.uid() = user_id);</w:t>
      </w:r>
    </w:p>
    <w:p>
      <w:pPr>
        <w:pStyle w:val="Heading2"/>
      </w:pPr>
      <w:r>
        <w:t xml:space="preserve">Serverless distribution</w:t>
      </w:r>
    </w:p>
    <w:p>
      <w:pPr>
        <w:pStyle w:val="ListParagraph"/>
        <w:numPr>
          <w:ilvl w:val="0"/>
          <w:numId w:val="3"/>
        </w:numPr>
        <w:spacing w:after="80" w:line="276"/>
      </w:pPr>
      <w:r>
        <w:rPr>
          <w:b/>
          <w:bCs/>
        </w:rPr>
        <w:t xml:space="preserve">Netlify Edge Functions — </w:t>
      </w:r>
      <w:r>
        <w:t xml:space="preserve">geo-routing, incoming webhooks, auth-cookie injection, streaming. Anything close to the request/CDN edge.</w:t>
      </w:r>
    </w:p>
    <w:p>
      <w:pPr>
        <w:pStyle w:val="ListParagraph"/>
        <w:numPr>
          <w:ilvl w:val="0"/>
          <w:numId w:val="3"/>
        </w:numPr>
        <w:spacing w:after="80" w:line="276"/>
      </w:pPr>
      <w:r>
        <w:rPr>
          <w:b/>
          <w:bCs/>
        </w:rPr>
        <w:t xml:space="preserve">Supabase Edge Functions — </w:t>
      </w:r>
      <w:r>
        <w:t xml:space="preserve">heavy relational/bulk work, jobs needing the service-role key, isolated Node/Deno dependencies. Anything close to the data.</w:t>
      </w:r>
    </w:p>
    <w:p>
      <w:pPr>
        <w:pStyle w:val="Heading1"/>
      </w:pPr>
      <w:r>
        <w:t xml:space="preserve">6. Image and asset engineering</w:t>
      </w:r>
    </w:p>
    <w:p>
      <w:pPr>
        <w:spacing w:after="160" w:line="276"/>
      </w:pPr>
      <w:r>
        <w:t xml:space="preserve">Claude Code has no native image generation, so produce assets programmatically. Pick the route by need:</w:t>
      </w:r>
    </w:p>
    <w:p>
      <w:pPr>
        <w:pStyle w:val="ListParagraph"/>
        <w:numPr>
          <w:ilvl w:val="0"/>
          <w:numId w:val="4"/>
        </w:numPr>
        <w:spacing w:after="80" w:line="276"/>
      </w:pPr>
      <w:r>
        <w:rPr>
          <w:b/>
          <w:bCs/>
        </w:rPr>
        <w:t xml:space="preserve">Generative AI APIs</w:t>
      </w:r>
      <w:r>
        <w:t xml:space="preserve"> — custom imagery. Fal.ai (recommended: fast/cheap, Flux.1/SD3), Replicate (open-model registry, ControlNet/fine-tunes), OpenAI DALL-E 3 (corporate illustration). Key in .env → a scripts/generate-image.js runner that takes a prompt, fetches the URL and downloads locally.</w:t>
      </w:r>
    </w:p>
    <w:p>
      <w:pPr>
        <w:pStyle w:val="ListParagraph"/>
        <w:numPr>
          <w:ilvl w:val="0"/>
          <w:numId w:val="4"/>
        </w:numPr>
        <w:spacing w:after="80" w:line="276"/>
      </w:pPr>
      <w:r>
        <w:rPr>
          <w:b/>
          <w:bCs/>
        </w:rPr>
        <w:t xml:space="preserve">Code-rendered web graphics</w:t>
      </w:r>
      <w:r>
        <w:t xml:space="preserve"> — when the image is a UI element (OG/social cards, stats graphics). Vercel Satori (JSX/HTML + Tailwind → SVG → PNG); Puppeteer/Playwright headless screenshots for pixel-perfect mockups.</w:t>
      </w:r>
    </w:p>
    <w:p>
      <w:pPr>
        <w:pStyle w:val="ListParagraph"/>
        <w:numPr>
          <w:ilvl w:val="0"/>
          <w:numId w:val="4"/>
        </w:numPr>
        <w:spacing w:after="80" w:line="276"/>
      </w:pPr>
      <w:r>
        <w:rPr>
          <w:b/>
          <w:bCs/>
        </w:rPr>
        <w:t xml:space="preserve">Automated stock photos</w:t>
      </w:r>
      <w:r>
        <w:t xml:space="preserve"> — a scripts/fetch-placeholder.js pulling Unsplash/Pexels so prototypes look real. Use the Unsplash Source/API endpoint so it matches the keyword (a single hardcoded photo ID returns the same image every time).</w:t>
      </w:r>
    </w:p>
    <w:p>
      <w:pPr>
        <w:pStyle w:val="ListParagraph"/>
        <w:numPr>
          <w:ilvl w:val="0"/>
          <w:numId w:val="4"/>
        </w:numPr>
        <w:spacing w:after="80" w:line="276"/>
      </w:pPr>
      <w:r>
        <w:rPr>
          <w:b/>
          <w:bCs/>
        </w:rPr>
        <w:t xml:space="preserve">Raw programmatic SVG</w:t>
      </w:r>
      <w:r>
        <w:t xml:space="preserve"> — the default for icons, charts and dashboard states. Zero dependencies, zero API cost, tiny bundles, CSS/Tailwind-animatable. Generate as reusable components.</w:t>
      </w:r>
    </w:p>
    <w:p>
      <w:pPr>
        <w:pStyle w:val="Heading1"/>
      </w:pPr>
      <w:r>
        <w:t xml:space="preserve">7. Standing protocols (always in force)</w:t>
      </w:r>
    </w:p>
    <w:p>
      <w:pPr>
        <w:pStyle w:val="ListParagraph"/>
        <w:numPr>
          <w:ilvl w:val="0"/>
          <w:numId w:val="3"/>
        </w:numPr>
        <w:spacing w:after="80" w:line="276"/>
      </w:pPr>
      <w:r>
        <w:rPr>
          <w:b/>
          <w:bCs/>
        </w:rPr>
        <w:t xml:space="preserve">Backups &amp; git. </w:t>
      </w:r>
      <w:r>
        <w:t xml:space="preserve">One private repo per client under the AXRIK-dev account, cloned via the git@github-axrik: SSH alias, auto-deployed by Netlify. Back up with git add -A → git commit -m “...” → git push.</w:t>
      </w:r>
    </w:p>
    <w:p>
      <w:pPr>
        <w:pStyle w:val="ListParagraph"/>
        <w:numPr>
          <w:ilvl w:val="0"/>
          <w:numId w:val="3"/>
        </w:numPr>
        <w:spacing w:after="80" w:line="276"/>
      </w:pPr>
      <w:r>
        <w:rPr>
          <w:b/>
          <w:bCs/>
        </w:rPr>
        <w:t xml:space="preserve">Secrets. </w:t>
      </w:r>
      <w:r>
        <w:t xml:space="preserve">Never commit secrets; keep them in a gitignored portal-config.js (committed template: portal-config.example.js).</w:t>
      </w:r>
    </w:p>
    <w:p>
      <w:pPr>
        <w:pStyle w:val="ListParagraph"/>
        <w:numPr>
          <w:ilvl w:val="0"/>
          <w:numId w:val="3"/>
        </w:numPr>
        <w:spacing w:after="80" w:line="276"/>
      </w:pPr>
      <w:r>
        <w:rPr>
          <w:b/>
          <w:bCs/>
        </w:rPr>
        <w:t xml:space="preserve">Data protection. </w:t>
      </w:r>
      <w:r>
        <w:t xml:space="preserve">Code and data are separate — redeploy never loses data. Set up Supabase PITR plus a daily off-platform export at go-live.</w:t>
      </w:r>
    </w:p>
    <w:p>
      <w:pPr>
        <w:pStyle w:val="ListParagraph"/>
        <w:numPr>
          <w:ilvl w:val="0"/>
          <w:numId w:val="3"/>
        </w:numPr>
        <w:spacing w:after="80" w:line="276"/>
      </w:pPr>
      <w:r>
        <w:rPr>
          <w:b/>
          <w:bCs/>
        </w:rPr>
        <w:t xml:space="preserve">Security. </w:t>
      </w:r>
      <w:r>
        <w:t xml:space="preserve">Role-based RLS from day one. Never “add security later.”</w:t>
      </w:r>
    </w:p>
    <w:p>
      <w:pPr>
        <w:pStyle w:val="ListParagraph"/>
        <w:numPr>
          <w:ilvl w:val="0"/>
          <w:numId w:val="3"/>
        </w:numPr>
        <w:spacing w:after="80" w:line="276"/>
      </w:pPr>
      <w:r>
        <w:rPr>
          <w:b/>
          <w:bCs/>
        </w:rPr>
        <w:t xml:space="preserve">Client documents. </w:t>
      </w:r>
      <w:r>
        <w:t xml:space="preserve">Deliver as .docx; brand black/white with green accent #007B5F; never state build time or effort to clients — outcomes only.</w:t>
      </w:r>
    </w:p>
    <w:p>
      <w:pPr>
        <w:pStyle w:val="ListParagraph"/>
        <w:numPr>
          <w:ilvl w:val="0"/>
          <w:numId w:val="3"/>
        </w:numPr>
        <w:spacing w:after="80" w:line="276"/>
      </w:pPr>
      <w:r>
        <w:rPr>
          <w:b/>
          <w:bCs/>
        </w:rPr>
        <w:t xml:space="preserve">Portal. </w:t>
      </w:r>
      <w:r>
        <w:t xml:space="preserve">Post build summaries to the client portal via portal-update.js.</w:t>
      </w:r>
    </w:p>
    <w:p>
      <w:pPr>
        <w:pStyle w:val="ListParagraph"/>
        <w:numPr>
          <w:ilvl w:val="0"/>
          <w:numId w:val="3"/>
        </w:numPr>
        <w:spacing w:after="80" w:line="276"/>
      </w:pPr>
      <w:r>
        <w:rPr>
          <w:b/>
          <w:bCs/>
        </w:rPr>
        <w:t xml:space="preserve">Supporting skills. </w:t>
      </w:r>
      <w:r>
        <w:t xml:space="preserve">Use supabase-patterns (DB/RLS), axrik-ai-features (AI, with non-AI fallback) and axrik-deliverables (client docs) alongside this protocol.</w:t>
      </w:r>
    </w:p>
    <w:p>
      <w:pPr>
        <w:pStyle w:val="Heading1"/>
      </w:pPr>
      <w:r>
        <w:t xml:space="preserve">8. Per-client customisation checklist</w:t>
      </w:r>
    </w:p>
    <w:p>
      <w:pPr>
        <w:pStyle w:val="ListParagraph"/>
        <w:numPr>
          <w:ilvl w:val="0"/>
          <w:numId w:val="3"/>
        </w:numPr>
        <w:spacing w:after="80" w:line="276"/>
      </w:pPr>
      <w:r>
        <w:t xml:space="preserve">Core records and their fields, modelled from the client’s real artefacts</w:t>
      </w:r>
    </w:p>
    <w:p>
      <w:pPr>
        <w:pStyle w:val="ListParagraph"/>
        <w:numPr>
          <w:ilvl w:val="0"/>
          <w:numId w:val="3"/>
        </w:numPr>
        <w:spacing w:after="80" w:line="276"/>
      </w:pPr>
      <w:r>
        <w:t xml:space="preserve">Key dates/rules (delivery, collection, event, booking cut-offs) and where they live in app_settings</w:t>
      </w:r>
    </w:p>
    <w:p>
      <w:pPr>
        <w:pStyle w:val="ListParagraph"/>
        <w:numPr>
          <w:ilvl w:val="0"/>
          <w:numId w:val="3"/>
        </w:numPr>
        <w:spacing w:after="80" w:line="276"/>
      </w:pPr>
      <w:r>
        <w:t xml:space="preserve">Channels the client actually uses (web form, phone, email, in person)</w:t>
      </w:r>
    </w:p>
    <w:p>
      <w:pPr>
        <w:pStyle w:val="ListParagraph"/>
        <w:numPr>
          <w:ilvl w:val="0"/>
          <w:numId w:val="3"/>
        </w:numPr>
        <w:spacing w:after="80" w:line="276"/>
      </w:pPr>
      <w:r>
        <w:t xml:space="preserve">Pricing model (flat, tiered/trade, per-event quote) and whether they invoice / handle VAT</w:t>
      </w:r>
    </w:p>
    <w:p>
      <w:pPr>
        <w:pStyle w:val="ListParagraph"/>
        <w:numPr>
          <w:ilvl w:val="0"/>
          <w:numId w:val="3"/>
        </w:numPr>
        <w:spacing w:after="80" w:line="276"/>
      </w:pPr>
      <w:r>
        <w:t xml:space="preserve">Roles beyond admin/staff and the matching RLS policies</w:t>
      </w:r>
    </w:p>
    <w:p>
      <w:pPr>
        <w:pStyle w:val="ListParagraph"/>
        <w:numPr>
          <w:ilvl w:val="0"/>
          <w:numId w:val="3"/>
        </w:numPr>
        <w:spacing w:after="80" w:line="276"/>
      </w:pPr>
      <w:r>
        <w:t xml:space="preserve">Branding (colours, logo, domain) and copy across website, admin and any PDFs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07B5F"/>
        <w:sz w:val="18"/>
        <w:szCs w:val="18"/>
      </w:rPr>
      <w:t xml:space="preserve">AXRIK</w:t>
    </w:r>
    <w:r>
      <w:rPr>
        <w:color w:val="555555"/>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Arial" w:cs="Arial" w:eastAsia="Arial" w:hAnsi="Arial"/>
      <w:b/>
      <w:bCs/>
      <w:color w:val="111111"/>
      <w:sz w:val="52"/>
      <w:szCs w:val="52"/>
    </w:rPr>
  </w:style>
  <w:style w:type="paragraph" w:styleId="Heading1">
    <w:name w:val="Heading 1"/>
    <w:basedOn w:val="Normal"/>
    <w:next w:val="Normal"/>
    <w:qFormat/>
    <w:pPr>
      <w:spacing w:after="160" w:before="320"/>
      <w:outlineLvl w:val="0"/>
    </w:pPr>
    <w:rPr>
      <w:rFonts w:ascii="Arial" w:cs="Arial" w:eastAsia="Arial" w:hAnsi="Arial"/>
      <w:b/>
      <w:bCs/>
      <w:color w:val="007B5F"/>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2026-06-24T19:27:00.719Z</dcterms:created>
  <dcterms:modified xsi:type="dcterms:W3CDTF">2026-06-24T19:27:00.719Z</dcterms:modified>
</cp:coreProperties>
</file>

<file path=docProps/custom.xml><?xml version="1.0" encoding="utf-8"?>
<Properties xmlns="http://schemas.openxmlformats.org/officeDocument/2006/custom-properties" xmlns:vt="http://schemas.openxmlformats.org/officeDocument/2006/docPropsVTypes"/>
</file>