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9972"/>
      </w:tblGrid>
      <w:tr>
        <w:tc>
          <w:tcPr>
            <w:tcW w:type="dxa" w:w="9972"/>
            <w:shd w:val="clear" w:fill="111111"/>
            <w:tcMar>
              <w:top w:w="320" w:type="dxa"/>
              <w:bottom w:w="320" w:type="dxa"/>
              <w:start w:w="300" w:type="dxa"/>
              <w:end w:w="300" w:type="dxa"/>
            </w:tcMar>
          </w:tcPr>
          <w:p>
            <w:pPr>
              <w:spacing w:after="120"/>
            </w:pPr>
            <w:r>
              <w:rPr>
                <w:rFonts w:ascii="Calibri" w:hAnsi="Calibri"/>
                <w:b/>
                <w:i w:val="0"/>
                <w:color w:val="FFFFFF"/>
                <w:sz w:val="26"/>
              </w:rPr>
              <w:t>A X R I K</w:t>
            </w:r>
          </w:p>
          <w:p>
            <w:pPr>
              <w:spacing w:after="120"/>
            </w:pPr>
            <w:r>
              <w:rPr>
                <w:rFonts w:ascii="Calibri" w:hAnsi="Calibri"/>
                <w:b/>
                <w:i w:val="0"/>
                <w:color w:val="FFFFFF"/>
                <w:sz w:val="40"/>
              </w:rPr>
              <w:t>Client Exit &amp; Data Handover Standard</w:t>
            </w:r>
          </w:p>
          <w:p>
            <w:pPr>
              <w:spacing w:after="0"/>
            </w:pPr>
            <w:r>
              <w:rPr>
                <w:rFonts w:ascii="Calibri" w:hAnsi="Calibri"/>
                <w:b w:val="0"/>
                <w:i w:val="0"/>
                <w:color w:val="7FD4C0"/>
                <w:sz w:val="23"/>
              </w:rPr>
              <w:t>How a client walks away with their app, their data, and a running business</w:t>
            </w:r>
          </w:p>
        </w:tc>
      </w:tr>
    </w:tbl>
    <w:p>
      <w:r>
        <w:rPr>
          <w:rFonts w:ascii="Calibri" w:hAnsi="Calibri"/>
          <w:b w:val="0"/>
          <w:i/>
          <w:color w:val="555555"/>
          <w:sz w:val="20"/>
        </w:rPr>
        <w:t>Owner: Phil · Applies to: every AXRIK client build · Review: per new client and annually</w:t>
      </w:r>
    </w:p>
    <w:p>
      <w:pPr>
        <w:pStyle w:val="Heading1"/>
        <w:spacing w:before="360" w:after="160"/>
        <w:pBdr>
          <w:bottom w:val="single" w:sz="8" w:color="007B5F"/>
        </w:pBdr>
      </w:pPr>
      <w:r>
        <w:rPr>
          <w:rFonts w:ascii="Calibri" w:hAnsi="Calibri"/>
          <w:b/>
          <w:i w:val="0"/>
          <w:color w:val="111111"/>
          <w:sz w:val="30"/>
        </w:rPr>
        <w:t>Why this document exists</w:t>
      </w:r>
    </w:p>
    <w:p>
      <w:r>
        <w:rPr>
          <w:rFonts w:ascii="Calibri" w:hAnsi="Calibri"/>
          <w:b w:val="0"/>
          <w:i w:val="0"/>
          <w:color w:val="111111"/>
          <w:sz w:val="22"/>
        </w:rPr>
        <w:t xml:space="preserve">I tell every client — on the website, in the pitch, in person — that they can </w:t>
      </w:r>
      <w:r>
        <w:rPr>
          <w:rFonts w:ascii="Calibri" w:hAnsi="Calibri"/>
          <w:b/>
          <w:i w:val="0"/>
          <w:color w:val="111111"/>
          <w:sz w:val="22"/>
        </w:rPr>
        <w:t>walk away at any time and take everything with them</w:t>
      </w:r>
      <w:r>
        <w:rPr>
          <w:rFonts w:ascii="Calibri" w:hAnsi="Calibri"/>
          <w:b w:val="0"/>
          <w:i w:val="0"/>
          <w:color w:val="111111"/>
          <w:sz w:val="22"/>
        </w:rPr>
        <w:t>: the app, the data, the lot. A rented CRM leaves a departing customer with an export file. An AXRIK build leaves them with a running business. This document is how I make that promise true in practice, every time, without scrambling.</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72"/>
      </w:tblGrid>
      <w:tr>
        <w:tc>
          <w:tcPr>
            <w:tcW w:type="dxa" w:w="9972"/>
            <w:shd w:val="clear" w:fill="F2F7F5"/>
            <w:tcMar>
              <w:top w:w="160" w:type="dxa"/>
              <w:bottom w:w="160" w:type="dxa"/>
              <w:start w:w="220" w:type="dxa"/>
              <w:end w:w="220" w:type="dxa"/>
            </w:tcMar>
            <w:tcBorders>
              <w:top w:val="single" w:sz="4" w:color="CCCCCC"/>
              <w:bottom w:val="single" w:sz="4" w:color="CCCCCC"/>
              <w:start w:val="single" w:sz="24" w:color="007B5F"/>
              <w:end w:val="single" w:sz="4" w:color="CCCCCC"/>
            </w:tcBorders>
          </w:tcPr>
          <w:p>
            <w:pPr>
              <w:spacing w:after="0"/>
            </w:pPr>
            <w:r>
              <w:rPr>
                <w:rFonts w:ascii="Calibri" w:hAnsi="Calibri"/>
                <w:b/>
                <w:i w:val="0"/>
                <w:color w:val="111111"/>
                <w:sz w:val="22"/>
              </w:rPr>
              <w:t xml:space="preserve">The core fact: </w:t>
            </w:r>
            <w:r>
              <w:rPr>
                <w:rFonts w:ascii="Calibri" w:hAnsi="Calibri"/>
                <w:b w:val="0"/>
                <w:i w:val="0"/>
                <w:color w:val="111111"/>
                <w:sz w:val="22"/>
              </w:rPr>
              <w:t>an exit is not an export — it's a transfer of ownership. Because every client has their own Supabase project, their own private GitHub repo and their own Netlify site, nothing is shared with other clients and nothing is locked to AXRIK. The app never has to stop running.</w:t>
            </w:r>
          </w:p>
        </w:tc>
      </w:tr>
    </w:tbl>
    <w:p>
      <w:pPr>
        <w:spacing w:after="80"/>
      </w:pPr>
    </w:p>
    <w:p>
      <w:pPr>
        <w:pStyle w:val="Heading1"/>
        <w:spacing w:before="360" w:after="160"/>
        <w:pBdr>
          <w:bottom w:val="single" w:sz="8" w:color="007B5F"/>
        </w:pBdr>
      </w:pPr>
      <w:r>
        <w:rPr>
          <w:rFonts w:ascii="Calibri" w:hAnsi="Calibri"/>
          <w:b/>
          <w:i w:val="0"/>
          <w:color w:val="111111"/>
          <w:sz w:val="30"/>
        </w:rPr>
        <w:t>What the client already owns</w:t>
      </w:r>
    </w:p>
    <w:p>
      <w:r>
        <w:rPr>
          <w:rFonts w:ascii="Calibri" w:hAnsi="Calibri"/>
          <w:b w:val="0"/>
          <w:i w:val="0"/>
          <w:color w:val="111111"/>
          <w:sz w:val="22"/>
        </w:rPr>
        <w:t>Every build stands on three accounts, created per client from day one. This structure is what makes a clean exit possible — protect it on every new build.</w:t>
      </w:r>
    </w:p>
    <w:tbl>
      <w:tblPr>
        <w:tblStyle w:val="TableGrid"/>
        <w:tblW w:type="auto" w:w="0"/>
        <w:tblLayout w:type="fixed"/>
        <w:tblLook w:firstColumn="1" w:firstRow="1" w:lastColumn="0" w:lastRow="0" w:noHBand="0" w:noVBand="1" w:val="04A0"/>
      </w:tblPr>
      <w:tblGrid>
        <w:gridCol w:w="3324"/>
        <w:gridCol w:w="3324"/>
        <w:gridCol w:w="3324"/>
      </w:tblGrid>
      <w:tr>
        <w:tc>
          <w:tcPr>
            <w:tcW w:type="dxa" w:w="1814"/>
            <w:shd w:val="clear" w:fill="007B5F"/>
            <w:tcMar>
              <w:top w:w="120" w:type="dxa"/>
              <w:bottom w:w="120" w:type="dxa"/>
              <w:start w:w="180" w:type="dxa"/>
              <w:end w:w="180" w:type="dxa"/>
            </w:tcMar>
          </w:tcPr>
          <w:p>
            <w:pPr>
              <w:spacing w:after="0"/>
            </w:pPr>
            <w:r>
              <w:rPr>
                <w:rFonts w:ascii="Calibri" w:hAnsi="Calibri"/>
                <w:b/>
                <w:i w:val="0"/>
                <w:color w:val="FFFFFF"/>
                <w:sz w:val="22"/>
              </w:rPr>
              <w:t>Piece</w:t>
            </w:r>
          </w:p>
        </w:tc>
        <w:tc>
          <w:tcPr>
            <w:tcW w:type="dxa" w:w="3175"/>
            <w:shd w:val="clear" w:fill="007B5F"/>
            <w:tcMar>
              <w:top w:w="120" w:type="dxa"/>
              <w:bottom w:w="120" w:type="dxa"/>
              <w:start w:w="180" w:type="dxa"/>
              <w:end w:w="180" w:type="dxa"/>
            </w:tcMar>
          </w:tcPr>
          <w:p>
            <w:pPr>
              <w:spacing w:after="0"/>
            </w:pPr>
            <w:r>
              <w:rPr>
                <w:rFonts w:ascii="Calibri" w:hAnsi="Calibri"/>
                <w:b/>
                <w:i w:val="0"/>
                <w:color w:val="FFFFFF"/>
                <w:sz w:val="22"/>
              </w:rPr>
              <w:t>Where it lives</w:t>
            </w:r>
          </w:p>
        </w:tc>
        <w:tc>
          <w:tcPr>
            <w:tcW w:type="dxa" w:w="4649"/>
            <w:shd w:val="clear" w:fill="007B5F"/>
            <w:tcMar>
              <w:top w:w="120" w:type="dxa"/>
              <w:bottom w:w="120" w:type="dxa"/>
              <w:start w:w="180" w:type="dxa"/>
              <w:end w:w="180" w:type="dxa"/>
            </w:tcMar>
          </w:tcPr>
          <w:p>
            <w:pPr>
              <w:spacing w:after="0"/>
            </w:pPr>
            <w:r>
              <w:rPr>
                <w:rFonts w:ascii="Calibri" w:hAnsi="Calibri"/>
                <w:b/>
                <w:i w:val="0"/>
                <w:color w:val="FFFFFF"/>
                <w:sz w:val="22"/>
              </w:rPr>
              <w:t>What it contains</w:t>
            </w:r>
          </w:p>
        </w:tc>
      </w:tr>
      <w:tr>
        <w:tc>
          <w:tcPr>
            <w:tcW w:type="dxa" w:w="1814"/>
            <w:tcMar>
              <w:top w:w="120" w:type="dxa"/>
              <w:bottom w:w="120" w:type="dxa"/>
              <w:start w:w="180" w:type="dxa"/>
              <w:end w:w="180" w:type="dxa"/>
            </w:tcMar>
          </w:tcPr>
          <w:p>
            <w:pPr>
              <w:spacing w:after="0"/>
            </w:pPr>
            <w:r>
              <w:rPr>
                <w:rFonts w:ascii="Calibri" w:hAnsi="Calibri"/>
                <w:b/>
                <w:i w:val="0"/>
                <w:color w:val="111111"/>
                <w:sz w:val="22"/>
              </w:rPr>
              <w:t>The data</w:t>
            </w:r>
          </w:p>
        </w:tc>
        <w:tc>
          <w:tcPr>
            <w:tcW w:type="dxa" w:w="3175"/>
            <w:tcMar>
              <w:top w:w="120" w:type="dxa"/>
              <w:bottom w:w="120" w:type="dxa"/>
              <w:start w:w="180" w:type="dxa"/>
              <w:end w:w="180" w:type="dxa"/>
            </w:tcMar>
          </w:tcPr>
          <w:p>
            <w:pPr>
              <w:spacing w:after="0"/>
            </w:pPr>
            <w:r>
              <w:rPr>
                <w:rFonts w:ascii="Calibri" w:hAnsi="Calibri"/>
                <w:b w:val="0"/>
                <w:i w:val="0"/>
                <w:color w:val="111111"/>
                <w:sz w:val="22"/>
              </w:rPr>
              <w:t>Their own Supabase project (Postgres)</w:t>
            </w:r>
          </w:p>
        </w:tc>
        <w:tc>
          <w:tcPr>
            <w:tcW w:type="dxa" w:w="4649"/>
            <w:tcMar>
              <w:top w:w="120" w:type="dxa"/>
              <w:bottom w:w="120" w:type="dxa"/>
              <w:start w:w="180" w:type="dxa"/>
              <w:end w:w="180" w:type="dxa"/>
            </w:tcMar>
          </w:tcPr>
          <w:p>
            <w:pPr>
              <w:spacing w:after="0"/>
            </w:pPr>
            <w:r>
              <w:rPr>
                <w:rFonts w:ascii="Calibri" w:hAnsi="Calibri"/>
                <w:b w:val="0"/>
                <w:i w:val="0"/>
                <w:color w:val="111111"/>
                <w:sz w:val="22"/>
              </w:rPr>
              <w:t>Every customer, order, booking, message and file — the business's most valuable asset</w:t>
            </w:r>
          </w:p>
        </w:tc>
      </w:tr>
      <w:tr>
        <w:tc>
          <w:tcPr>
            <w:tcW w:type="dxa" w:w="1814"/>
            <w:tcMar>
              <w:top w:w="120" w:type="dxa"/>
              <w:bottom w:w="120" w:type="dxa"/>
              <w:start w:w="180" w:type="dxa"/>
              <w:end w:w="180" w:type="dxa"/>
            </w:tcMar>
          </w:tcPr>
          <w:p>
            <w:pPr>
              <w:spacing w:after="0"/>
            </w:pPr>
            <w:r>
              <w:rPr>
                <w:rFonts w:ascii="Calibri" w:hAnsi="Calibri"/>
                <w:b/>
                <w:i w:val="0"/>
                <w:color w:val="111111"/>
                <w:sz w:val="22"/>
              </w:rPr>
              <w:t>The app</w:t>
            </w:r>
          </w:p>
        </w:tc>
        <w:tc>
          <w:tcPr>
            <w:tcW w:type="dxa" w:w="3175"/>
            <w:tcMar>
              <w:top w:w="120" w:type="dxa"/>
              <w:bottom w:w="120" w:type="dxa"/>
              <w:start w:w="180" w:type="dxa"/>
              <w:end w:w="180" w:type="dxa"/>
            </w:tcMar>
          </w:tcPr>
          <w:p>
            <w:pPr>
              <w:spacing w:after="0"/>
            </w:pPr>
            <w:r>
              <w:rPr>
                <w:rFonts w:ascii="Calibri" w:hAnsi="Calibri"/>
                <w:b w:val="0"/>
                <w:i w:val="0"/>
                <w:color w:val="111111"/>
                <w:sz w:val="22"/>
              </w:rPr>
              <w:t>Private GitHub repo under AXRIK-dev</w:t>
            </w:r>
          </w:p>
        </w:tc>
        <w:tc>
          <w:tcPr>
            <w:tcW w:type="dxa" w:w="4649"/>
            <w:tcMar>
              <w:top w:w="120" w:type="dxa"/>
              <w:bottom w:w="120" w:type="dxa"/>
              <w:start w:w="180" w:type="dxa"/>
              <w:end w:w="180" w:type="dxa"/>
            </w:tcMar>
          </w:tcPr>
          <w:p>
            <w:pPr>
              <w:spacing w:after="0"/>
            </w:pPr>
            <w:r>
              <w:rPr>
                <w:rFonts w:ascii="Calibri" w:hAnsi="Calibri"/>
                <w:b w:val="0"/>
                <w:i w:val="0"/>
                <w:color w:val="111111"/>
                <w:sz w:val="22"/>
              </w:rPr>
              <w:t>All front-end and back-office code, plus Netlify functions</w:t>
            </w:r>
          </w:p>
        </w:tc>
      </w:tr>
      <w:tr>
        <w:tc>
          <w:tcPr>
            <w:tcW w:type="dxa" w:w="1814"/>
            <w:tcMar>
              <w:top w:w="120" w:type="dxa"/>
              <w:bottom w:w="120" w:type="dxa"/>
              <w:start w:w="180" w:type="dxa"/>
              <w:end w:w="180" w:type="dxa"/>
            </w:tcMar>
          </w:tcPr>
          <w:p>
            <w:pPr>
              <w:spacing w:after="0"/>
            </w:pPr>
            <w:r>
              <w:rPr>
                <w:rFonts w:ascii="Calibri" w:hAnsi="Calibri"/>
                <w:b/>
                <w:i w:val="0"/>
                <w:color w:val="111111"/>
                <w:sz w:val="22"/>
              </w:rPr>
              <w:t>The hosting</w:t>
            </w:r>
          </w:p>
        </w:tc>
        <w:tc>
          <w:tcPr>
            <w:tcW w:type="dxa" w:w="3175"/>
            <w:tcMar>
              <w:top w:w="120" w:type="dxa"/>
              <w:bottom w:w="120" w:type="dxa"/>
              <w:start w:w="180" w:type="dxa"/>
              <w:end w:w="180" w:type="dxa"/>
            </w:tcMar>
          </w:tcPr>
          <w:p>
            <w:pPr>
              <w:spacing w:after="0"/>
            </w:pPr>
            <w:r>
              <w:rPr>
                <w:rFonts w:ascii="Calibri" w:hAnsi="Calibri"/>
                <w:b w:val="0"/>
                <w:i w:val="0"/>
                <w:color w:val="111111"/>
                <w:sz w:val="22"/>
              </w:rPr>
              <w:t>Netlify site with auto-deploy</w:t>
            </w:r>
          </w:p>
        </w:tc>
        <w:tc>
          <w:tcPr>
            <w:tcW w:type="dxa" w:w="4649"/>
            <w:tcMar>
              <w:top w:w="120" w:type="dxa"/>
              <w:bottom w:w="120" w:type="dxa"/>
              <w:start w:w="180" w:type="dxa"/>
              <w:end w:w="180" w:type="dxa"/>
            </w:tcMar>
          </w:tcPr>
          <w:p>
            <w:pPr>
              <w:spacing w:after="0"/>
            </w:pPr>
            <w:r>
              <w:rPr>
                <w:rFonts w:ascii="Calibri" w:hAnsi="Calibri"/>
                <w:b w:val="0"/>
                <w:i w:val="0"/>
                <w:color w:val="111111"/>
                <w:sz w:val="22"/>
              </w:rPr>
              <w:t>The live site, environment variables and deploy pipeline</w:t>
            </w:r>
          </w:p>
        </w:tc>
      </w:tr>
    </w:tbl>
    <w:p>
      <w:pPr>
        <w:spacing w:after="80"/>
      </w:pPr>
    </w:p>
    <w:p>
      <w:r>
        <w:rPr>
          <w:rFonts w:ascii="Calibri" w:hAnsi="Calibri"/>
          <w:b w:val="0"/>
          <w:i w:val="0"/>
          <w:color w:val="111111"/>
          <w:sz w:val="22"/>
        </w:rPr>
        <w:t>It's all standard, open technology — Postgres, JavaScript, static hosting. Any developer the client hires later can pick it up. That's a deliberate choice, not an accident.</w:t>
      </w:r>
    </w:p>
    <w:p>
      <w:pPr>
        <w:pStyle w:val="Heading1"/>
        <w:spacing w:before="360" w:after="160"/>
        <w:pBdr>
          <w:bottom w:val="single" w:sz="8" w:color="007B5F"/>
        </w:pBdr>
      </w:pPr>
      <w:r>
        <w:rPr>
          <w:rFonts w:ascii="Calibri" w:hAnsi="Calibri"/>
          <w:b/>
          <w:i w:val="0"/>
          <w:color w:val="111111"/>
          <w:sz w:val="30"/>
        </w:rPr>
        <w:t>The two exit routes</w:t>
      </w:r>
    </w:p>
    <w:p>
      <w:pPr>
        <w:pStyle w:val="Heading2"/>
        <w:spacing w:before="240" w:after="100"/>
      </w:pPr>
      <w:r>
        <w:rPr>
          <w:rFonts w:ascii="Calibri" w:hAnsi="Calibri"/>
          <w:b/>
          <w:i w:val="0"/>
          <w:color w:val="007B5F"/>
          <w:sz w:val="24"/>
        </w:rPr>
        <w:t>Route A — full ownership transfer (the default)</w:t>
      </w:r>
    </w:p>
    <w:p>
      <w:r>
        <w:rPr>
          <w:rFonts w:ascii="Calibri" w:hAnsi="Calibri"/>
          <w:b w:val="0"/>
          <w:i w:val="0"/>
          <w:color w:val="111111"/>
          <w:sz w:val="22"/>
        </w:rPr>
        <w:t>The client keeps running the app exactly as it is; ownership of the three accounts simply moves to them. Nothing goes down, no data moves anywhere.</w:t>
      </w:r>
    </w:p>
    <w:p>
      <w:pPr>
        <w:pStyle w:val="ListNumber"/>
        <w:spacing w:after="100"/>
      </w:pPr>
      <w:r>
        <w:rPr>
          <w:rFonts w:ascii="Calibri" w:hAnsi="Calibri"/>
          <w:b/>
          <w:i w:val="0"/>
          <w:color w:val="111111"/>
          <w:sz w:val="22"/>
        </w:rPr>
        <w:t xml:space="preserve">Transfer the Supabase project </w:t>
      </w:r>
      <w:r>
        <w:rPr>
          <w:rFonts w:ascii="Calibri" w:hAnsi="Calibri"/>
          <w:b w:val="0"/>
          <w:i w:val="0"/>
          <w:color w:val="111111"/>
          <w:sz w:val="22"/>
        </w:rPr>
        <w:t>to an organisation owned by the client (Supabase supports project transfer). They take over the monthly bill; every record, user and policy stays exactly where it is.</w:t>
      </w:r>
    </w:p>
    <w:p>
      <w:pPr>
        <w:pStyle w:val="ListNumber"/>
        <w:spacing w:after="100"/>
      </w:pPr>
      <w:r>
        <w:rPr>
          <w:rFonts w:ascii="Calibri" w:hAnsi="Calibri"/>
          <w:b/>
          <w:i w:val="0"/>
          <w:color w:val="111111"/>
          <w:sz w:val="22"/>
        </w:rPr>
        <w:t xml:space="preserve">Transfer the GitHub repo </w:t>
      </w:r>
      <w:r>
        <w:rPr>
          <w:rFonts w:ascii="Calibri" w:hAnsi="Calibri"/>
          <w:b w:val="0"/>
          <w:i w:val="0"/>
          <w:color w:val="111111"/>
          <w:sz w:val="22"/>
        </w:rPr>
        <w:t>to a GitHub account or organisation the client owns. History and all.</w:t>
      </w:r>
    </w:p>
    <w:p>
      <w:pPr>
        <w:pStyle w:val="ListNumber"/>
        <w:spacing w:after="100"/>
      </w:pPr>
      <w:r>
        <w:rPr>
          <w:rFonts w:ascii="Calibri" w:hAnsi="Calibri"/>
          <w:b/>
          <w:i w:val="0"/>
          <w:color w:val="111111"/>
          <w:sz w:val="22"/>
        </w:rPr>
        <w:t xml:space="preserve">Transfer the Netlify site </w:t>
      </w:r>
      <w:r>
        <w:rPr>
          <w:rFonts w:ascii="Calibri" w:hAnsi="Calibri"/>
          <w:b w:val="0"/>
          <w:i w:val="0"/>
          <w:color w:val="111111"/>
          <w:sz w:val="22"/>
        </w:rPr>
        <w:t>to the client's own Netlify team, or help them create one. Auto-deploy keeps working once the repo transfer is accepted.</w:t>
      </w:r>
    </w:p>
    <w:p>
      <w:pPr>
        <w:pStyle w:val="ListNumber"/>
        <w:spacing w:after="100"/>
      </w:pPr>
      <w:r>
        <w:rPr>
          <w:rFonts w:ascii="Calibri" w:hAnsi="Calibri"/>
          <w:b/>
          <w:i w:val="0"/>
          <w:color w:val="111111"/>
          <w:sz w:val="22"/>
        </w:rPr>
        <w:t xml:space="preserve">Swap the third-party keys </w:t>
      </w:r>
      <w:r>
        <w:rPr>
          <w:rFonts w:ascii="Calibri" w:hAnsi="Calibri"/>
          <w:b w:val="0"/>
          <w:i w:val="0"/>
          <w:color w:val="111111"/>
          <w:sz w:val="22"/>
        </w:rPr>
        <w:t>(see the key rotation table below) so nothing runs through AXRIK accounts.</w:t>
      </w:r>
    </w:p>
    <w:p>
      <w:pPr>
        <w:pStyle w:val="ListNumber"/>
        <w:spacing w:after="100"/>
      </w:pPr>
      <w:r>
        <w:rPr>
          <w:rFonts w:ascii="Calibri" w:hAnsi="Calibri"/>
          <w:b/>
          <w:i w:val="0"/>
          <w:color w:val="111111"/>
          <w:sz w:val="22"/>
        </w:rPr>
        <w:t xml:space="preserve">Transfer the domain </w:t>
      </w:r>
      <w:r>
        <w:rPr>
          <w:rFonts w:ascii="Calibri" w:hAnsi="Calibri"/>
          <w:b w:val="0"/>
          <w:i w:val="0"/>
          <w:color w:val="111111"/>
          <w:sz w:val="22"/>
        </w:rPr>
        <w:t>or confirm it's already registered in the client's name — it should be from day one.</w:t>
      </w:r>
    </w:p>
    <w:p>
      <w:pPr>
        <w:pStyle w:val="ListNumber"/>
        <w:spacing w:after="100"/>
      </w:pPr>
      <w:r>
        <w:rPr>
          <w:rFonts w:ascii="Calibri" w:hAnsi="Calibri"/>
          <w:b/>
          <w:i w:val="0"/>
          <w:color w:val="111111"/>
          <w:sz w:val="22"/>
        </w:rPr>
        <w:t xml:space="preserve">Remove AXRIK's access </w:t>
      </w:r>
      <w:r>
        <w:rPr>
          <w:rFonts w:ascii="Calibri" w:hAnsi="Calibri"/>
          <w:b w:val="0"/>
          <w:i w:val="0"/>
          <w:color w:val="111111"/>
          <w:sz w:val="22"/>
        </w:rPr>
        <w:t>from all three accounts, and confirm the handover in writing.</w:t>
      </w:r>
    </w:p>
    <w:p>
      <w:pPr>
        <w:pStyle w:val="Heading2"/>
        <w:spacing w:before="240" w:after="100"/>
      </w:pPr>
      <w:r>
        <w:rPr>
          <w:rFonts w:ascii="Calibri" w:hAnsi="Calibri"/>
          <w:b/>
          <w:i w:val="0"/>
          <w:color w:val="007B5F"/>
          <w:sz w:val="24"/>
        </w:rPr>
        <w:t>Route B — raw handover (moving to another system)</w:t>
      </w:r>
    </w:p>
    <w:p>
      <w:r>
        <w:rPr>
          <w:rFonts w:ascii="Calibri" w:hAnsi="Calibri"/>
          <w:b w:val="0"/>
          <w:i w:val="0"/>
          <w:color w:val="111111"/>
          <w:sz w:val="22"/>
        </w:rPr>
        <w:t>If the client is leaving for different software entirely, they get complete copies in open formats:</w:t>
      </w:r>
    </w:p>
    <w:p>
      <w:pPr>
        <w:pStyle w:val="ListBullet"/>
        <w:spacing w:after="100"/>
      </w:pPr>
      <w:r>
        <w:rPr>
          <w:rFonts w:ascii="Calibri" w:hAnsi="Calibri"/>
          <w:b/>
          <w:i w:val="0"/>
          <w:color w:val="111111"/>
          <w:sz w:val="22"/>
        </w:rPr>
        <w:t xml:space="preserve">Full database dump </w:t>
      </w:r>
      <w:r>
        <w:rPr>
          <w:rFonts w:ascii="Calibri" w:hAnsi="Calibri"/>
          <w:b w:val="0"/>
          <w:i w:val="0"/>
          <w:color w:val="111111"/>
          <w:sz w:val="22"/>
        </w:rPr>
        <w:t>— a pg_dump of the entire Postgres database (schema and data), restorable anywhere Postgres runs.</w:t>
      </w:r>
    </w:p>
    <w:p>
      <w:pPr>
        <w:pStyle w:val="ListBullet"/>
        <w:spacing w:after="100"/>
      </w:pPr>
      <w:r>
        <w:rPr>
          <w:rFonts w:ascii="Calibri" w:hAnsi="Calibri"/>
          <w:b/>
          <w:i w:val="0"/>
          <w:color w:val="111111"/>
          <w:sz w:val="22"/>
        </w:rPr>
        <w:t xml:space="preserve">Readable CSV exports </w:t>
      </w:r>
      <w:r>
        <w:rPr>
          <w:rFonts w:ascii="Calibri" w:hAnsi="Calibri"/>
          <w:b w:val="0"/>
          <w:i w:val="0"/>
          <w:color w:val="111111"/>
          <w:sz w:val="22"/>
        </w:rPr>
        <w:t>— customers, orders, jobs and every other key table, importable into any CRM or spreadsheet.</w:t>
      </w:r>
    </w:p>
    <w:p>
      <w:pPr>
        <w:pStyle w:val="ListBullet"/>
        <w:spacing w:after="100"/>
      </w:pPr>
      <w:r>
        <w:rPr>
          <w:rFonts w:ascii="Calibri" w:hAnsi="Calibri"/>
          <w:b/>
          <w:i w:val="0"/>
          <w:color w:val="111111"/>
          <w:sz w:val="22"/>
        </w:rPr>
        <w:t xml:space="preserve">Storage files </w:t>
      </w:r>
      <w:r>
        <w:rPr>
          <w:rFonts w:ascii="Calibri" w:hAnsi="Calibri"/>
          <w:b w:val="0"/>
          <w:i w:val="0"/>
          <w:color w:val="111111"/>
          <w:sz w:val="22"/>
        </w:rPr>
        <w:t>— the full contents of every storage bucket: photos, documents, certificates.</w:t>
      </w:r>
    </w:p>
    <w:p>
      <w:pPr>
        <w:pStyle w:val="ListBullet"/>
        <w:spacing w:after="100"/>
      </w:pPr>
      <w:r>
        <w:rPr>
          <w:rFonts w:ascii="Calibri" w:hAnsi="Calibri"/>
          <w:b/>
          <w:i w:val="0"/>
          <w:color w:val="111111"/>
          <w:sz w:val="22"/>
        </w:rPr>
        <w:t xml:space="preserve">The code </w:t>
      </w:r>
      <w:r>
        <w:rPr>
          <w:rFonts w:ascii="Calibri" w:hAnsi="Calibri"/>
          <w:b w:val="0"/>
          <w:i w:val="0"/>
          <w:color w:val="111111"/>
          <w:sz w:val="22"/>
        </w:rPr>
        <w:t>— a zip of the repo, or a repo transfer as in Route A. It's theirs either way.</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72"/>
      </w:tblGrid>
      <w:tr>
        <w:tc>
          <w:tcPr>
            <w:tcW w:type="dxa" w:w="9972"/>
            <w:shd w:val="clear" w:fill="F2F7F5"/>
            <w:tcMar>
              <w:top w:w="160" w:type="dxa"/>
              <w:bottom w:w="160" w:type="dxa"/>
              <w:start w:w="220" w:type="dxa"/>
              <w:end w:w="220" w:type="dxa"/>
            </w:tcMar>
            <w:tcBorders>
              <w:top w:val="single" w:sz="4" w:color="CCCCCC"/>
              <w:bottom w:val="single" w:sz="4" w:color="CCCCCC"/>
              <w:start w:val="single" w:sz="24" w:color="007B5F"/>
              <w:end w:val="single" w:sz="4" w:color="CCCCCC"/>
            </w:tcBorders>
          </w:tcPr>
          <w:p>
            <w:pPr>
              <w:spacing w:after="0"/>
            </w:pPr>
            <w:r>
              <w:rPr>
                <w:rFonts w:ascii="Calibri" w:hAnsi="Calibri"/>
                <w:b/>
                <w:i w:val="0"/>
                <w:color w:val="111111"/>
                <w:sz w:val="22"/>
              </w:rPr>
              <w:t xml:space="preserve">Much of Route B already exists: </w:t>
            </w:r>
            <w:r>
              <w:rPr>
                <w:rFonts w:ascii="Calibri" w:hAnsi="Calibri"/>
                <w:b w:val="0"/>
                <w:i w:val="0"/>
                <w:color w:val="111111"/>
                <w:sz w:val="22"/>
              </w:rPr>
              <w:t>the daily off-platform export from the Data Protection &amp; Backup Policy is the same pipeline. An exit export is that job, run once more, checked, and handed over.</w:t>
            </w:r>
          </w:p>
        </w:tc>
      </w:tr>
    </w:tbl>
    <w:p>
      <w:pPr>
        <w:spacing w:after="80"/>
      </w:pPr>
    </w:p>
    <w:p>
      <w:pPr>
        <w:pStyle w:val="Heading1"/>
        <w:spacing w:before="360" w:after="160"/>
        <w:pBdr>
          <w:bottom w:val="single" w:sz="8" w:color="007B5F"/>
        </w:pBdr>
      </w:pPr>
      <w:r>
        <w:rPr>
          <w:rFonts w:ascii="Calibri" w:hAnsi="Calibri"/>
          <w:b/>
          <w:i w:val="0"/>
          <w:color w:val="111111"/>
          <w:sz w:val="30"/>
        </w:rPr>
        <w:t>Key rotation — the one genuine wrinkle</w:t>
      </w:r>
    </w:p>
    <w:p>
      <w:r>
        <w:rPr>
          <w:rFonts w:ascii="Calibri" w:hAnsi="Calibri"/>
          <w:b w:val="0"/>
          <w:i w:val="0"/>
          <w:color w:val="111111"/>
          <w:sz w:val="22"/>
        </w:rPr>
        <w:t>Some services run on AXRIK's accounts and keys. They keep working right up to handover, but each needs the client's own key dropped into the Netlify environment variables on exit — a ten-minute job, as long as it's on the checklist and nothing breaks silently.</w:t>
      </w:r>
    </w:p>
    <w:tbl>
      <w:tblPr>
        <w:tblStyle w:val="TableGrid"/>
        <w:tblW w:type="auto" w:w="0"/>
        <w:tblLayout w:type="fixed"/>
        <w:tblLook w:firstColumn="1" w:firstRow="1" w:lastColumn="0" w:lastRow="0" w:noHBand="0" w:noVBand="1" w:val="04A0"/>
      </w:tblPr>
      <w:tblGrid>
        <w:gridCol w:w="3324"/>
        <w:gridCol w:w="3324"/>
        <w:gridCol w:w="3324"/>
      </w:tblGrid>
      <w:tr>
        <w:tc>
          <w:tcPr>
            <w:tcW w:type="dxa" w:w="1928"/>
            <w:shd w:val="clear" w:fill="007B5F"/>
            <w:tcMar>
              <w:top w:w="120" w:type="dxa"/>
              <w:bottom w:w="120" w:type="dxa"/>
              <w:start w:w="180" w:type="dxa"/>
              <w:end w:w="180" w:type="dxa"/>
            </w:tcMar>
          </w:tcPr>
          <w:p>
            <w:pPr>
              <w:spacing w:after="0"/>
            </w:pPr>
            <w:r>
              <w:rPr>
                <w:rFonts w:ascii="Calibri" w:hAnsi="Calibri"/>
                <w:b/>
                <w:i w:val="0"/>
                <w:color w:val="FFFFFF"/>
                <w:sz w:val="22"/>
              </w:rPr>
              <w:t>Service</w:t>
            </w:r>
          </w:p>
        </w:tc>
        <w:tc>
          <w:tcPr>
            <w:tcW w:type="dxa" w:w="3742"/>
            <w:shd w:val="clear" w:fill="007B5F"/>
            <w:tcMar>
              <w:top w:w="120" w:type="dxa"/>
              <w:bottom w:w="120" w:type="dxa"/>
              <w:start w:w="180" w:type="dxa"/>
              <w:end w:w="180" w:type="dxa"/>
            </w:tcMar>
          </w:tcPr>
          <w:p>
            <w:pPr>
              <w:spacing w:after="0"/>
            </w:pPr>
            <w:r>
              <w:rPr>
                <w:rFonts w:ascii="Calibri" w:hAnsi="Calibri"/>
                <w:b/>
                <w:i w:val="0"/>
                <w:color w:val="FFFFFF"/>
                <w:sz w:val="22"/>
              </w:rPr>
              <w:t>What it does</w:t>
            </w:r>
          </w:p>
        </w:tc>
        <w:tc>
          <w:tcPr>
            <w:tcW w:type="dxa" w:w="3969"/>
            <w:shd w:val="clear" w:fill="007B5F"/>
            <w:tcMar>
              <w:top w:w="120" w:type="dxa"/>
              <w:bottom w:w="120" w:type="dxa"/>
              <w:start w:w="180" w:type="dxa"/>
              <w:end w:w="180" w:type="dxa"/>
            </w:tcMar>
          </w:tcPr>
          <w:p>
            <w:pPr>
              <w:spacing w:after="0"/>
            </w:pPr>
            <w:r>
              <w:rPr>
                <w:rFonts w:ascii="Calibri" w:hAnsi="Calibri"/>
                <w:b/>
                <w:i w:val="0"/>
                <w:color w:val="FFFFFF"/>
                <w:sz w:val="22"/>
              </w:rPr>
              <w:t>Action on exit</w:t>
            </w:r>
          </w:p>
        </w:tc>
      </w:tr>
      <w:tr>
        <w:tc>
          <w:tcPr>
            <w:tcW w:type="dxa" w:w="1928"/>
            <w:tcMar>
              <w:top w:w="120" w:type="dxa"/>
              <w:bottom w:w="120" w:type="dxa"/>
              <w:start w:w="180" w:type="dxa"/>
              <w:end w:w="180" w:type="dxa"/>
            </w:tcMar>
          </w:tcPr>
          <w:p>
            <w:pPr>
              <w:spacing w:after="0"/>
            </w:pPr>
            <w:r>
              <w:rPr>
                <w:rFonts w:ascii="Calibri" w:hAnsi="Calibri"/>
                <w:b/>
                <w:i w:val="0"/>
                <w:color w:val="111111"/>
                <w:sz w:val="22"/>
              </w:rPr>
              <w:t>Anthropic API</w:t>
            </w:r>
          </w:p>
        </w:tc>
        <w:tc>
          <w:tcPr>
            <w:tcW w:type="dxa" w:w="3742"/>
            <w:tcMar>
              <w:top w:w="120" w:type="dxa"/>
              <w:bottom w:w="120" w:type="dxa"/>
              <w:start w:w="180" w:type="dxa"/>
              <w:end w:w="180" w:type="dxa"/>
            </w:tcMar>
          </w:tcPr>
          <w:p>
            <w:pPr>
              <w:spacing w:after="0"/>
            </w:pPr>
            <w:r>
              <w:rPr>
                <w:rFonts w:ascii="Calibri" w:hAnsi="Calibri"/>
                <w:b w:val="0"/>
                <w:i w:val="0"/>
                <w:color w:val="111111"/>
                <w:sz w:val="22"/>
              </w:rPr>
              <w:t>All AI features (order parsing, drafting, summaries) via the Netlify proxy function</w:t>
            </w:r>
          </w:p>
        </w:tc>
        <w:tc>
          <w:tcPr>
            <w:tcW w:type="dxa" w:w="3969"/>
            <w:tcMar>
              <w:top w:w="120" w:type="dxa"/>
              <w:bottom w:w="120" w:type="dxa"/>
              <w:start w:w="180" w:type="dxa"/>
              <w:end w:w="180" w:type="dxa"/>
            </w:tcMar>
          </w:tcPr>
          <w:p>
            <w:pPr>
              <w:spacing w:after="0"/>
            </w:pPr>
            <w:r>
              <w:rPr>
                <w:rFonts w:ascii="Calibri" w:hAnsi="Calibri"/>
                <w:b w:val="0"/>
                <w:i w:val="0"/>
                <w:color w:val="111111"/>
                <w:sz w:val="22"/>
              </w:rPr>
              <w:t>Client creates their own Anthropic account; swap the key. AI bills to their card, not mine</w:t>
            </w:r>
          </w:p>
        </w:tc>
      </w:tr>
      <w:tr>
        <w:tc>
          <w:tcPr>
            <w:tcW w:type="dxa" w:w="1928"/>
            <w:tcMar>
              <w:top w:w="120" w:type="dxa"/>
              <w:bottom w:w="120" w:type="dxa"/>
              <w:start w:w="180" w:type="dxa"/>
              <w:end w:w="180" w:type="dxa"/>
            </w:tcMar>
          </w:tcPr>
          <w:p>
            <w:pPr>
              <w:spacing w:after="0"/>
            </w:pPr>
            <w:r>
              <w:rPr>
                <w:rFonts w:ascii="Calibri" w:hAnsi="Calibri"/>
                <w:b/>
                <w:i w:val="0"/>
                <w:color w:val="111111"/>
                <w:sz w:val="22"/>
              </w:rPr>
              <w:t>EmailJS</w:t>
            </w:r>
          </w:p>
        </w:tc>
        <w:tc>
          <w:tcPr>
            <w:tcW w:type="dxa" w:w="3742"/>
            <w:tcMar>
              <w:top w:w="120" w:type="dxa"/>
              <w:bottom w:w="120" w:type="dxa"/>
              <w:start w:w="180" w:type="dxa"/>
              <w:end w:w="180" w:type="dxa"/>
            </w:tcMar>
          </w:tcPr>
          <w:p>
            <w:pPr>
              <w:spacing w:after="0"/>
            </w:pPr>
            <w:r>
              <w:rPr>
                <w:rFonts w:ascii="Calibri" w:hAnsi="Calibri"/>
                <w:b w:val="0"/>
                <w:i w:val="0"/>
                <w:color w:val="111111"/>
                <w:sz w:val="22"/>
              </w:rPr>
              <w:t>Transactional and enquiry emails</w:t>
            </w:r>
          </w:p>
        </w:tc>
        <w:tc>
          <w:tcPr>
            <w:tcW w:type="dxa" w:w="3969"/>
            <w:tcMar>
              <w:top w:w="120" w:type="dxa"/>
              <w:bottom w:w="120" w:type="dxa"/>
              <w:start w:w="180" w:type="dxa"/>
              <w:end w:w="180" w:type="dxa"/>
            </w:tcMar>
          </w:tcPr>
          <w:p>
            <w:pPr>
              <w:spacing w:after="0"/>
            </w:pPr>
            <w:r>
              <w:rPr>
                <w:rFonts w:ascii="Calibri" w:hAnsi="Calibri"/>
                <w:b w:val="0"/>
                <w:i w:val="0"/>
                <w:color w:val="111111"/>
                <w:sz w:val="22"/>
              </w:rPr>
              <w:t>Client's own EmailJS account; swap service and template IDs</w:t>
            </w:r>
          </w:p>
        </w:tc>
      </w:tr>
      <w:tr>
        <w:tc>
          <w:tcPr>
            <w:tcW w:type="dxa" w:w="1928"/>
            <w:tcMar>
              <w:top w:w="120" w:type="dxa"/>
              <w:bottom w:w="120" w:type="dxa"/>
              <w:start w:w="180" w:type="dxa"/>
              <w:end w:w="180" w:type="dxa"/>
            </w:tcMar>
          </w:tcPr>
          <w:p>
            <w:pPr>
              <w:spacing w:after="0"/>
            </w:pPr>
            <w:r>
              <w:rPr>
                <w:rFonts w:ascii="Calibri" w:hAnsi="Calibri"/>
                <w:b/>
                <w:i w:val="0"/>
                <w:color w:val="111111"/>
                <w:sz w:val="22"/>
              </w:rPr>
              <w:t>Twilio (where used)</w:t>
            </w:r>
          </w:p>
        </w:tc>
        <w:tc>
          <w:tcPr>
            <w:tcW w:type="dxa" w:w="3742"/>
            <w:tcMar>
              <w:top w:w="120" w:type="dxa"/>
              <w:bottom w:w="120" w:type="dxa"/>
              <w:start w:w="180" w:type="dxa"/>
              <w:end w:w="180" w:type="dxa"/>
            </w:tcMar>
          </w:tcPr>
          <w:p>
            <w:pPr>
              <w:spacing w:after="0"/>
            </w:pPr>
            <w:r>
              <w:rPr>
                <w:rFonts w:ascii="Calibri" w:hAnsi="Calibri"/>
                <w:b w:val="0"/>
                <w:i w:val="0"/>
                <w:color w:val="111111"/>
                <w:sz w:val="22"/>
              </w:rPr>
              <w:t>SMS notifications</w:t>
            </w:r>
          </w:p>
        </w:tc>
        <w:tc>
          <w:tcPr>
            <w:tcW w:type="dxa" w:w="3969"/>
            <w:tcMar>
              <w:top w:w="120" w:type="dxa"/>
              <w:bottom w:w="120" w:type="dxa"/>
              <w:start w:w="180" w:type="dxa"/>
              <w:end w:w="180" w:type="dxa"/>
            </w:tcMar>
          </w:tcPr>
          <w:p>
            <w:pPr>
              <w:spacing w:after="0"/>
            </w:pPr>
            <w:r>
              <w:rPr>
                <w:rFonts w:ascii="Calibri" w:hAnsi="Calibri"/>
                <w:b w:val="0"/>
                <w:i w:val="0"/>
                <w:color w:val="111111"/>
                <w:sz w:val="22"/>
              </w:rPr>
              <w:t>Client's own Twilio account; swap SID and token</w:t>
            </w:r>
          </w:p>
        </w:tc>
      </w:tr>
      <w:tr>
        <w:tc>
          <w:tcPr>
            <w:tcW w:type="dxa" w:w="1928"/>
            <w:tcMar>
              <w:top w:w="120" w:type="dxa"/>
              <w:bottom w:w="120" w:type="dxa"/>
              <w:start w:w="180" w:type="dxa"/>
              <w:end w:w="180" w:type="dxa"/>
            </w:tcMar>
          </w:tcPr>
          <w:p>
            <w:pPr>
              <w:spacing w:after="0"/>
            </w:pPr>
            <w:r>
              <w:rPr>
                <w:rFonts w:ascii="Calibri" w:hAnsi="Calibri"/>
                <w:b/>
                <w:i w:val="0"/>
                <w:color w:val="111111"/>
                <w:sz w:val="22"/>
              </w:rPr>
              <w:t>Square / Stripe</w:t>
            </w:r>
          </w:p>
        </w:tc>
        <w:tc>
          <w:tcPr>
            <w:tcW w:type="dxa" w:w="3742"/>
            <w:tcMar>
              <w:top w:w="120" w:type="dxa"/>
              <w:bottom w:w="120" w:type="dxa"/>
              <w:start w:w="180" w:type="dxa"/>
              <w:end w:w="180" w:type="dxa"/>
            </w:tcMar>
          </w:tcPr>
          <w:p>
            <w:pPr>
              <w:spacing w:after="0"/>
            </w:pPr>
            <w:r>
              <w:rPr>
                <w:rFonts w:ascii="Calibri" w:hAnsi="Calibri"/>
                <w:b w:val="0"/>
                <w:i w:val="0"/>
                <w:color w:val="111111"/>
                <w:sz w:val="22"/>
              </w:rPr>
              <w:t>Card payments</w:t>
            </w:r>
          </w:p>
        </w:tc>
        <w:tc>
          <w:tcPr>
            <w:tcW w:type="dxa" w:w="3969"/>
            <w:tcMar>
              <w:top w:w="120" w:type="dxa"/>
              <w:bottom w:w="120" w:type="dxa"/>
              <w:start w:w="180" w:type="dxa"/>
              <w:end w:w="180" w:type="dxa"/>
            </w:tcMar>
          </w:tcPr>
          <w:p>
            <w:pPr>
              <w:spacing w:after="0"/>
            </w:pPr>
            <w:r>
              <w:rPr>
                <w:rFonts w:ascii="Calibri" w:hAnsi="Calibri"/>
                <w:b w:val="0"/>
                <w:i w:val="0"/>
                <w:color w:val="111111"/>
                <w:sz w:val="22"/>
              </w:rPr>
              <w:t>Usually already the client's own account — verify, nothing to swap</w:t>
            </w:r>
          </w:p>
        </w:tc>
      </w:tr>
      <w:tr>
        <w:tc>
          <w:tcPr>
            <w:tcW w:type="dxa" w:w="1928"/>
            <w:tcMar>
              <w:top w:w="120" w:type="dxa"/>
              <w:bottom w:w="120" w:type="dxa"/>
              <w:start w:w="180" w:type="dxa"/>
              <w:end w:w="180" w:type="dxa"/>
            </w:tcMar>
          </w:tcPr>
          <w:p>
            <w:pPr>
              <w:spacing w:after="0"/>
            </w:pPr>
            <w:r>
              <w:rPr>
                <w:rFonts w:ascii="Calibri" w:hAnsi="Calibri"/>
                <w:b/>
                <w:i w:val="0"/>
                <w:color w:val="111111"/>
                <w:sz w:val="22"/>
              </w:rPr>
              <w:t>Domain / DNS</w:t>
            </w:r>
          </w:p>
        </w:tc>
        <w:tc>
          <w:tcPr>
            <w:tcW w:type="dxa" w:w="3742"/>
            <w:tcMar>
              <w:top w:w="120" w:type="dxa"/>
              <w:bottom w:w="120" w:type="dxa"/>
              <w:start w:w="180" w:type="dxa"/>
              <w:end w:w="180" w:type="dxa"/>
            </w:tcMar>
          </w:tcPr>
          <w:p>
            <w:pPr>
              <w:spacing w:after="0"/>
            </w:pPr>
            <w:r>
              <w:rPr>
                <w:rFonts w:ascii="Calibri" w:hAnsi="Calibri"/>
                <w:b w:val="0"/>
                <w:i w:val="0"/>
                <w:color w:val="111111"/>
                <w:sz w:val="22"/>
              </w:rPr>
              <w:t>The web address</w:t>
            </w:r>
          </w:p>
        </w:tc>
        <w:tc>
          <w:tcPr>
            <w:tcW w:type="dxa" w:w="3969"/>
            <w:tcMar>
              <w:top w:w="120" w:type="dxa"/>
              <w:bottom w:w="120" w:type="dxa"/>
              <w:start w:w="180" w:type="dxa"/>
              <w:end w:w="180" w:type="dxa"/>
            </w:tcMar>
          </w:tcPr>
          <w:p>
            <w:pPr>
              <w:spacing w:after="0"/>
            </w:pPr>
            <w:r>
              <w:rPr>
                <w:rFonts w:ascii="Calibri" w:hAnsi="Calibri"/>
                <w:b w:val="0"/>
                <w:i w:val="0"/>
                <w:color w:val="111111"/>
                <w:sz w:val="22"/>
              </w:rPr>
              <w:t>Should be client-registered from day one; transfer if not</w:t>
            </w:r>
          </w:p>
        </w:tc>
      </w:tr>
    </w:tbl>
    <w:p>
      <w:pPr>
        <w:spacing w:after="80"/>
      </w:pPr>
    </w:p>
    <w:p>
      <w:r>
        <w:rPr>
          <w:rFonts w:ascii="Calibri" w:hAnsi="Calibri"/>
          <w:b/>
          <w:i w:val="0"/>
          <w:color w:val="111111"/>
          <w:sz w:val="22"/>
        </w:rPr>
        <w:t xml:space="preserve">Rule for new builds: </w:t>
      </w:r>
      <w:r>
        <w:rPr>
          <w:rFonts w:ascii="Calibri" w:hAnsi="Calibri"/>
          <w:b w:val="0"/>
          <w:i w:val="0"/>
          <w:color w:val="111111"/>
          <w:sz w:val="22"/>
        </w:rPr>
        <w:t>anything that can reasonably live on the client's own account from day one (payments, domain) should. The fewer keys to rotate at exit, the cleaner the promise.</w:t>
      </w:r>
    </w:p>
    <w:p>
      <w:pPr>
        <w:pStyle w:val="Heading1"/>
        <w:spacing w:before="360" w:after="160"/>
        <w:pBdr>
          <w:bottom w:val="single" w:sz="8" w:color="007B5F"/>
        </w:pBdr>
      </w:pPr>
      <w:r>
        <w:rPr>
          <w:rFonts w:ascii="Calibri" w:hAnsi="Calibri"/>
          <w:b/>
          <w:i w:val="0"/>
          <w:color w:val="111111"/>
          <w:sz w:val="30"/>
        </w:rPr>
        <w:t>The handover pack</w:t>
      </w:r>
    </w:p>
    <w:p>
      <w:r>
        <w:rPr>
          <w:rFonts w:ascii="Calibri" w:hAnsi="Calibri"/>
          <w:b w:val="0"/>
          <w:i w:val="0"/>
          <w:color w:val="111111"/>
          <w:sz w:val="22"/>
        </w:rPr>
        <w:t>Whichever route, the client receives a short written pack:</w:t>
      </w:r>
    </w:p>
    <w:p>
      <w:pPr>
        <w:pStyle w:val="ListBullet"/>
        <w:spacing w:after="100"/>
      </w:pPr>
      <w:r>
        <w:rPr>
          <w:rFonts w:ascii="Calibri" w:hAnsi="Calibri"/>
          <w:b w:val="0"/>
          <w:i w:val="0"/>
          <w:color w:val="111111"/>
          <w:sz w:val="22"/>
        </w:rPr>
        <w:t>What was transferred and when, account by account</w:t>
      </w:r>
    </w:p>
    <w:p>
      <w:pPr>
        <w:pStyle w:val="ListBullet"/>
        <w:spacing w:after="100"/>
      </w:pPr>
      <w:r>
        <w:rPr>
          <w:rFonts w:ascii="Calibri" w:hAnsi="Calibri"/>
          <w:b w:val="0"/>
          <w:i w:val="0"/>
          <w:color w:val="111111"/>
          <w:sz w:val="22"/>
        </w:rPr>
        <w:t>Where every credential and environment variable lives, and which keys were rotated</w:t>
      </w:r>
    </w:p>
    <w:p>
      <w:pPr>
        <w:pStyle w:val="ListBullet"/>
        <w:spacing w:after="100"/>
      </w:pPr>
      <w:r>
        <w:rPr>
          <w:rFonts w:ascii="Calibri" w:hAnsi="Calibri"/>
          <w:b w:val="0"/>
          <w:i w:val="0"/>
          <w:color w:val="111111"/>
          <w:sz w:val="22"/>
        </w:rPr>
        <w:t>The admin setup guide for the app (already exists from the build) and the Data Protection &amp; Backup standard, so they know how to keep the safety net running</w:t>
      </w:r>
    </w:p>
    <w:p>
      <w:pPr>
        <w:pStyle w:val="ListBullet"/>
        <w:spacing w:after="100"/>
      </w:pPr>
      <w:r>
        <w:rPr>
          <w:rFonts w:ascii="Calibri" w:hAnsi="Calibri"/>
          <w:b w:val="0"/>
          <w:i w:val="0"/>
          <w:color w:val="111111"/>
          <w:sz w:val="22"/>
        </w:rPr>
        <w:t>Written confirmation that AXRIK's access has been removed and AXRIK retains no copy of their customer data beyond the backup retention window (rolling 30 days, then gone)</w:t>
      </w:r>
    </w:p>
    <w:p>
      <w:pPr>
        <w:pStyle w:val="Heading1"/>
        <w:spacing w:before="360" w:after="160"/>
        <w:pBdr>
          <w:bottom w:val="single" w:sz="8" w:color="007B5F"/>
        </w:pBdr>
      </w:pPr>
      <w:r>
        <w:rPr>
          <w:rFonts w:ascii="Calibri" w:hAnsi="Calibri"/>
          <w:b/>
          <w:i w:val="0"/>
          <w:color w:val="111111"/>
          <w:sz w:val="30"/>
        </w:rPr>
        <w:t>The commitment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72"/>
      </w:tblGrid>
      <w:tr>
        <w:tc>
          <w:tcPr>
            <w:tcW w:type="dxa" w:w="9972"/>
            <w:shd w:val="clear" w:fill="F2F7F5"/>
            <w:tcMar>
              <w:top w:w="160" w:type="dxa"/>
              <w:bottom w:w="160" w:type="dxa"/>
              <w:start w:w="220" w:type="dxa"/>
              <w:end w:w="220" w:type="dxa"/>
            </w:tcMar>
            <w:tcBorders>
              <w:top w:val="single" w:sz="4" w:color="CCCCCC"/>
              <w:bottom w:val="single" w:sz="4" w:color="CCCCCC"/>
              <w:start w:val="single" w:sz="24" w:color="007B5F"/>
              <w:end w:val="single" w:sz="4" w:color="CCCCCC"/>
            </w:tcBorders>
          </w:tcPr>
          <w:p>
            <w:pPr>
              <w:spacing w:after="0"/>
            </w:pPr>
            <w:r>
              <w:rPr>
                <w:rFonts w:ascii="Calibri" w:hAnsi="Calibri"/>
                <w:b/>
                <w:i w:val="0"/>
                <w:color w:val="111111"/>
                <w:sz w:val="22"/>
              </w:rPr>
              <w:t>Any client can request an exit at any time, for any reason. Handover completes within five working days of the request. No exit fee, no data ransom, no hard feelings — the promise on the website is the promise in practice.</w:t>
            </w:r>
          </w:p>
        </w:tc>
      </w:tr>
    </w:tbl>
    <w:p>
      <w:pPr>
        <w:spacing w:after="80"/>
      </w:pPr>
    </w:p>
    <w:p>
      <w:r>
        <w:rPr>
          <w:rFonts w:ascii="Calibri" w:hAnsi="Calibri"/>
          <w:b w:val="0"/>
          <w:i/>
          <w:color w:val="555555"/>
          <w:sz w:val="22"/>
        </w:rPr>
        <w:t>Why be this generous? Because it sells. The walk-away promise is only credible if there's a written standard behind it, and 'you can leave easily' is exactly why clients feel safe to stay.</w:t>
      </w:r>
    </w:p>
    <w:sectPr w:rsidR="00FC693F" w:rsidRPr="0006063C" w:rsidSect="00034616">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