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D1726"/>
          <w:sz w:val="26"/>
        </w:rPr>
        <w:t>AXRIK</w:t>
      </w:r>
      <w:r>
        <w:rPr>
          <w:b/>
          <w:color w:val="15A36A"/>
          <w:sz w:val="26"/>
        </w:rPr>
        <w:t xml:space="preserve">  ·  NEW PROJECT INSTRUCTIONS</w:t>
      </w:r>
    </w:p>
    <w:p>
      <w:pPr>
        <w:pBdr>
          <w:top w:val="single" w:sz="18" w:space="4" w:color="15A36A"/>
        </w:pBdr>
        <w:spacing w:after="200"/>
      </w:pPr>
    </w:p>
    <w:p>
      <w:pPr>
        <w:pStyle w:val="Heading2"/>
      </w:pPr>
      <w:r>
        <w:rPr>
          <w:rFonts w:ascii="Arial" w:hAnsi="Arial"/>
          <w:color w:val="15A36A"/>
        </w:rPr>
        <w:t>What this is</w:t>
      </w:r>
    </w:p>
    <w:p>
      <w:pPr>
        <w:spacing w:after="240"/>
      </w:pPr>
      <w:r>
        <w:t>Paste the block below into the custom/project instructions field whenever you create a new Claude project for an AXRIK client. It encodes the JG Foods lessons so the build starts from them even before the skills trigger — discovery first, role-based security from day one, config out of code, and a fallback behind every AI feature.</w:t>
      </w:r>
    </w:p>
    <w:p>
      <w:pPr>
        <w:pStyle w:val="Heading2"/>
      </w:pPr>
      <w:r>
        <w:rPr>
          <w:rFonts w:ascii="Arial" w:hAnsi="Arial"/>
          <w:color w:val="15A36A"/>
        </w:rPr>
        <w:t>Paste this into the project instructions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This is an AXRIK client build. AXRIK builds bespoke web apps (customer website + back-office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admin) for small/medium businesses, on Supabase + Netlify, in black/white/green branding. Write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as Phil, first person, UK English. Lead with the business outcome, never the tech.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 xml:space="preserve"> 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The first AXRIK build (JG Foods) took ~35h and half of that was rework. This project must NOT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repeat it. The fixes are pre-solved in the skills and starter kit — use them.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 xml:space="preserve"> 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WORKFLOW (auto-triggered by the axrik-project-kickoff skill — follow it):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1. Discovery first. Model the data from the client's real spreadsheets/messages/invoices.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 xml:space="preserve">   Propose the schema and CONFIRM IT WITH ME before writing any screens.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2. Stand up the backend from the starter kit: 3 consolidated SQL files (001/002/003),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 xml:space="preserve">   customise the &gt;&gt;&gt; markers, run, then promote owner to admin. Not 16 incremental migrations.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3. Build on the shells: website → admin → AI, in that order.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4. Go live &amp; hand over from the axrik-deliverables templates.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5. End EVERY session with the hygiene sweep.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 xml:space="preserve"> 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NON-NEGOTIABLES (the 5 things that caused rework last time):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- Role-based RLS in the FIRST migration: admin / staff / account / public. Financial tables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 xml:space="preserve">  admin-only from day one. Never ship "any logged-in user = full access".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- Use the corrected starter schema + triggers (slot counts update on slot moves; signup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 xml:space="preserve">  trigger handles null metadata).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- All config lives in an app_settings key/value table — delivery days, cut-offs, copy.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 xml:space="preserve">  Never hard-code these as constants.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- Every AI feature routes through the single /.netlify/functions/ai proxy and MUST have a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 xml:space="preserve">  non-AI fallback so the button works without a key. AI drafts, the client confirms before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 xml:space="preserve">  send/save.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- No leftover placeholders or stale integration notes ship to the client.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 xml:space="preserve"> 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Use the AXRIK skills (axrik-project-kickoff, axrik-ai-features, axrik-deliverables,</w:t>
      </w:r>
    </w:p>
    <w:p>
      <w:pPr>
        <w:spacing w:after="0" w:before="0" w:line="240" w:lineRule="auto"/>
        <w:ind w:left="160" w:right="160"/>
        <w:shd w:val="clear" w:color="auto" w:fill="F2F5F4"/>
      </w:pPr>
      <w:r>
        <w:rPr>
          <w:rFonts w:ascii="Consolas" w:hAnsi="Consolas"/>
          <w:color w:val="1C2635"/>
          <w:sz w:val="18"/>
        </w:rPr>
        <w:t>supabase-patterns) and the starter kit for the ~60% head start. Target ~15–18h, not 35.</w:t>
      </w:r>
    </w:p>
    <w:p>
      <w:pPr>
        <w:spacing w:after="160"/>
      </w:pPr>
    </w:p>
    <w:p>
      <w:pPr>
        <w:pStyle w:val="Heading2"/>
      </w:pPr>
      <w:r>
        <w:rPr>
          <w:rFonts w:ascii="Arial" w:hAnsi="Arial"/>
          <w:color w:val="15A36A"/>
        </w:rPr>
        <w:t>Before you rely on this</w:t>
      </w:r>
    </w:p>
    <w:p>
      <w:r>
        <w:t xml:space="preserve">This assumes the one-time setup is complete: </w:t>
      </w:r>
      <w:r>
        <w:rPr>
          <w:b/>
        </w:rPr>
        <w:t>the Supabase addendum folded into the supabase-patterns skill</w:t>
      </w:r>
      <w:r>
        <w:t xml:space="preserve"> (use supabase-patterns-SKILL-merged.md — Settings → Capabilities → edit), and </w:t>
      </w:r>
      <w:r>
        <w:rPr>
          <w:b/>
        </w:rPr>
        <w:t>the starter kit pushed to GitHub as a template repo</w:t>
      </w:r>
      <w:r>
        <w:t xml:space="preserve"> so you can clone it per client. See AXRIK-Next-Build-Checklist.html, section A, for the full setup state.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