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00000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A</w:t>
            </w:r>
            <w:r>
              <w:rPr>
                <w:rFonts w:ascii="Arial" w:hAnsi="Arial"/>
                <w:b/>
                <w:i w:val="0"/>
                <w:color w:val="18A06B"/>
                <w:sz w:val="30"/>
              </w:rPr>
              <w:t>X</w:t>
            </w:r>
            <w:r>
              <w:rPr>
                <w:rFonts w:ascii="Arial" w:hAnsi="Arial"/>
                <w:b/>
                <w:i w:val="0"/>
                <w:color w:val="FFFFFF"/>
                <w:sz w:val="30"/>
              </w:rPr>
              <w:t>RIK</w:t>
            </w:r>
          </w:p>
          <w:p>
            <w:pPr>
              <w:spacing w:after="200"/>
            </w:pPr>
            <w:r>
              <w:rPr>
                <w:rFonts w:ascii="Arial" w:hAnsi="Arial"/>
                <w:b/>
                <w:i w:val="0"/>
                <w:color w:val="18A06B"/>
                <w:sz w:val="18"/>
              </w:rPr>
              <w:t>AFTER-ACTION · FIRST BUILD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FFFFFF"/>
                <w:sz w:val="48"/>
              </w:rPr>
              <w:t xml:space="preserve">Doing the next one in </w:t>
            </w:r>
            <w:r>
              <w:rPr>
                <w:rFonts w:ascii="Arial" w:hAnsi="Arial"/>
                <w:b/>
                <w:i w:val="0"/>
                <w:color w:val="18A06B"/>
                <w:sz w:val="48"/>
              </w:rPr>
              <w:t>half the time.</w:t>
            </w:r>
          </w:p>
          <w:p>
            <w:r>
              <w:rPr>
                <w:rFonts w:ascii="Arial" w:hAnsi="Arial"/>
                <w:b w:val="0"/>
                <w:i w:val="0"/>
                <w:color w:val="D7DEDA"/>
                <w:sz w:val="22"/>
              </w:rPr>
              <w:t>JG Foods was the first AXRIK build — a customer website and bespoke back-office for a mobile butcher, delivered in ~35 hours over 7 sessions. This playbook turns the lessons into a reusable kit, skills and a process, so the next client starts at ~60% done.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before="200" w:after="80"/>
      </w:pPr>
      <w:r>
        <w:rPr>
          <w:rFonts w:ascii="Arial" w:hAnsi="Arial"/>
          <w:b/>
          <w:i w:val="0"/>
          <w:caps/>
          <w:color w:val="18A06B"/>
          <w:sz w:val="18"/>
        </w:rPr>
        <w:t>What the first build cost</w:t>
      </w:r>
    </w:p>
    <w:p>
      <w:pPr>
        <w:spacing w:after="160"/>
      </w:pPr>
      <w:r>
        <w:rPr>
          <w:rFonts w:ascii="Arial" w:hAnsi="Arial"/>
          <w:b w:val="0"/>
          <w:i w:val="0"/>
          <w:color w:val="1A1A1A"/>
          <w:sz w:val="22"/>
        </w:rPr>
        <w:t xml:space="preserve">Two apps (1,700-line website + 6,200-line single-file admin), 16 tables, 3 Netlify functions, 3 live AI features — ~35 hours, 7 sessions, 16 migrations. The headline opportunity isn't the features; it's that </w:t>
      </w:r>
      <w:r>
        <w:rPr>
          <w:rFonts w:ascii="Arial" w:hAnsi="Arial"/>
          <w:b/>
          <w:i w:val="0"/>
          <w:color w:val="1A1A1A"/>
          <w:sz w:val="22"/>
        </w:rPr>
        <w:t>roughly half the migrations were rework</w:t>
      </w:r>
      <w:r>
        <w:rPr>
          <w:rFonts w:ascii="Arial" w:hAnsi="Arial"/>
          <w:b w:val="0"/>
          <w:i w:val="0"/>
          <w:color w:val="1A1A1A"/>
          <w:sz w:val="22"/>
        </w:rPr>
        <w:t>, not new work. That's the time to claw back.</w:t>
      </w:r>
    </w:p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12"/>
        </w:rPr>
      </w:r>
    </w:p>
    <w:p>
      <w:pPr>
        <w:keepNext/>
        <w:spacing w:after="160"/>
        <w:pBdr>
          <w:bottom w:val="single" w:sz="18" w:space="4" w:color="18A06B"/>
        </w:pBdr>
      </w:pPr>
      <w:r>
        <w:rPr>
          <w:rFonts w:ascii="Arial" w:hAnsi="Arial"/>
          <w:b/>
          <w:i w:val="0"/>
          <w:color w:val="000000"/>
          <w:sz w:val="34"/>
        </w:rPr>
        <w:t>The five things that caused rework</w:t>
      </w:r>
    </w:p>
    <w:p>
      <w:pPr>
        <w:spacing w:after="160"/>
      </w:pPr>
      <w:r>
        <w:rPr>
          <w:rFonts w:ascii="Arial" w:hAnsi="Arial"/>
          <w:b w:val="0"/>
          <w:i/>
          <w:color w:val="5A6A5F"/>
          <w:sz w:val="22"/>
        </w:rPr>
        <w:t>Each is now pre-solved in the kit — this is the core of the saving.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BFC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00000"/>
                <w:sz w:val="25"/>
              </w:rPr>
              <w:t>1. Security written broad, then hardened four times  [BIGGEST WIN]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RLS started as "any logged-in user = full access", then took four later migrations to get right. Fix: ship role-based RLS — admin / staff / account / public — in the first RLS migration, financial tables admin-only from day one.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BFC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00000"/>
                <w:sz w:val="25"/>
              </w:rPr>
              <w:t>2. Trigger edge cases found in production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Slot counts didn't update when an order was moved between slots; the signup trigger broke on null metadata. Both are baked into the starter schema correctly.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BFC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00000"/>
                <w:sz w:val="25"/>
              </w:rPr>
              <w:t>3. Incremental migrations for one cohesive model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16 migrations grew one at a time. Next build, the whole spine lands in three consolidated, customisable files.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BFC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00000"/>
                <w:sz w:val="25"/>
              </w:rPr>
              <w:t>4. Config hard-coded, then edited repeatedly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Delivery days, cut-offs and copy were constants, so every tweak was a code change. Fix: an app_settings key/value table.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BFC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00000"/>
                <w:sz w:val="25"/>
              </w:rPr>
              <w:t>5. Leftover placeholders shipped, then fixed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Stale integration notes reached the client and became confusing 'fix' commits. Fix: an end-of-session hygiene sweep.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12"/>
        </w:rPr>
      </w:r>
    </w:p>
    <w:p>
      <w:pPr>
        <w:keepNext/>
        <w:spacing w:after="160"/>
        <w:pBdr>
          <w:bottom w:val="single" w:sz="18" w:space="4" w:color="18A06B"/>
        </w:pBdr>
      </w:pPr>
      <w:r>
        <w:rPr>
          <w:rFonts w:ascii="Arial" w:hAnsi="Arial"/>
          <w:b/>
          <w:i w:val="0"/>
          <w:color w:val="000000"/>
          <w:sz w:val="34"/>
        </w:rPr>
        <w:t>The kit: what's reusable</w:t>
      </w:r>
    </w:p>
    <w:p>
      <w:pPr>
        <w:keepNext/>
        <w:spacing w:before="200" w:after="80"/>
      </w:pPr>
      <w:r>
        <w:rPr>
          <w:rFonts w:ascii="Arial" w:hAnsi="Arial"/>
          <w:b/>
          <w:i w:val="0"/>
          <w:caps/>
          <w:color w:val="18A06B"/>
          <w:sz w:val="18"/>
        </w:rPr>
        <w:t>Starter kit — the ~60% head start</w:t>
      </w:r>
    </w:p>
    <w:p>
      <w:pPr>
        <w:spacing w:after="160"/>
      </w:pPr>
      <w:r>
        <w:rPr>
          <w:rFonts w:ascii="Arial" w:hAnsi="Arial"/>
          <w:b w:val="0"/>
          <w:i w:val="0"/>
          <w:color w:val="1A1A1A"/>
          <w:sz w:val="22"/>
        </w:rPr>
        <w:t>Genericised base schema + triggers, day-one role-based RLS, the place_order RPC, the generic Claude proxy, and the self-service user-management function — plus working website and admin shells. For any scheduled-delivery / ordering business this is the backend before you write new code.</w:t>
      </w:r>
    </w:p>
    <w:p>
      <w:pPr>
        <w:keepNext/>
        <w:spacing w:before="200" w:after="80"/>
      </w:pPr>
      <w:r>
        <w:rPr>
          <w:rFonts w:ascii="Arial" w:hAnsi="Arial"/>
          <w:b/>
          <w:i w:val="0"/>
          <w:caps/>
          <w:color w:val="18A06B"/>
          <w:sz w:val="18"/>
        </w:rPr>
        <w:t>Skills that auto-trigger next time</w:t>
      </w:r>
    </w:p>
    <w:p>
      <w:pPr>
        <w:pStyle w:val="ListBullet"/>
        <w:spacing w:after="40"/>
      </w:pPr>
      <w:r>
        <w:rPr>
          <w:rFonts w:ascii="Arial" w:hAnsi="Arial"/>
          <w:b/>
          <w:i w:val="0"/>
          <w:color w:val="000000"/>
          <w:sz w:val="22"/>
        </w:rPr>
        <w:t>axrik-project-kickoff</w:t>
      </w:r>
      <w:r>
        <w:rPr>
          <w:rFonts w:ascii="Arial" w:hAnsi="Arial"/>
          <w:b w:val="0"/>
          <w:i w:val="0"/>
          <w:color w:val="1A1A1A"/>
          <w:sz w:val="22"/>
        </w:rPr>
        <w:t xml:space="preserve"> — the proven phase order + admin-shell pattern</w:t>
      </w:r>
    </w:p>
    <w:p>
      <w:pPr>
        <w:pStyle w:val="ListBullet"/>
        <w:spacing w:after="40"/>
      </w:pPr>
      <w:r>
        <w:rPr>
          <w:rFonts w:ascii="Arial" w:hAnsi="Arial"/>
          <w:b/>
          <w:i w:val="0"/>
          <w:color w:val="000000"/>
          <w:sz w:val="22"/>
        </w:rPr>
        <w:t>axrik-ai-features</w:t>
      </w:r>
      <w:r>
        <w:rPr>
          <w:rFonts w:ascii="Arial" w:hAnsi="Arial"/>
          <w:b w:val="0"/>
          <w:i w:val="0"/>
          <w:color w:val="1A1A1A"/>
          <w:sz w:val="22"/>
        </w:rPr>
        <w:t xml:space="preserve"> — one-proxy architecture + fallback recipes</w:t>
      </w:r>
    </w:p>
    <w:p>
      <w:pPr>
        <w:pStyle w:val="ListBullet"/>
        <w:spacing w:after="40"/>
      </w:pPr>
      <w:r>
        <w:rPr>
          <w:rFonts w:ascii="Arial" w:hAnsi="Arial"/>
          <w:b/>
          <w:i w:val="0"/>
          <w:color w:val="000000"/>
          <w:sz w:val="22"/>
        </w:rPr>
        <w:t>axrik-deliverables</w:t>
      </w:r>
      <w:r>
        <w:rPr>
          <w:rFonts w:ascii="Arial" w:hAnsi="Arial"/>
          <w:b w:val="0"/>
          <w:i w:val="0"/>
          <w:color w:val="1A1A1A"/>
          <w:sz w:val="22"/>
        </w:rPr>
        <w:t xml:space="preserve"> — all paperwork templates, branding + voice</w:t>
      </w:r>
    </w:p>
    <w:p>
      <w:pPr>
        <w:pStyle w:val="ListBullet"/>
        <w:spacing w:after="40"/>
      </w:pPr>
      <w:r>
        <w:rPr>
          <w:rFonts w:ascii="Arial" w:hAnsi="Arial"/>
          <w:b/>
          <w:i w:val="0"/>
          <w:color w:val="000000"/>
          <w:sz w:val="22"/>
        </w:rPr>
        <w:t>supabase-patterns (addendum)</w:t>
      </w:r>
      <w:r>
        <w:rPr>
          <w:rFonts w:ascii="Arial" w:hAnsi="Arial"/>
          <w:b w:val="0"/>
          <w:i w:val="0"/>
          <w:color w:val="1A1A1A"/>
          <w:sz w:val="22"/>
        </w:rPr>
        <w:t xml:space="preserve"> — day-one RLS, triggers, self-service users</w:t>
      </w:r>
    </w:p>
    <w:p>
      <w:pPr>
        <w:keepNext/>
        <w:spacing w:before="200" w:after="80"/>
      </w:pPr>
      <w:r>
        <w:rPr>
          <w:rFonts w:ascii="Arial" w:hAnsi="Arial"/>
          <w:b/>
          <w:i w:val="0"/>
          <w:caps/>
          <w:color w:val="18A06B"/>
          <w:sz w:val="18"/>
        </w:rPr>
        <w:t>Prompt library</w:t>
      </w:r>
    </w:p>
    <w:p>
      <w:pPr>
        <w:spacing w:after="160"/>
      </w:pPr>
      <w:r>
        <w:rPr>
          <w:rFonts w:ascii="Arial" w:hAnsi="Arial"/>
          <w:b w:val="0"/>
          <w:i w:val="0"/>
          <w:color w:val="1A1A1A"/>
          <w:sz w:val="22"/>
        </w:rPr>
        <w:t>Nine copy-paste prompts for the recurring moments — kickoff, backend, website, admin screen, AI feature, build summary, go-live, client email, hygiene sweep.</w:t>
      </w:r>
    </w:p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12"/>
        </w:rPr>
      </w:r>
    </w:p>
    <w:p>
      <w:pPr>
        <w:keepNext/>
        <w:spacing w:after="160"/>
        <w:pBdr>
          <w:bottom w:val="single" w:sz="18" w:space="4" w:color="18A06B"/>
        </w:pBdr>
      </w:pPr>
      <w:r>
        <w:rPr>
          <w:rFonts w:ascii="Arial" w:hAnsi="Arial"/>
          <w:b/>
          <w:i w:val="0"/>
          <w:color w:val="000000"/>
          <w:sz w:val="34"/>
        </w:rPr>
        <w:t>The next-build workflow — target ~15–18h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1A1A"/>
          <w:sz w:val="22"/>
        </w:rPr>
        <w:t>Discovery first, schema before screens.</w:t>
      </w:r>
      <w:r>
        <w:rPr>
          <w:rFonts w:ascii="Arial" w:hAnsi="Arial"/>
          <w:b w:val="0"/>
          <w:i w:val="0"/>
          <w:color w:val="1A1A1A"/>
          <w:sz w:val="22"/>
        </w:rPr>
        <w:t xml:space="preserve"> Model from the client's real spreadsheets/messages. The two ends are one system sharing one database.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1A1A"/>
          <w:sz w:val="22"/>
        </w:rPr>
        <w:t>Day one: clone the starter kit, run 001→002→003, customise the markers.</w:t>
      </w:r>
      <w:r>
        <w:rPr>
          <w:rFonts w:ascii="Arial" w:hAnsi="Arial"/>
          <w:b w:val="0"/>
          <w:i w:val="0"/>
          <w:color w:val="1A1A1A"/>
          <w:sz w:val="22"/>
        </w:rPr>
        <w:t xml:space="preserve"> Backend secure and ordering-ready in ~30 min.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1A1A"/>
          <w:sz w:val="22"/>
        </w:rPr>
        <w:t>Website → admin → AI → go-live.</w:t>
      </w:r>
      <w:r>
        <w:rPr>
          <w:rFonts w:ascii="Arial" w:hAnsi="Arial"/>
          <w:b w:val="0"/>
          <w:i w:val="0"/>
          <w:color w:val="1A1A1A"/>
          <w:sz w:val="22"/>
        </w:rPr>
        <w:t xml:space="preserve"> AI layers on last, always with a fallback.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1A1A"/>
          <w:sz w:val="22"/>
        </w:rPr>
        <w:t>Build config into app_settings, not constants.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1A1A"/>
          <w:sz w:val="22"/>
        </w:rPr>
        <w:t>End every session with the hygiene sweep.</w:t>
      </w:r>
      <w:r>
        <w:rPr>
          <w:rFonts w:ascii="Arial" w:hAnsi="Arial"/>
          <w:b w:val="0"/>
          <w:i w:val="0"/>
          <w:color w:val="1A1A1A"/>
          <w:sz w:val="22"/>
        </w:rPr>
        <w:t xml:space="preserve"> Kills the 'fix' commits.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1A1A"/>
          <w:sz w:val="22"/>
        </w:rPr>
        <w:t>Hand over from templates:</w:t>
      </w:r>
      <w:r>
        <w:rPr>
          <w:rFonts w:ascii="Arial" w:hAnsi="Arial"/>
          <w:b w:val="0"/>
          <w:i w:val="0"/>
          <w:color w:val="1A1A1A"/>
          <w:sz w:val="22"/>
        </w:rPr>
        <w:t xml:space="preserve"> go-live checklist, testing worksheet, build summary, by-the-numbers.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color w:val="5A6A5F"/>
        <w:sz w:val="16"/>
      </w:rPr>
      <w:t>AXRIK · Web App Development</w:t>
    </w:r>
    <w:r>
      <w:rPr>
        <w:rFonts w:ascii="Arial" w:hAnsi="Arial"/>
        <w:b w:val="0"/>
        <w:i w:val="0"/>
        <w:color w:val="5A6A5F"/>
        <w:sz w:val="16"/>
      </w:rPr>
      <w:t xml:space="preserve">     Build Efficiency Playbook · 17 June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