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360"/>
      </w:tblGrid>
      <w:tr>
        <w:tc>
          <w:tcPr>
            <w:tcW w:type="dxa" w:w="9360"/>
            <w:shd w:val="clear" w:color="auto" w:fill="00000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FFFFFF"/>
                <w:sz w:val="30"/>
              </w:rPr>
              <w:t>A</w:t>
            </w:r>
            <w:r>
              <w:rPr>
                <w:rFonts w:ascii="Arial" w:hAnsi="Arial"/>
                <w:b/>
                <w:i w:val="0"/>
                <w:color w:val="18A06B"/>
                <w:sz w:val="30"/>
              </w:rPr>
              <w:t>X</w:t>
            </w:r>
            <w:r>
              <w:rPr>
                <w:rFonts w:ascii="Arial" w:hAnsi="Arial"/>
                <w:b/>
                <w:i w:val="0"/>
                <w:color w:val="FFFFFF"/>
                <w:sz w:val="30"/>
              </w:rPr>
              <w:t>RIK</w:t>
            </w:r>
          </w:p>
          <w:p>
            <w:pPr>
              <w:spacing w:after="200"/>
            </w:pPr>
            <w:r>
              <w:rPr>
                <w:rFonts w:ascii="Arial" w:hAnsi="Arial"/>
                <w:b/>
                <w:i w:val="0"/>
                <w:color w:val="18A06B"/>
                <w:sz w:val="18"/>
              </w:rPr>
              <w:t>COPY-PASTE PROMPTS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FFFFFF"/>
                <w:sz w:val="48"/>
              </w:rPr>
              <w:t xml:space="preserve">The nine moments of </w:t>
            </w:r>
            <w:r>
              <w:rPr>
                <w:rFonts w:ascii="Arial" w:hAnsi="Arial"/>
                <w:b/>
                <w:i w:val="0"/>
                <w:color w:val="18A06B"/>
                <w:sz w:val="48"/>
              </w:rPr>
              <w:t>every build.</w:t>
            </w:r>
          </w:p>
          <w:p>
            <w:r>
              <w:rPr>
                <w:rFonts w:ascii="Arial" w:hAnsi="Arial"/>
                <w:b w:val="0"/>
                <w:i w:val="0"/>
                <w:color w:val="D7DEDA"/>
                <w:sz w:val="22"/>
              </w:rPr>
              <w:t>Copy-paste prompts for the recurring points in an AXRIK build. They assume the skills are installed and the starter kit is cloned. Replace the [bracketed] bits.</w:t>
            </w:r>
          </w:p>
        </w:tc>
      </w:tr>
    </w:tbl>
    <w:p>
      <w:pPr>
        <w:spacing w:after="0" w:before="0"/>
      </w:pPr>
      <w:r>
        <w:rPr>
          <w:rFonts w:ascii="Arial" w:hAnsi="Arial"/>
          <w:b w:val="0"/>
          <w:i w:val="0"/>
          <w:color w:val="1A1A1A"/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360"/>
      </w:tblGrid>
      <w:tr>
        <w:tc>
          <w:tcPr>
            <w:tcW w:type="dxa" w:w="9360"/>
            <w:shd w:val="clear" w:color="auto" w:fill="F5F5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i w:val="0"/>
                <w:color w:val="18A06B"/>
                <w:sz w:val="26"/>
              </w:rPr>
              <w:t xml:space="preserve">1  </w:t>
            </w:r>
            <w:r>
              <w:rPr>
                <w:rFonts w:ascii="Arial" w:hAnsi="Arial"/>
                <w:b/>
                <w:i w:val="0"/>
                <w:color w:val="000000"/>
                <w:sz w:val="25"/>
              </w:rPr>
              <w:t>New project kickoff</w:t>
            </w:r>
            <w:r>
              <w:rPr>
                <w:rFonts w:ascii="Arial" w:hAnsi="Arial"/>
                <w:b w:val="0"/>
                <w:i w:val="0"/>
                <w:color w:val="5A6A5F"/>
                <w:sz w:val="18"/>
              </w:rPr>
              <w:t xml:space="preserve">    · Project start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360"/>
      </w:tblGrid>
      <w:tr>
        <w:tc>
          <w:tcPr>
            <w:tcW w:type="dxa" w:w="9360"/>
            <w:shd w:val="clear" w:color="auto" w:fill="EAF6F0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8" w:space="0" w:color="18A06B"/>
            </w:tcBorders>
          </w:tcPr>
          <w:p>
            <w:r>
              <w:rPr>
                <w:rFonts w:ascii="Arial" w:hAnsi="Arial"/>
                <w:b w:val="0"/>
                <w:i/>
                <w:color w:val="243029"/>
                <w:sz w:val="21"/>
              </w:rPr>
              <w:t>New AXRIK client: [name], a [type of business] in [location]. Here are their current order messages / spreadsheets / invoice format [attach]. Following the kickoff workflow, propose the data model first (start from the starter kit and tell me what to customise), then the build phases. Don't write screens yet — confirm the schema with me first.</w:t>
            </w:r>
          </w:p>
        </w:tc>
      </w:tr>
    </w:tbl>
    <w:p>
      <w:pPr>
        <w:spacing w:after="0" w:before="0"/>
      </w:pPr>
      <w:r>
        <w:rPr>
          <w:rFonts w:ascii="Arial" w:hAnsi="Arial"/>
          <w:b w:val="0"/>
          <w:i w:val="0"/>
          <w:color w:val="1A1A1A"/>
          <w:sz w:val="4"/>
        </w:rPr>
      </w:r>
    </w:p>
    <w:p>
      <w:pPr>
        <w:spacing w:after="0" w:before="0"/>
      </w:pPr>
      <w:r>
        <w:rPr>
          <w:rFonts w:ascii="Arial" w:hAnsi="Arial"/>
          <w:b w:val="0"/>
          <w:i w:val="0"/>
          <w:color w:val="1A1A1A"/>
          <w:sz w:val="6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360"/>
      </w:tblGrid>
      <w:tr>
        <w:tc>
          <w:tcPr>
            <w:tcW w:type="dxa" w:w="9360"/>
            <w:shd w:val="clear" w:color="auto" w:fill="F5F5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i w:val="0"/>
                <w:color w:val="18A06B"/>
                <w:sz w:val="26"/>
              </w:rPr>
              <w:t xml:space="preserve">2  </w:t>
            </w:r>
            <w:r>
              <w:rPr>
                <w:rFonts w:ascii="Arial" w:hAnsi="Arial"/>
                <w:b/>
                <w:i w:val="0"/>
                <w:color w:val="000000"/>
                <w:sz w:val="25"/>
              </w:rPr>
              <w:t>Stand up the backend</w:t>
            </w:r>
            <w:r>
              <w:rPr>
                <w:rFonts w:ascii="Arial" w:hAnsi="Arial"/>
                <w:b w:val="0"/>
                <w:i w:val="0"/>
                <w:color w:val="5A6A5F"/>
                <w:sz w:val="18"/>
              </w:rPr>
              <w:t xml:space="preserve">    · Day one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360"/>
      </w:tblGrid>
      <w:tr>
        <w:tc>
          <w:tcPr>
            <w:tcW w:type="dxa" w:w="9360"/>
            <w:shd w:val="clear" w:color="auto" w:fill="EAF6F0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8" w:space="0" w:color="18A06B"/>
            </w:tcBorders>
          </w:tcPr>
          <w:p>
            <w:r>
              <w:rPr>
                <w:rFonts w:ascii="Arial" w:hAnsi="Arial"/>
                <w:b w:val="0"/>
                <w:i/>
                <w:color w:val="243029"/>
                <w:sz w:val="21"/>
              </w:rPr>
              <w:t>Clone the starter-kit migrations for [client]. Customise the &gt;&gt;&gt;-marked CHECK constraints: delivery days are [days], order channels are [channels], reference prefix [XX]. [Keep / drop] invoicing. Give me the final 001 / 002 / 003 SQL ready to run, the run order, and the exact 'promote owner to admin' snippet with [owner email].</w:t>
            </w:r>
          </w:p>
        </w:tc>
      </w:tr>
    </w:tbl>
    <w:p>
      <w:pPr>
        <w:spacing w:after="0" w:before="0"/>
      </w:pPr>
      <w:r>
        <w:rPr>
          <w:rFonts w:ascii="Arial" w:hAnsi="Arial"/>
          <w:b w:val="0"/>
          <w:i w:val="0"/>
          <w:color w:val="1A1A1A"/>
          <w:sz w:val="4"/>
        </w:rPr>
      </w:r>
    </w:p>
    <w:p>
      <w:pPr>
        <w:spacing w:after="0" w:before="0"/>
      </w:pPr>
      <w:r>
        <w:rPr>
          <w:rFonts w:ascii="Arial" w:hAnsi="Arial"/>
          <w:b w:val="0"/>
          <w:i w:val="0"/>
          <w:color w:val="1A1A1A"/>
          <w:sz w:val="6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360"/>
      </w:tblGrid>
      <w:tr>
        <w:tc>
          <w:tcPr>
            <w:tcW w:type="dxa" w:w="9360"/>
            <w:shd w:val="clear" w:color="auto" w:fill="F5F5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i w:val="0"/>
                <w:color w:val="18A06B"/>
                <w:sz w:val="26"/>
              </w:rPr>
              <w:t xml:space="preserve">3  </w:t>
            </w:r>
            <w:r>
              <w:rPr>
                <w:rFonts w:ascii="Arial" w:hAnsi="Arial"/>
                <w:b/>
                <w:i w:val="0"/>
                <w:color w:val="000000"/>
                <w:sz w:val="25"/>
              </w:rPr>
              <w:t>Customer website</w:t>
            </w:r>
            <w:r>
              <w:rPr>
                <w:rFonts w:ascii="Arial" w:hAnsi="Arial"/>
                <w:b w:val="0"/>
                <w:i w:val="0"/>
                <w:color w:val="5A6A5F"/>
                <w:sz w:val="18"/>
              </w:rPr>
              <w:t xml:space="preserve">    · Phase 1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360"/>
      </w:tblGrid>
      <w:tr>
        <w:tc>
          <w:tcPr>
            <w:tcW w:type="dxa" w:w="9360"/>
            <w:shd w:val="clear" w:color="auto" w:fill="EAF6F0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8" w:space="0" w:color="18A06B"/>
            </w:tcBorders>
          </w:tcPr>
          <w:p>
            <w:r>
              <w:rPr>
                <w:rFonts w:ascii="Arial" w:hAnsi="Arial"/>
                <w:b w:val="0"/>
                <w:i/>
                <w:color w:val="243029"/>
                <w:sz w:val="21"/>
              </w:rPr>
              <w:t>Build the [client] customer website as a single responsive HTML file in their branding [colours/logo]. Lead with the business problem and outcomes, not tech. Sections: hero, about, how it works, product showcase pulled live from Supabase products, trade/wholesale path, contact form (EmailJS). Wire the order form to the place_order RPC with the slot picker.</w:t>
            </w:r>
          </w:p>
        </w:tc>
      </w:tr>
    </w:tbl>
    <w:p>
      <w:pPr>
        <w:spacing w:after="0" w:before="0"/>
      </w:pPr>
      <w:r>
        <w:rPr>
          <w:rFonts w:ascii="Arial" w:hAnsi="Arial"/>
          <w:b w:val="0"/>
          <w:i w:val="0"/>
          <w:color w:val="1A1A1A"/>
          <w:sz w:val="4"/>
        </w:rPr>
      </w:r>
    </w:p>
    <w:p>
      <w:pPr>
        <w:spacing w:after="0" w:before="0"/>
      </w:pPr>
      <w:r>
        <w:rPr>
          <w:rFonts w:ascii="Arial" w:hAnsi="Arial"/>
          <w:b w:val="0"/>
          <w:i w:val="0"/>
          <w:color w:val="1A1A1A"/>
          <w:sz w:val="6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360"/>
      </w:tblGrid>
      <w:tr>
        <w:tc>
          <w:tcPr>
            <w:tcW w:type="dxa" w:w="9360"/>
            <w:shd w:val="clear" w:color="auto" w:fill="F5F5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i w:val="0"/>
                <w:color w:val="18A06B"/>
                <w:sz w:val="26"/>
              </w:rPr>
              <w:t xml:space="preserve">4  </w:t>
            </w:r>
            <w:r>
              <w:rPr>
                <w:rFonts w:ascii="Arial" w:hAnsi="Arial"/>
                <w:b/>
                <w:i w:val="0"/>
                <w:color w:val="000000"/>
                <w:sz w:val="25"/>
              </w:rPr>
              <w:t>Admin app screen</w:t>
            </w:r>
            <w:r>
              <w:rPr>
                <w:rFonts w:ascii="Arial" w:hAnsi="Arial"/>
                <w:b w:val="0"/>
                <w:i w:val="0"/>
                <w:color w:val="5A6A5F"/>
                <w:sz w:val="18"/>
              </w:rPr>
              <w:t xml:space="preserve">    · Phase 2 · repeat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360"/>
      </w:tblGrid>
      <w:tr>
        <w:tc>
          <w:tcPr>
            <w:tcW w:type="dxa" w:w="9360"/>
            <w:shd w:val="clear" w:color="auto" w:fill="EAF6F0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8" w:space="0" w:color="18A06B"/>
            </w:tcBorders>
          </w:tcPr>
          <w:p>
            <w:r>
              <w:rPr>
                <w:rFonts w:ascii="Arial" w:hAnsi="Arial"/>
                <w:b w:val="0"/>
                <w:i/>
                <w:color w:val="243029"/>
                <w:sz w:val="21"/>
              </w:rPr>
              <w:t>Add a [feature] page to the [client] admin app, following the existing showPage() shell. It should render from a single live Supabase fetch on open, respect the admin/staff RLS roles, and read any config from app_settings. Match the look of the existing pages. Also add a matching entry to the in-admin HELP_PAGES guide.</w:t>
            </w:r>
          </w:p>
        </w:tc>
      </w:tr>
    </w:tbl>
    <w:p>
      <w:pPr>
        <w:spacing w:after="0" w:before="0"/>
      </w:pPr>
      <w:r>
        <w:rPr>
          <w:rFonts w:ascii="Arial" w:hAnsi="Arial"/>
          <w:b w:val="0"/>
          <w:i w:val="0"/>
          <w:color w:val="1A1A1A"/>
          <w:sz w:val="4"/>
        </w:rPr>
      </w:r>
    </w:p>
    <w:p>
      <w:pPr>
        <w:spacing w:after="0" w:before="0"/>
      </w:pPr>
      <w:r>
        <w:rPr>
          <w:rFonts w:ascii="Arial" w:hAnsi="Arial"/>
          <w:b w:val="0"/>
          <w:i w:val="0"/>
          <w:color w:val="1A1A1A"/>
          <w:sz w:val="6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360"/>
      </w:tblGrid>
      <w:tr>
        <w:tc>
          <w:tcPr>
            <w:tcW w:type="dxa" w:w="9360"/>
            <w:shd w:val="clear" w:color="auto" w:fill="F5F5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i w:val="0"/>
                <w:color w:val="18A06B"/>
                <w:sz w:val="26"/>
              </w:rPr>
              <w:t xml:space="preserve">5  </w:t>
            </w:r>
            <w:r>
              <w:rPr>
                <w:rFonts w:ascii="Arial" w:hAnsi="Arial"/>
                <w:b/>
                <w:i w:val="0"/>
                <w:color w:val="000000"/>
                <w:sz w:val="25"/>
              </w:rPr>
              <w:t>Add an AI feature</w:t>
            </w:r>
            <w:r>
              <w:rPr>
                <w:rFonts w:ascii="Arial" w:hAnsi="Arial"/>
                <w:b w:val="0"/>
                <w:i w:val="0"/>
                <w:color w:val="5A6A5F"/>
                <w:sz w:val="18"/>
              </w:rPr>
              <w:t xml:space="preserve">    · Phase 3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360"/>
      </w:tblGrid>
      <w:tr>
        <w:tc>
          <w:tcPr>
            <w:tcW w:type="dxa" w:w="9360"/>
            <w:shd w:val="clear" w:color="auto" w:fill="EAF6F0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8" w:space="0" w:color="18A06B"/>
            </w:tcBorders>
          </w:tcPr>
          <w:p>
            <w:r>
              <w:rPr>
                <w:rFonts w:ascii="Arial" w:hAnsi="Arial"/>
                <w:b w:val="0"/>
                <w:i/>
                <w:color w:val="243029"/>
                <w:sz w:val="21"/>
              </w:rPr>
              <w:t>Add an AI [order-parse / message-redraft / social-post / summary] feature to [client], following the AI-features pattern. Route it through the existing /.netlify/functions/ai proxy, and build a non-AI fallback so the button always works if the key is missing. Keep the client in control — AI drafts, they confirm before send/save.</w:t>
            </w:r>
          </w:p>
        </w:tc>
      </w:tr>
    </w:tbl>
    <w:p>
      <w:pPr>
        <w:spacing w:after="0" w:before="0"/>
      </w:pPr>
      <w:r>
        <w:rPr>
          <w:rFonts w:ascii="Arial" w:hAnsi="Arial"/>
          <w:b w:val="0"/>
          <w:i w:val="0"/>
          <w:color w:val="1A1A1A"/>
          <w:sz w:val="4"/>
        </w:rPr>
      </w:r>
    </w:p>
    <w:p>
      <w:pPr>
        <w:spacing w:after="0" w:before="0"/>
      </w:pPr>
      <w:r>
        <w:rPr>
          <w:rFonts w:ascii="Arial" w:hAnsi="Arial"/>
          <w:b w:val="0"/>
          <w:i w:val="0"/>
          <w:color w:val="1A1A1A"/>
          <w:sz w:val="6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360"/>
      </w:tblGrid>
      <w:tr>
        <w:tc>
          <w:tcPr>
            <w:tcW w:type="dxa" w:w="9360"/>
            <w:shd w:val="clear" w:color="auto" w:fill="F5F5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i w:val="0"/>
                <w:color w:val="18A06B"/>
                <w:sz w:val="26"/>
              </w:rPr>
              <w:t xml:space="preserve">6  </w:t>
            </w:r>
            <w:r>
              <w:rPr>
                <w:rFonts w:ascii="Arial" w:hAnsi="Arial"/>
                <w:b/>
                <w:i w:val="0"/>
                <w:color w:val="000000"/>
                <w:sz w:val="25"/>
              </w:rPr>
              <w:t>Update the build summary</w:t>
            </w:r>
            <w:r>
              <w:rPr>
                <w:rFonts w:ascii="Arial" w:hAnsi="Arial"/>
                <w:b w:val="0"/>
                <w:i w:val="0"/>
                <w:color w:val="5A6A5F"/>
                <w:sz w:val="18"/>
              </w:rPr>
              <w:t xml:space="preserve">    · End of session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360"/>
      </w:tblGrid>
      <w:tr>
        <w:tc>
          <w:tcPr>
            <w:tcW w:type="dxa" w:w="9360"/>
            <w:shd w:val="clear" w:color="auto" w:fill="EAF6F0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8" w:space="0" w:color="18A06B"/>
            </w:tcBorders>
          </w:tcPr>
          <w:p>
            <w:r>
              <w:rPr>
                <w:rFonts w:ascii="Arial" w:hAnsi="Arial"/>
                <w:b w:val="0"/>
                <w:i/>
                <w:color w:val="243029"/>
                <w:sz w:val="21"/>
              </w:rPr>
              <w:t>Update build summary: [what was done this session].</w:t>
            </w:r>
          </w:p>
        </w:tc>
      </w:tr>
    </w:tbl>
    <w:p>
      <w:pPr>
        <w:spacing w:after="0" w:before="0"/>
      </w:pPr>
      <w:r>
        <w:rPr>
          <w:rFonts w:ascii="Arial" w:hAnsi="Arial"/>
          <w:b w:val="0"/>
          <w:i w:val="0"/>
          <w:color w:val="1A1A1A"/>
          <w:sz w:val="4"/>
        </w:rPr>
      </w:r>
    </w:p>
    <w:p>
      <w:pPr>
        <w:spacing w:after="160"/>
      </w:pPr>
      <w:r>
        <w:rPr>
          <w:rFonts w:ascii="Arial" w:hAnsi="Arial"/>
          <w:b w:val="0"/>
          <w:i/>
          <w:color w:val="5A6A5F"/>
          <w:sz w:val="19"/>
        </w:rPr>
        <w:t>Replaces the summary in place AND posts to the AXRIK portal via the portal-update script — same filenames, never numbered versions.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360"/>
      </w:tblGrid>
      <w:tr>
        <w:tc>
          <w:tcPr>
            <w:tcW w:type="dxa" w:w="9360"/>
            <w:shd w:val="clear" w:color="auto" w:fill="F5F5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i w:val="0"/>
                <w:color w:val="18A06B"/>
                <w:sz w:val="26"/>
              </w:rPr>
              <w:t xml:space="preserve">7  </w:t>
            </w:r>
            <w:r>
              <w:rPr>
                <w:rFonts w:ascii="Arial" w:hAnsi="Arial"/>
                <w:b/>
                <w:i w:val="0"/>
                <w:color w:val="000000"/>
                <w:sz w:val="25"/>
              </w:rPr>
              <w:t>Go-live &amp; handover pack</w:t>
            </w:r>
            <w:r>
              <w:rPr>
                <w:rFonts w:ascii="Arial" w:hAnsi="Arial"/>
                <w:b w:val="0"/>
                <w:i w:val="0"/>
                <w:color w:val="5A6A5F"/>
                <w:sz w:val="18"/>
              </w:rPr>
              <w:t xml:space="preserve">    · Launch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360"/>
      </w:tblGrid>
      <w:tr>
        <w:tc>
          <w:tcPr>
            <w:tcW w:type="dxa" w:w="9360"/>
            <w:shd w:val="clear" w:color="auto" w:fill="EAF6F0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8" w:space="0" w:color="18A06B"/>
            </w:tcBorders>
          </w:tcPr>
          <w:p>
            <w:r>
              <w:rPr>
                <w:rFonts w:ascii="Arial" w:hAnsi="Arial"/>
                <w:b w:val="0"/>
                <w:i/>
                <w:color w:val="243029"/>
                <w:sz w:val="21"/>
              </w:rPr>
              <w:t>[Client] is ready for go-live. Following the deliverables pattern, produce: the go-live checklist (DNS, Supabase auth invite + admin promotion, storage buckets, Netlify env vars, EmailJS IDs, data cleanup, smoke tests), a client-runnable testing worksheet, and refresh the build summary. AXRIK black/white/green branding, first-person as me, UK English.</w:t>
            </w:r>
          </w:p>
        </w:tc>
      </w:tr>
    </w:tbl>
    <w:p>
      <w:pPr>
        <w:spacing w:after="0" w:before="0"/>
      </w:pPr>
      <w:r>
        <w:rPr>
          <w:rFonts w:ascii="Arial" w:hAnsi="Arial"/>
          <w:b w:val="0"/>
          <w:i w:val="0"/>
          <w:color w:val="1A1A1A"/>
          <w:sz w:val="4"/>
        </w:rPr>
      </w:r>
    </w:p>
    <w:p>
      <w:pPr>
        <w:spacing w:after="0" w:before="0"/>
      </w:pPr>
      <w:r>
        <w:rPr>
          <w:rFonts w:ascii="Arial" w:hAnsi="Arial"/>
          <w:b w:val="0"/>
          <w:i w:val="0"/>
          <w:color w:val="1A1A1A"/>
          <w:sz w:val="6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360"/>
      </w:tblGrid>
      <w:tr>
        <w:tc>
          <w:tcPr>
            <w:tcW w:type="dxa" w:w="9360"/>
            <w:shd w:val="clear" w:color="auto" w:fill="F5F5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i w:val="0"/>
                <w:color w:val="18A06B"/>
                <w:sz w:val="26"/>
              </w:rPr>
              <w:t xml:space="preserve">8  </w:t>
            </w:r>
            <w:r>
              <w:rPr>
                <w:rFonts w:ascii="Arial" w:hAnsi="Arial"/>
                <w:b/>
                <w:i w:val="0"/>
                <w:color w:val="000000"/>
                <w:sz w:val="25"/>
              </w:rPr>
              <w:t>Client update email</w:t>
            </w:r>
            <w:r>
              <w:rPr>
                <w:rFonts w:ascii="Arial" w:hAnsi="Arial"/>
                <w:b w:val="0"/>
                <w:i w:val="0"/>
                <w:color w:val="5A6A5F"/>
                <w:sz w:val="18"/>
              </w:rPr>
              <w:t xml:space="preserve">    · Any time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360"/>
      </w:tblGrid>
      <w:tr>
        <w:tc>
          <w:tcPr>
            <w:tcW w:type="dxa" w:w="9360"/>
            <w:shd w:val="clear" w:color="auto" w:fill="EAF6F0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8" w:space="0" w:color="18A06B"/>
            </w:tcBorders>
          </w:tcPr>
          <w:p>
            <w:r>
              <w:rPr>
                <w:rFonts w:ascii="Arial" w:hAnsi="Arial"/>
                <w:b w:val="0"/>
                <w:i/>
                <w:color w:val="243029"/>
                <w:sz w:val="21"/>
              </w:rPr>
              <w:t>Draft a short update email to [client] about [what's new]. First person as me, warm, UK English, lead with the outcome, flag anything I need from them, end with what's next. No jargon.</w:t>
            </w:r>
          </w:p>
        </w:tc>
      </w:tr>
    </w:tbl>
    <w:p>
      <w:pPr>
        <w:spacing w:after="0" w:before="0"/>
      </w:pPr>
      <w:r>
        <w:rPr>
          <w:rFonts w:ascii="Arial" w:hAnsi="Arial"/>
          <w:b w:val="0"/>
          <w:i w:val="0"/>
          <w:color w:val="1A1A1A"/>
          <w:sz w:val="4"/>
        </w:rPr>
      </w:r>
    </w:p>
    <w:p>
      <w:pPr>
        <w:spacing w:after="0" w:before="0"/>
      </w:pPr>
      <w:r>
        <w:rPr>
          <w:rFonts w:ascii="Arial" w:hAnsi="Arial"/>
          <w:b w:val="0"/>
          <w:i w:val="0"/>
          <w:color w:val="1A1A1A"/>
          <w:sz w:val="6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360"/>
      </w:tblGrid>
      <w:tr>
        <w:tc>
          <w:tcPr>
            <w:tcW w:type="dxa" w:w="9360"/>
            <w:shd w:val="clear" w:color="auto" w:fill="F5F5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i w:val="0"/>
                <w:color w:val="18A06B"/>
                <w:sz w:val="26"/>
              </w:rPr>
              <w:t xml:space="preserve">9  </w:t>
            </w:r>
            <w:r>
              <w:rPr>
                <w:rFonts w:ascii="Arial" w:hAnsi="Arial"/>
                <w:b/>
                <w:i w:val="0"/>
                <w:color w:val="000000"/>
                <w:sz w:val="25"/>
              </w:rPr>
              <w:t>End-of-session hygiene</w:t>
            </w:r>
            <w:r>
              <w:rPr>
                <w:rFonts w:ascii="Arial" w:hAnsi="Arial"/>
                <w:b w:val="0"/>
                <w:i w:val="0"/>
                <w:color w:val="5A6A5F"/>
                <w:sz w:val="18"/>
              </w:rPr>
              <w:t xml:space="preserve">    · Every session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360"/>
      </w:tblGrid>
      <w:tr>
        <w:tc>
          <w:tcPr>
            <w:tcW w:type="dxa" w:w="9360"/>
            <w:shd w:val="clear" w:color="auto" w:fill="EAF6F0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8" w:space="0" w:color="18A06B"/>
            </w:tcBorders>
          </w:tcPr>
          <w:p>
            <w:r>
              <w:rPr>
                <w:rFonts w:ascii="Arial" w:hAnsi="Arial"/>
                <w:b w:val="0"/>
                <w:i/>
                <w:color w:val="243029"/>
                <w:sz w:val="21"/>
              </w:rPr>
              <w:t>Before we finish: scan the build for leftover placeholders or stale integration notes (e.g. unconfigured providers), confirm every table has RLS, confirm every AI feature has a fallback, and list anything still stubbed so it doesn't surprise me next session.</w:t>
            </w:r>
          </w:p>
        </w:tc>
      </w:tr>
    </w:tbl>
    <w:p>
      <w:pPr>
        <w:spacing w:after="0" w:before="0"/>
      </w:pPr>
      <w:r>
        <w:rPr>
          <w:rFonts w:ascii="Arial" w:hAnsi="Arial"/>
          <w:b w:val="0"/>
          <w:i w:val="0"/>
          <w:color w:val="1A1A1A"/>
          <w:sz w:val="4"/>
        </w:rPr>
      </w:r>
    </w:p>
    <w:p>
      <w:pPr>
        <w:spacing w:after="160"/>
      </w:pPr>
      <w:r>
        <w:rPr>
          <w:rFonts w:ascii="Arial" w:hAnsi="Arial"/>
          <w:b w:val="0"/>
          <w:i/>
          <w:color w:val="5A6A5F"/>
          <w:sz w:val="19"/>
        </w:rPr>
        <w:t>This is the one that kills the 'fix' commits that ate time on the first build.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b w:val="0"/>
        <w:i w:val="0"/>
        <w:color w:val="5A6A5F"/>
        <w:sz w:val="16"/>
      </w:rPr>
      <w:t>AXRIK · Web App Development</w:t>
    </w:r>
    <w:r>
      <w:rPr>
        <w:rFonts w:ascii="Arial" w:hAnsi="Arial"/>
        <w:b w:val="0"/>
        <w:i w:val="0"/>
        <w:color w:val="5A6A5F"/>
        <w:sz w:val="16"/>
      </w:rPr>
      <w:t xml:space="preserve">     Prompt Library · 17 June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