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after="280"/>
        <w:jc w:val="left"/>
      </w:pPr>
      <w:r>
        <w:rPr>
          <w:rFonts w:ascii="Arial" w:hAnsi="Arial"/>
          <w:b/>
          <w:color w:val="000000"/>
          <w:sz w:val="56"/>
        </w:rPr>
        <w:t>Supplier Service Frontend and Backend Interaction Flow</w:t>
      </w:r>
    </w:p>
    <w:p>
      <w:pPr>
        <w:spacing w:after="440"/>
      </w:pPr>
      <w:r>
        <w:rPr>
          <w:rFonts w:ascii="Arial" w:hAnsi="Arial"/>
          <w:color w:val="666666"/>
          <w:sz w:val="30"/>
        </w:rPr>
        <w:t>Friend on Campus Technical Walkthrough</w:t>
      </w:r>
    </w:p>
    <w:p>
      <w:pPr>
        <w:spacing w:after="560"/>
      </w:pPr>
      <w:r>
        <w:rPr>
          <w:rFonts w:ascii="Arial" w:hAnsi="Arial"/>
          <w:color w:val="666666"/>
          <w:sz w:val="21"/>
        </w:rPr>
        <w:t>Repository review completed 27 September 2026</w:t>
      </w:r>
    </w:p>
    <w:p>
      <w:pPr>
        <w:spacing w:after="140" w:line="271" w:lineRule="auto"/>
      </w:pPr>
      <w:r>
        <w:rPr>
          <w:rFonts w:ascii="Arial" w:hAnsi="Arial"/>
          <w:color w:val="000000"/>
          <w:sz w:val="21"/>
        </w:rPr>
        <w:t>The supplier workflow is a server mediated integration. React components call same-origin Next.js Route Handlers rather than calling the Supplier Service directly. The Route Handlers read an HttpOnly access-token cookie, forward that token as an Authorization Bearer header, and return a sanitized JSON response. The Supplier Service independently verifies the token, applies role-based access control, runs the requested use case, and reads or writes its own PostgreSQL database.</w:t>
      </w:r>
    </w:p>
    <w:p>
      <w:pPr>
        <w:pStyle w:val="Heading2"/>
        <w:keepNext/>
      </w:pPr>
      <w:r>
        <w:t>Document purpose</w:t>
      </w:r>
    </w:p>
    <w:p>
      <w:pPr>
        <w:spacing w:after="140" w:line="271" w:lineRule="auto"/>
      </w:pPr>
      <w:r>
        <w:rPr>
          <w:rFonts w:ascii="Arial" w:hAnsi="Arial"/>
          <w:color w:val="000000"/>
          <w:sz w:val="21"/>
        </w:rPr>
        <w:t>This document explains the implemented student and administrator supplier flows, the responsibility of each layer, the request and response contracts, authentication and refresh behavior, error handling, persistence rules, and current limitations. It is intended for implementation review and presentation preparation.</w:t>
      </w:r>
    </w:p>
    <w:p>
      <w:pPr>
        <w:pStyle w:val="Heading2"/>
        <w:keepNext/>
      </w:pPr>
      <w:r>
        <w:t>Document map</w:t>
      </w:r>
    </w:p>
    <w:p>
      <w:pPr>
        <w:pStyle w:val="ListBullet"/>
        <w:spacing w:after="60" w:line="259" w:lineRule="auto"/>
      </w:pPr>
      <w:r>
        <w:rPr>
          <w:rFonts w:ascii="Arial" w:hAnsi="Arial"/>
          <w:color w:val="000000"/>
          <w:sz w:val="21"/>
        </w:rPr>
        <w:t>System boundaries and runtime components</w:t>
      </w:r>
    </w:p>
    <w:p>
      <w:pPr>
        <w:pStyle w:val="ListBullet"/>
        <w:spacing w:after="60" w:line="259" w:lineRule="auto"/>
      </w:pPr>
      <w:r>
        <w:rPr>
          <w:rFonts w:ascii="Arial" w:hAnsi="Arial"/>
          <w:color w:val="000000"/>
          <w:sz w:val="21"/>
        </w:rPr>
        <w:t>Authentication and session handling</w:t>
      </w:r>
    </w:p>
    <w:p>
      <w:pPr>
        <w:pStyle w:val="ListBullet"/>
        <w:spacing w:after="60" w:line="259" w:lineRule="auto"/>
      </w:pPr>
      <w:r>
        <w:rPr>
          <w:rFonts w:ascii="Arial" w:hAnsi="Arial"/>
          <w:color w:val="000000"/>
          <w:sz w:val="21"/>
        </w:rPr>
        <w:t>Student catalog browsing and supplier details</w:t>
      </w:r>
    </w:p>
    <w:p>
      <w:pPr>
        <w:pStyle w:val="ListBullet"/>
        <w:spacing w:after="60" w:line="259" w:lineRule="auto"/>
      </w:pPr>
      <w:r>
        <w:rPr>
          <w:rFonts w:ascii="Arial" w:hAnsi="Arial"/>
          <w:color w:val="000000"/>
          <w:sz w:val="21"/>
        </w:rPr>
        <w:t>Administrator create update location update and deactivation flows</w:t>
      </w:r>
    </w:p>
    <w:p>
      <w:pPr>
        <w:pStyle w:val="ListBullet"/>
        <w:spacing w:after="60" w:line="259" w:lineRule="auto"/>
      </w:pPr>
      <w:r>
        <w:rPr>
          <w:rFonts w:ascii="Arial" w:hAnsi="Arial"/>
          <w:color w:val="000000"/>
          <w:sz w:val="21"/>
        </w:rPr>
        <w:t>Backend layers database model validation errors testing and limitations</w:t>
      </w:r>
    </w:p>
    <w:p>
      <w:pPr>
        <w:sectPr>
          <w:pgSz w:w="12240" w:h="15840"/>
          <w:pgMar w:top="1037" w:right="1123" w:bottom="979" w:left="1123" w:header="403" w:footer="432" w:gutter="0"/>
          <w:cols w:space="720"/>
          <w:docGrid w:linePitch="360"/>
        </w:sectPr>
      </w:pPr>
    </w:p>
    <w:p>
      <w:pPr>
        <w:pStyle w:val="Heading1"/>
        <w:keepNext/>
      </w:pPr>
      <w:r>
        <w:t>System boundaries</w:t>
      </w:r>
    </w:p>
    <w:p>
      <w:pPr>
        <w:spacing w:after="140" w:line="271" w:lineRule="auto"/>
      </w:pPr>
      <w:r>
        <w:rPr>
          <w:rFonts w:ascii="Arial" w:hAnsi="Arial"/>
          <w:color w:val="000000"/>
          <w:sz w:val="21"/>
        </w:rPr>
        <w:t>The web app owns presentation, navigation, browser state, and a temporary server-side HTTP adapter. The User Service owns accounts, sessions, and the administrator claim. The Supplier Service owns suppliers, pickup locations, categories, and catalog availability. Each backend keeps its own database; the web app never reads either database directly.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shd w:fill="17365D"/>
            <w:tcMar>
              <w:top w:w="110" w:type="dxa"/>
              <w:start w:w="120" w:type="dxa"/>
              <w:bottom w:w="110" w:type="dxa"/>
              <w:end w:w="120" w:type="dxa"/>
            </w:tcMar>
            <w:vAlign w:val="center"/>
          </w:tcPr>
          <w:p>
            <w:pPr>
              <w:spacing w:after="0"/>
              <w:jc w:val="left"/>
            </w:pPr>
            <w:r/>
            <w:r>
              <w:rPr>
                <w:rFonts w:ascii="Arial" w:hAnsi="Arial"/>
                <w:b/>
                <w:color w:val="FFFFFF"/>
                <w:sz w:val="19"/>
              </w:rPr>
              <w:t>Component</w:t>
            </w:r>
          </w:p>
        </w:tc>
        <w:tc>
          <w:tcPr>
            <w:tcW w:type="dxa" w:w="4536"/>
            <w:shd w:fill="17365D"/>
            <w:tcMar>
              <w:top w:w="110" w:type="dxa"/>
              <w:start w:w="120" w:type="dxa"/>
              <w:bottom w:w="110" w:type="dxa"/>
              <w:end w:w="120" w:type="dxa"/>
            </w:tcMar>
            <w:vAlign w:val="center"/>
          </w:tcPr>
          <w:p>
            <w:pPr>
              <w:spacing w:after="0"/>
              <w:jc w:val="left"/>
            </w:pPr>
            <w:r/>
            <w:r>
              <w:rPr>
                <w:rFonts w:ascii="Arial" w:hAnsi="Arial"/>
                <w:b/>
                <w:color w:val="FFFFFF"/>
                <w:sz w:val="19"/>
              </w:rPr>
              <w:t>Implemented responsibility</w:t>
            </w:r>
          </w:p>
        </w:tc>
        <w:tc>
          <w:tcPr>
            <w:tcW w:type="dxa" w:w="3672"/>
            <w:shd w:fill="17365D"/>
            <w:tcMar>
              <w:top w:w="110" w:type="dxa"/>
              <w:start w:w="120" w:type="dxa"/>
              <w:bottom w:w="110" w:type="dxa"/>
              <w:end w:w="120" w:type="dxa"/>
            </w:tcMar>
            <w:vAlign w:val="center"/>
          </w:tcPr>
          <w:p>
            <w:pPr>
              <w:spacing w:after="0"/>
              <w:jc w:val="left"/>
            </w:pPr>
            <w:r/>
            <w:r>
              <w:rPr>
                <w:rFonts w:ascii="Arial" w:hAnsi="Arial"/>
                <w:b/>
                <w:color w:val="FFFFFF"/>
                <w:sz w:val="19"/>
              </w:rPr>
              <w:t>Does not own</w:t>
            </w:r>
          </w:p>
        </w:tc>
      </w:tr>
      <w:tr>
        <w:tc>
          <w:tcPr>
            <w:tcW w:type="dxa" w:w="1800"/>
            <w:tcMar>
              <w:top w:w="110" w:type="dxa"/>
              <w:start w:w="120" w:type="dxa"/>
              <w:bottom w:w="110" w:type="dxa"/>
              <w:end w:w="120" w:type="dxa"/>
            </w:tcMar>
            <w:vAlign w:val="center"/>
          </w:tcPr>
          <w:p>
            <w:pPr>
              <w:spacing w:after="0" w:line="252" w:lineRule="auto"/>
            </w:pPr>
            <w:r>
              <w:rPr>
                <w:rFonts w:ascii="Arial" w:hAnsi="Arial"/>
                <w:color w:val="000000"/>
                <w:sz w:val="18"/>
              </w:rPr>
              <w:t>React frontend</w:t>
            </w:r>
          </w:p>
        </w:tc>
        <w:tc>
          <w:tcPr>
            <w:tcW w:type="dxa" w:w="4536"/>
            <w:tcMar>
              <w:top w:w="110" w:type="dxa"/>
              <w:start w:w="120" w:type="dxa"/>
              <w:bottom w:w="110" w:type="dxa"/>
              <w:end w:w="120" w:type="dxa"/>
            </w:tcMar>
            <w:vAlign w:val="center"/>
          </w:tcPr>
          <w:p>
            <w:pPr>
              <w:spacing w:after="0" w:line="252" w:lineRule="auto"/>
            </w:pPr>
            <w:r>
              <w:rPr>
                <w:rFonts w:ascii="Arial" w:hAnsi="Arial"/>
                <w:color w:val="000000"/>
                <w:sz w:val="18"/>
              </w:rPr>
              <w:t>Pages, forms, search, filtering, loading states, confirmation UI</w:t>
            </w:r>
          </w:p>
        </w:tc>
        <w:tc>
          <w:tcPr>
            <w:tcW w:type="dxa" w:w="3672"/>
            <w:tcMar>
              <w:top w:w="110" w:type="dxa"/>
              <w:start w:w="120" w:type="dxa"/>
              <w:bottom w:w="110" w:type="dxa"/>
              <w:end w:w="120" w:type="dxa"/>
            </w:tcMar>
            <w:vAlign w:val="center"/>
          </w:tcPr>
          <w:p>
            <w:pPr>
              <w:spacing w:after="0" w:line="252" w:lineRule="auto"/>
            </w:pPr>
            <w:r>
              <w:rPr>
                <w:rFonts w:ascii="Arial" w:hAnsi="Arial"/>
                <w:color w:val="000000"/>
                <w:sz w:val="18"/>
              </w:rPr>
              <w:t>Supplier truth, JWT signing, database records</w:t>
            </w:r>
          </w:p>
        </w:tc>
      </w:tr>
      <w:tr>
        <w:tc>
          <w:tcPr>
            <w:tcW w:type="dxa" w:w="1800"/>
            <w:shd w:fill="EDF3F8"/>
            <w:tcMar>
              <w:top w:w="110" w:type="dxa"/>
              <w:start w:w="120" w:type="dxa"/>
              <w:bottom w:w="110" w:type="dxa"/>
              <w:end w:w="120" w:type="dxa"/>
            </w:tcMar>
            <w:vAlign w:val="center"/>
          </w:tcPr>
          <w:p>
            <w:pPr>
              <w:spacing w:after="0" w:line="252" w:lineRule="auto"/>
            </w:pPr>
            <w:r>
              <w:rPr>
                <w:rFonts w:ascii="Arial" w:hAnsi="Arial"/>
                <w:color w:val="000000"/>
                <w:sz w:val="18"/>
              </w:rPr>
              <w:t>Next.js Route Handlers</w:t>
            </w:r>
          </w:p>
        </w:tc>
        <w:tc>
          <w:tcPr>
            <w:tcW w:type="dxa" w:w="4536"/>
            <w:shd w:fill="EDF3F8"/>
            <w:tcMar>
              <w:top w:w="110" w:type="dxa"/>
              <w:start w:w="120" w:type="dxa"/>
              <w:bottom w:w="110" w:type="dxa"/>
              <w:end w:w="120" w:type="dxa"/>
            </w:tcMar>
            <w:vAlign w:val="center"/>
          </w:tcPr>
          <w:p>
            <w:pPr>
              <w:spacing w:after="0" w:line="252" w:lineRule="auto"/>
            </w:pPr>
            <w:r>
              <w:rPr>
                <w:rFonts w:ascii="Arial" w:hAnsi="Arial"/>
                <w:color w:val="000000"/>
                <w:sz w:val="18"/>
              </w:rPr>
              <w:t>Same-origin API adapter, cookie access, upstream forwarding, response sanitization</w:t>
            </w:r>
          </w:p>
        </w:tc>
        <w:tc>
          <w:tcPr>
            <w:tcW w:type="dxa" w:w="3672"/>
            <w:shd w:fill="EDF3F8"/>
            <w:tcMar>
              <w:top w:w="110" w:type="dxa"/>
              <w:start w:w="120" w:type="dxa"/>
              <w:bottom w:w="110" w:type="dxa"/>
              <w:end w:w="120" w:type="dxa"/>
            </w:tcMar>
            <w:vAlign w:val="center"/>
          </w:tcPr>
          <w:p>
            <w:pPr>
              <w:spacing w:after="0" w:line="252" w:lineRule="auto"/>
            </w:pPr>
            <w:r>
              <w:rPr>
                <w:rFonts w:ascii="Arial" w:hAnsi="Arial"/>
                <w:color w:val="000000"/>
                <w:sz w:val="18"/>
              </w:rPr>
              <w:t>Supplier business rules or permanent data</w:t>
            </w:r>
          </w:p>
        </w:tc>
      </w:tr>
      <w:tr>
        <w:tc>
          <w:tcPr>
            <w:tcW w:type="dxa" w:w="1800"/>
            <w:tcMar>
              <w:top w:w="110" w:type="dxa"/>
              <w:start w:w="120" w:type="dxa"/>
              <w:bottom w:w="110" w:type="dxa"/>
              <w:end w:w="120" w:type="dxa"/>
            </w:tcMar>
            <w:vAlign w:val="center"/>
          </w:tcPr>
          <w:p>
            <w:pPr>
              <w:spacing w:after="0" w:line="252" w:lineRule="auto"/>
            </w:pPr>
            <w:r>
              <w:rPr>
                <w:rFonts w:ascii="Arial" w:hAnsi="Arial"/>
                <w:color w:val="000000"/>
                <w:sz w:val="18"/>
              </w:rPr>
              <w:t>User Service</w:t>
            </w:r>
          </w:p>
        </w:tc>
        <w:tc>
          <w:tcPr>
            <w:tcW w:type="dxa" w:w="4536"/>
            <w:tcMar>
              <w:top w:w="110" w:type="dxa"/>
              <w:start w:w="120" w:type="dxa"/>
              <w:bottom w:w="110" w:type="dxa"/>
              <w:end w:w="120" w:type="dxa"/>
            </w:tcMar>
            <w:vAlign w:val="center"/>
          </w:tcPr>
          <w:p>
            <w:pPr>
              <w:spacing w:after="0" w:line="252" w:lineRule="auto"/>
            </w:pPr>
            <w:r>
              <w:rPr>
                <w:rFonts w:ascii="Arial" w:hAnsi="Arial"/>
                <w:color w:val="000000"/>
                <w:sz w:val="18"/>
              </w:rPr>
              <w:t>Login, refresh rotation, profile, session status, isAdmin claim</w:t>
            </w:r>
          </w:p>
        </w:tc>
        <w:tc>
          <w:tcPr>
            <w:tcW w:type="dxa" w:w="3672"/>
            <w:tcMar>
              <w:top w:w="110" w:type="dxa"/>
              <w:start w:w="120" w:type="dxa"/>
              <w:bottom w:w="110" w:type="dxa"/>
              <w:end w:w="120" w:type="dxa"/>
            </w:tcMar>
            <w:vAlign w:val="center"/>
          </w:tcPr>
          <w:p>
            <w:pPr>
              <w:spacing w:after="0" w:line="252" w:lineRule="auto"/>
            </w:pPr>
            <w:r>
              <w:rPr>
                <w:rFonts w:ascii="Arial" w:hAnsi="Arial"/>
                <w:color w:val="000000"/>
                <w:sz w:val="18"/>
              </w:rPr>
              <w:t>Supplier records and locations</w:t>
            </w:r>
          </w:p>
        </w:tc>
      </w:tr>
      <w:tr>
        <w:tc>
          <w:tcPr>
            <w:tcW w:type="dxa" w:w="1800"/>
            <w:shd w:fill="EDF3F8"/>
            <w:tcMar>
              <w:top w:w="110" w:type="dxa"/>
              <w:start w:w="120" w:type="dxa"/>
              <w:bottom w:w="110" w:type="dxa"/>
              <w:end w:w="120" w:type="dxa"/>
            </w:tcMar>
            <w:vAlign w:val="center"/>
          </w:tcPr>
          <w:p>
            <w:pPr>
              <w:spacing w:after="0" w:line="252" w:lineRule="auto"/>
            </w:pPr>
            <w:r>
              <w:rPr>
                <w:rFonts w:ascii="Arial" w:hAnsi="Arial"/>
                <w:color w:val="000000"/>
                <w:sz w:val="18"/>
              </w:rPr>
              <w:t>Supplier Service</w:t>
            </w:r>
          </w:p>
        </w:tc>
        <w:tc>
          <w:tcPr>
            <w:tcW w:type="dxa" w:w="4536"/>
            <w:shd w:fill="EDF3F8"/>
            <w:tcMar>
              <w:top w:w="110" w:type="dxa"/>
              <w:start w:w="120" w:type="dxa"/>
              <w:bottom w:w="110" w:type="dxa"/>
              <w:end w:w="120" w:type="dxa"/>
            </w:tcMar>
            <w:vAlign w:val="center"/>
          </w:tcPr>
          <w:p>
            <w:pPr>
              <w:spacing w:after="0" w:line="252" w:lineRule="auto"/>
            </w:pPr>
            <w:r>
              <w:rPr>
                <w:rFonts w:ascii="Arial" w:hAnsi="Arial"/>
                <w:color w:val="000000"/>
                <w:sz w:val="18"/>
              </w:rPr>
              <w:t>Catalog retrieval, admin CRUD rules, validation, RBAC</w:t>
            </w:r>
          </w:p>
        </w:tc>
        <w:tc>
          <w:tcPr>
            <w:tcW w:type="dxa" w:w="3672"/>
            <w:shd w:fill="EDF3F8"/>
            <w:tcMar>
              <w:top w:w="110" w:type="dxa"/>
              <w:start w:w="120" w:type="dxa"/>
              <w:bottom w:w="110" w:type="dxa"/>
              <w:end w:w="120" w:type="dxa"/>
            </w:tcMar>
            <w:vAlign w:val="center"/>
          </w:tcPr>
          <w:p>
            <w:pPr>
              <w:spacing w:after="0" w:line="252" w:lineRule="auto"/>
            </w:pPr>
            <w:r>
              <w:rPr>
                <w:rFonts w:ascii="Arial" w:hAnsi="Arial"/>
                <w:color w:val="000000"/>
                <w:sz w:val="18"/>
              </w:rPr>
              <w:t>Accounts, credentials, errand lifecycle</w:t>
            </w:r>
          </w:p>
        </w:tc>
      </w:tr>
      <w:tr>
        <w:tc>
          <w:tcPr>
            <w:tcW w:type="dxa" w:w="1800"/>
            <w:tcMar>
              <w:top w:w="110" w:type="dxa"/>
              <w:start w:w="120" w:type="dxa"/>
              <w:bottom w:w="110" w:type="dxa"/>
              <w:end w:w="120" w:type="dxa"/>
            </w:tcMar>
            <w:vAlign w:val="center"/>
          </w:tcPr>
          <w:p>
            <w:pPr>
              <w:spacing w:after="0" w:line="252" w:lineRule="auto"/>
            </w:pPr>
            <w:r>
              <w:rPr>
                <w:rFonts w:ascii="Arial" w:hAnsi="Arial"/>
                <w:color w:val="000000"/>
                <w:sz w:val="18"/>
              </w:rPr>
              <w:t>Supplier PostgreSQL</w:t>
            </w:r>
          </w:p>
        </w:tc>
        <w:tc>
          <w:tcPr>
            <w:tcW w:type="dxa" w:w="4536"/>
            <w:tcMar>
              <w:top w:w="110" w:type="dxa"/>
              <w:start w:w="120" w:type="dxa"/>
              <w:bottom w:w="110" w:type="dxa"/>
              <w:end w:w="120" w:type="dxa"/>
            </w:tcMar>
            <w:vAlign w:val="center"/>
          </w:tcPr>
          <w:p>
            <w:pPr>
              <w:spacing w:after="0" w:line="252" w:lineRule="auto"/>
            </w:pPr>
            <w:r>
              <w:rPr>
                <w:rFonts w:ascii="Arial" w:hAnsi="Arial"/>
                <w:color w:val="000000"/>
                <w:sz w:val="18"/>
              </w:rPr>
              <w:t>Authoritative supplier and location records</w:t>
            </w:r>
          </w:p>
        </w:tc>
        <w:tc>
          <w:tcPr>
            <w:tcW w:type="dxa" w:w="3672"/>
            <w:tcMar>
              <w:top w:w="110" w:type="dxa"/>
              <w:start w:w="120" w:type="dxa"/>
              <w:bottom w:w="110" w:type="dxa"/>
              <w:end w:w="120" w:type="dxa"/>
            </w:tcMar>
            <w:vAlign w:val="center"/>
          </w:tcPr>
          <w:p>
            <w:pPr>
              <w:spacing w:after="0" w:line="252" w:lineRule="auto"/>
            </w:pPr>
            <w:r>
              <w:rPr>
                <w:rFonts w:ascii="Arial" w:hAnsi="Arial"/>
                <w:color w:val="000000"/>
                <w:sz w:val="18"/>
              </w:rPr>
              <w:t>User accounts and browser state</w:t>
            </w:r>
          </w:p>
        </w:tc>
      </w:tr>
    </w:tbl>
    <w:p>
      <w:pPr>
        <w:spacing w:after="40"/>
      </w:pPr>
    </w:p>
    <w:p>
      <w:pPr>
        <w:pStyle w:val="Heading2"/>
        <w:keepNext/>
      </w:pPr>
      <w:r>
        <w:t>End to end request path</w:t>
      </w:r>
    </w:p>
    <w:p>
      <w:pPr>
        <w:spacing w:after="80"/>
        <w:jc w:val="center"/>
      </w:pPr>
      <w:r>
        <w:drawing>
          <wp:inline xmlns:a="http://schemas.openxmlformats.org/drawingml/2006/main" xmlns:pic="http://schemas.openxmlformats.org/drawingml/2006/picture">
            <wp:extent cx="6263640" cy="2562398"/>
            <wp:docPr id="1" name="Picture 1" descr="Authenticated supplier request path from the browser through the Next.js adapter, Supplier Service, application layer, and PostgreSQL, with the User Service issuing the token."/>
            <wp:cNvGraphicFramePr>
              <a:graphicFrameLocks noChangeAspect="1"/>
            </wp:cNvGraphicFramePr>
            <a:graphic>
              <a:graphicData uri="http://schemas.openxmlformats.org/drawingml/2006/picture">
                <pic:pic>
                  <pic:nvPicPr>
                    <pic:cNvPr id="0" name="supplier-service-flow.png"/>
                    <pic:cNvPicPr/>
                  </pic:nvPicPr>
                  <pic:blipFill>
                    <a:blip r:embed="rId11"/>
                    <a:stretch>
                      <a:fillRect/>
                    </a:stretch>
                  </pic:blipFill>
                  <pic:spPr>
                    <a:xfrm>
                      <a:off x="0" y="0"/>
                      <a:ext cx="6263640" cy="2562398"/>
                    </a:xfrm>
                    <a:prstGeom prst="rect"/>
                  </pic:spPr>
                </pic:pic>
              </a:graphicData>
            </a:graphic>
          </wp:inline>
        </w:drawing>
      </w:r>
    </w:p>
    <w:p>
      <w:pPr>
        <w:spacing w:after="200"/>
        <w:jc w:val="center"/>
      </w:pPr>
      <w:r>
        <w:rPr>
          <w:rFonts w:ascii="Arial" w:hAnsi="Arial"/>
          <w:color w:val="666666"/>
          <w:sz w:val="18"/>
        </w:rPr>
        <w:t>Figure 1  Runtime path for authenticated supplier requests</w:t>
      </w:r>
    </w:p>
    <w:p>
      <w:pPr>
        <w:spacing w:after="140" w:line="271" w:lineRule="auto"/>
      </w:pPr>
      <w:r>
        <w:rPr>
          <w:rFonts w:ascii="Arial" w:hAnsi="Arial"/>
          <w:color w:val="000000"/>
          <w:sz w:val="21"/>
        </w:rPr>
        <w:t>For local development, the browser uses http://localhost:3000, the User Service uses port 3001, and the Supplier Service uses port 3002. The Next.js server defaults to http://127.0.0.1:3001 and http://127.0.0.1:3002 for upstream requests. USER_SERVICE_URL and SUPPLIER_SERVICE_URL can replace those defaults without exposing either value to browser JavaScript.</w:t>
      </w:r>
    </w:p>
    <w:p>
      <w:r>
        <w:br w:type="page"/>
      </w:r>
    </w:p>
    <w:p>
      <w:pPr>
        <w:pStyle w:val="Heading1"/>
        <w:keepNext/>
      </w:pPr>
      <w:r>
        <w:t>Authentication and session flow</w:t>
      </w:r>
    </w:p>
    <w:p>
      <w:pPr>
        <w:spacing w:after="80" w:line="259" w:lineRule="auto"/>
        <w:ind w:left="432" w:hanging="432"/>
      </w:pPr>
      <w:r>
        <w:rPr>
          <w:rFonts w:ascii="Arial" w:hAnsi="Arial"/>
          <w:b/>
          <w:color w:val="000000"/>
          <w:sz w:val="21"/>
        </w:rPr>
        <w:t xml:space="preserve">1.  </w:t>
      </w:r>
      <w:r>
        <w:rPr>
          <w:rFonts w:ascii="Arial" w:hAnsi="Arial"/>
          <w:color w:val="000000"/>
          <w:sz w:val="21"/>
        </w:rPr>
        <w:t>The user submits email and password to the browser route POST /api/auth/login.</w:t>
      </w:r>
    </w:p>
    <w:p>
      <w:pPr>
        <w:spacing w:after="80" w:line="259" w:lineRule="auto"/>
        <w:ind w:left="432" w:hanging="432"/>
      </w:pPr>
      <w:r>
        <w:rPr>
          <w:rFonts w:ascii="Arial" w:hAnsi="Arial"/>
          <w:b/>
          <w:color w:val="000000"/>
          <w:sz w:val="21"/>
        </w:rPr>
        <w:t xml:space="preserve">2.  </w:t>
      </w:r>
      <w:r>
        <w:rPr>
          <w:rFonts w:ascii="Arial" w:hAnsi="Arial"/>
          <w:color w:val="000000"/>
          <w:sz w:val="21"/>
        </w:rPr>
        <w:t>The Next.js auth Route Handler validates same-origin JSON and forwards the credentials to User Service POST /api/auth/login.</w:t>
      </w:r>
    </w:p>
    <w:p>
      <w:pPr>
        <w:spacing w:after="80" w:line="259" w:lineRule="auto"/>
        <w:ind w:left="432" w:hanging="432"/>
      </w:pPr>
      <w:r>
        <w:rPr>
          <w:rFonts w:ascii="Arial" w:hAnsi="Arial"/>
          <w:b/>
          <w:color w:val="000000"/>
          <w:sz w:val="21"/>
        </w:rPr>
        <w:t xml:space="preserve">3.  </w:t>
      </w:r>
      <w:r>
        <w:rPr>
          <w:rFonts w:ascii="Arial" w:hAnsi="Arial"/>
          <w:color w:val="000000"/>
          <w:sz w:val="21"/>
        </w:rPr>
        <w:t>The User Service returns an access token, refresh token, expiry, and a small user summary.</w:t>
      </w:r>
    </w:p>
    <w:p>
      <w:pPr>
        <w:spacing w:after="80" w:line="259" w:lineRule="auto"/>
        <w:ind w:left="432" w:hanging="432"/>
      </w:pPr>
      <w:r>
        <w:rPr>
          <w:rFonts w:ascii="Arial" w:hAnsi="Arial"/>
          <w:b/>
          <w:color w:val="000000"/>
          <w:sz w:val="21"/>
        </w:rPr>
        <w:t xml:space="preserve">4.  </w:t>
      </w:r>
      <w:r>
        <w:rPr>
          <w:rFonts w:ascii="Arial" w:hAnsi="Arial"/>
          <w:color w:val="000000"/>
          <w:sz w:val="21"/>
        </w:rPr>
        <w:t>The Route Handler stores both tokens in HttpOnly SameSite Lax cookies scoped to /api. HTTPS deployments also use Secure cookies.</w:t>
      </w:r>
    </w:p>
    <w:p>
      <w:pPr>
        <w:spacing w:after="80" w:line="259" w:lineRule="auto"/>
        <w:ind w:left="432" w:hanging="432"/>
      </w:pPr>
      <w:r>
        <w:rPr>
          <w:rFonts w:ascii="Arial" w:hAnsi="Arial"/>
          <w:b/>
          <w:color w:val="000000"/>
          <w:sz w:val="21"/>
        </w:rPr>
        <w:t xml:space="preserve">5.  </w:t>
      </w:r>
      <w:r>
        <w:rPr>
          <w:rFonts w:ascii="Arial" w:hAnsi="Arial"/>
          <w:color w:val="000000"/>
          <w:sz w:val="21"/>
        </w:rPr>
        <w:t>AuthProvider calls GET /api/auth/session, which sends the access token to User Service GET /api/accounts/me and stores only the returned profile in React state.</w:t>
      </w:r>
    </w:p>
    <w:p>
      <w:pPr>
        <w:spacing w:after="80" w:line="259" w:lineRule="auto"/>
        <w:ind w:left="432" w:hanging="432"/>
      </w:pPr>
      <w:r>
        <w:rPr>
          <w:rFonts w:ascii="Arial" w:hAnsi="Arial"/>
          <w:b/>
          <w:color w:val="000000"/>
          <w:sz w:val="21"/>
        </w:rPr>
        <w:t xml:space="preserve">6.  </w:t>
      </w:r>
      <w:r>
        <w:rPr>
          <w:rFonts w:ascii="Arial" w:hAnsi="Arial"/>
          <w:color w:val="000000"/>
          <w:sz w:val="21"/>
        </w:rPr>
        <w:t>Supplier pages render authenticated content only after AuthProvider has a valid profile.</w:t>
      </w:r>
    </w:p>
    <w:p>
      <w:pPr>
        <w:spacing w:after="140" w:line="271" w:lineRule="auto"/>
      </w:pPr>
      <w:r>
        <w:rPr>
          <w:rFonts w:ascii="Arial" w:hAnsi="Arial"/>
          <w:b/>
          <w:color w:val="000000"/>
          <w:sz w:val="21"/>
        </w:rPr>
        <w:t>The browser cannot read the token</w:t>
      </w:r>
      <w:r>
        <w:rPr>
          <w:rFonts w:ascii="Arial" w:hAnsi="Arial"/>
          <w:color w:val="000000"/>
          <w:sz w:val="21"/>
        </w:rPr>
        <w:t xml:space="preserve"> through document.cookie, and the frontend does not store tokens or profile data in localStorage. The frontend also does not know the shared JWT signing secret.</w:t>
      </w:r>
    </w:p>
    <w:p>
      <w:pPr>
        <w:pStyle w:val="Heading2"/>
        <w:keepNext/>
      </w:pPr>
      <w:r>
        <w:t>JWT trust contract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584"/>
            <w:shd w:fill="17365D"/>
            <w:tcMar>
              <w:top w:w="110" w:type="dxa"/>
              <w:start w:w="120" w:type="dxa"/>
              <w:bottom w:w="110" w:type="dxa"/>
              <w:end w:w="120" w:type="dxa"/>
            </w:tcMar>
            <w:vAlign w:val="center"/>
          </w:tcPr>
          <w:p>
            <w:pPr>
              <w:spacing w:after="0"/>
              <w:jc w:val="left"/>
            </w:pPr>
            <w:r/>
            <w:r>
              <w:rPr>
                <w:rFonts w:ascii="Arial" w:hAnsi="Arial"/>
                <w:b/>
                <w:color w:val="FFFFFF"/>
                <w:sz w:val="19"/>
              </w:rPr>
              <w:t>Element</w:t>
            </w:r>
          </w:p>
        </w:tc>
        <w:tc>
          <w:tcPr>
            <w:tcW w:type="dxa" w:w="3096"/>
            <w:shd w:fill="17365D"/>
            <w:tcMar>
              <w:top w:w="110" w:type="dxa"/>
              <w:start w:w="120" w:type="dxa"/>
              <w:bottom w:w="110" w:type="dxa"/>
              <w:end w:w="120" w:type="dxa"/>
            </w:tcMar>
            <w:vAlign w:val="center"/>
          </w:tcPr>
          <w:p>
            <w:pPr>
              <w:spacing w:after="0"/>
              <w:jc w:val="left"/>
            </w:pPr>
            <w:r/>
            <w:r>
              <w:rPr>
                <w:rFonts w:ascii="Arial" w:hAnsi="Arial"/>
                <w:b/>
                <w:color w:val="FFFFFF"/>
                <w:sz w:val="19"/>
              </w:rPr>
              <w:t>Value or claim</w:t>
            </w:r>
          </w:p>
        </w:tc>
        <w:tc>
          <w:tcPr>
            <w:tcW w:type="dxa" w:w="5443"/>
            <w:shd w:fill="17365D"/>
            <w:tcMar>
              <w:top w:w="110" w:type="dxa"/>
              <w:start w:w="120" w:type="dxa"/>
              <w:bottom w:w="110" w:type="dxa"/>
              <w:end w:w="120" w:type="dxa"/>
            </w:tcMar>
            <w:vAlign w:val="center"/>
          </w:tcPr>
          <w:p>
            <w:pPr>
              <w:spacing w:after="0"/>
              <w:jc w:val="left"/>
            </w:pPr>
            <w:r/>
            <w:r>
              <w:rPr>
                <w:rFonts w:ascii="Arial" w:hAnsi="Arial"/>
                <w:b/>
                <w:color w:val="FFFFFF"/>
                <w:sz w:val="19"/>
              </w:rPr>
              <w:t>Purpose</w:t>
            </w:r>
          </w:p>
        </w:tc>
      </w:tr>
      <w:tr>
        <w:tc>
          <w:tcPr>
            <w:tcW w:type="dxa" w:w="1584"/>
            <w:tcMar>
              <w:top w:w="110" w:type="dxa"/>
              <w:start w:w="120" w:type="dxa"/>
              <w:bottom w:w="110" w:type="dxa"/>
              <w:end w:w="120" w:type="dxa"/>
            </w:tcMar>
            <w:vAlign w:val="center"/>
          </w:tcPr>
          <w:p>
            <w:pPr>
              <w:spacing w:after="0" w:line="252" w:lineRule="auto"/>
            </w:pPr>
            <w:r>
              <w:rPr>
                <w:rFonts w:ascii="Arial" w:hAnsi="Arial"/>
                <w:color w:val="000000"/>
                <w:sz w:val="18"/>
              </w:rPr>
              <w:t>Algorithm</w:t>
            </w:r>
          </w:p>
        </w:tc>
        <w:tc>
          <w:tcPr>
            <w:tcW w:type="dxa" w:w="3096"/>
            <w:tcMar>
              <w:top w:w="110" w:type="dxa"/>
              <w:start w:w="120" w:type="dxa"/>
              <w:bottom w:w="110" w:type="dxa"/>
              <w:end w:w="120" w:type="dxa"/>
            </w:tcMar>
            <w:vAlign w:val="center"/>
          </w:tcPr>
          <w:p>
            <w:pPr>
              <w:spacing w:after="0" w:line="252" w:lineRule="auto"/>
            </w:pPr>
            <w:r>
              <w:rPr>
                <w:rFonts w:ascii="Arial" w:hAnsi="Arial"/>
                <w:color w:val="000000"/>
                <w:sz w:val="18"/>
              </w:rPr>
              <w:t>HS256</w:t>
            </w:r>
          </w:p>
        </w:tc>
        <w:tc>
          <w:tcPr>
            <w:tcW w:type="dxa" w:w="5443"/>
            <w:tcMar>
              <w:top w:w="110" w:type="dxa"/>
              <w:start w:w="120" w:type="dxa"/>
              <w:bottom w:w="110" w:type="dxa"/>
              <w:end w:w="120" w:type="dxa"/>
            </w:tcMar>
            <w:vAlign w:val="center"/>
          </w:tcPr>
          <w:p>
            <w:pPr>
              <w:spacing w:after="0" w:line="252" w:lineRule="auto"/>
            </w:pPr>
            <w:r>
              <w:rPr>
                <w:rFonts w:ascii="Arial" w:hAnsi="Arial"/>
                <w:color w:val="000000"/>
                <w:sz w:val="18"/>
              </w:rPr>
              <w:t>Restricts verification to the agreed signing algorithm</w:t>
            </w:r>
          </w:p>
        </w:tc>
      </w:tr>
      <w:tr>
        <w:tc>
          <w:tcPr>
            <w:tcW w:type="dxa" w:w="1584"/>
            <w:shd w:fill="EDF3F8"/>
            <w:tcMar>
              <w:top w:w="110" w:type="dxa"/>
              <w:start w:w="120" w:type="dxa"/>
              <w:bottom w:w="110" w:type="dxa"/>
              <w:end w:w="120" w:type="dxa"/>
            </w:tcMar>
            <w:vAlign w:val="center"/>
          </w:tcPr>
          <w:p>
            <w:pPr>
              <w:spacing w:after="0" w:line="252" w:lineRule="auto"/>
            </w:pPr>
            <w:r>
              <w:rPr>
                <w:rFonts w:ascii="Arial" w:hAnsi="Arial"/>
                <w:color w:val="000000"/>
                <w:sz w:val="18"/>
              </w:rPr>
              <w:t>Issuer</w:t>
            </w:r>
          </w:p>
        </w:tc>
        <w:tc>
          <w:tcPr>
            <w:tcW w:type="dxa" w:w="3096"/>
            <w:shd w:fill="EDF3F8"/>
            <w:tcMar>
              <w:top w:w="110" w:type="dxa"/>
              <w:start w:w="120" w:type="dxa"/>
              <w:bottom w:w="110" w:type="dxa"/>
              <w:end w:w="120" w:type="dxa"/>
            </w:tcMar>
            <w:vAlign w:val="center"/>
          </w:tcPr>
          <w:p>
            <w:pPr>
              <w:spacing w:after="0" w:line="252" w:lineRule="auto"/>
            </w:pPr>
            <w:r>
              <w:rPr>
                <w:rFonts w:ascii="Arial" w:hAnsi="Arial"/>
                <w:color w:val="000000"/>
                <w:sz w:val="18"/>
              </w:rPr>
              <w:t>foc-user-service</w:t>
            </w:r>
          </w:p>
        </w:tc>
        <w:tc>
          <w:tcPr>
            <w:tcW w:type="dxa" w:w="5443"/>
            <w:shd w:fill="EDF3F8"/>
            <w:tcMar>
              <w:top w:w="110" w:type="dxa"/>
              <w:start w:w="120" w:type="dxa"/>
              <w:bottom w:w="110" w:type="dxa"/>
              <w:end w:w="120" w:type="dxa"/>
            </w:tcMar>
            <w:vAlign w:val="center"/>
          </w:tcPr>
          <w:p>
            <w:pPr>
              <w:spacing w:after="0" w:line="252" w:lineRule="auto"/>
            </w:pPr>
            <w:r>
              <w:rPr>
                <w:rFonts w:ascii="Arial" w:hAnsi="Arial"/>
                <w:color w:val="000000"/>
                <w:sz w:val="18"/>
              </w:rPr>
              <w:t>Confirms the token was issued under the User Service contract</w:t>
            </w:r>
          </w:p>
        </w:tc>
      </w:tr>
      <w:tr>
        <w:tc>
          <w:tcPr>
            <w:tcW w:type="dxa" w:w="1584"/>
            <w:tcMar>
              <w:top w:w="110" w:type="dxa"/>
              <w:start w:w="120" w:type="dxa"/>
              <w:bottom w:w="110" w:type="dxa"/>
              <w:end w:w="120" w:type="dxa"/>
            </w:tcMar>
            <w:vAlign w:val="center"/>
          </w:tcPr>
          <w:p>
            <w:pPr>
              <w:spacing w:after="0" w:line="252" w:lineRule="auto"/>
            </w:pPr>
            <w:r>
              <w:rPr>
                <w:rFonts w:ascii="Arial" w:hAnsi="Arial"/>
                <w:color w:val="000000"/>
                <w:sz w:val="18"/>
              </w:rPr>
              <w:t>Audience</w:t>
            </w:r>
          </w:p>
        </w:tc>
        <w:tc>
          <w:tcPr>
            <w:tcW w:type="dxa" w:w="3096"/>
            <w:tcMar>
              <w:top w:w="110" w:type="dxa"/>
              <w:start w:w="120" w:type="dxa"/>
              <w:bottom w:w="110" w:type="dxa"/>
              <w:end w:w="120" w:type="dxa"/>
            </w:tcMar>
            <w:vAlign w:val="center"/>
          </w:tcPr>
          <w:p>
            <w:pPr>
              <w:spacing w:after="0" w:line="252" w:lineRule="auto"/>
            </w:pPr>
            <w:r>
              <w:rPr>
                <w:rFonts w:ascii="Arial" w:hAnsi="Arial"/>
                <w:color w:val="000000"/>
                <w:sz w:val="18"/>
              </w:rPr>
              <w:t>foc-api</w:t>
            </w:r>
          </w:p>
        </w:tc>
        <w:tc>
          <w:tcPr>
            <w:tcW w:type="dxa" w:w="5443"/>
            <w:tcMar>
              <w:top w:w="110" w:type="dxa"/>
              <w:start w:w="120" w:type="dxa"/>
              <w:bottom w:w="110" w:type="dxa"/>
              <w:end w:w="120" w:type="dxa"/>
            </w:tcMar>
            <w:vAlign w:val="center"/>
          </w:tcPr>
          <w:p>
            <w:pPr>
              <w:spacing w:after="0" w:line="252" w:lineRule="auto"/>
            </w:pPr>
            <w:r>
              <w:rPr>
                <w:rFonts w:ascii="Arial" w:hAnsi="Arial"/>
                <w:color w:val="000000"/>
                <w:sz w:val="18"/>
              </w:rPr>
              <w:t>Confirms the token is intended for FoC backend APIs</w:t>
            </w:r>
          </w:p>
        </w:tc>
      </w:tr>
      <w:tr>
        <w:tc>
          <w:tcPr>
            <w:tcW w:type="dxa" w:w="1584"/>
            <w:shd w:fill="EDF3F8"/>
            <w:tcMar>
              <w:top w:w="110" w:type="dxa"/>
              <w:start w:w="120" w:type="dxa"/>
              <w:bottom w:w="110" w:type="dxa"/>
              <w:end w:w="120" w:type="dxa"/>
            </w:tcMar>
            <w:vAlign w:val="center"/>
          </w:tcPr>
          <w:p>
            <w:pPr>
              <w:spacing w:after="0" w:line="252" w:lineRule="auto"/>
            </w:pPr>
            <w:r>
              <w:rPr>
                <w:rFonts w:ascii="Arial" w:hAnsi="Arial"/>
                <w:color w:val="000000"/>
                <w:sz w:val="18"/>
              </w:rPr>
              <w:t>Identity</w:t>
            </w:r>
          </w:p>
        </w:tc>
        <w:tc>
          <w:tcPr>
            <w:tcW w:type="dxa" w:w="3096"/>
            <w:shd w:fill="EDF3F8"/>
            <w:tcMar>
              <w:top w:w="110" w:type="dxa"/>
              <w:start w:w="120" w:type="dxa"/>
              <w:bottom w:w="110" w:type="dxa"/>
              <w:end w:w="120" w:type="dxa"/>
            </w:tcMar>
            <w:vAlign w:val="center"/>
          </w:tcPr>
          <w:p>
            <w:pPr>
              <w:spacing w:after="0" w:line="252" w:lineRule="auto"/>
            </w:pPr>
            <w:r>
              <w:rPr>
                <w:rFonts w:ascii="Arial" w:hAnsi="Arial"/>
                <w:color w:val="000000"/>
                <w:sz w:val="18"/>
              </w:rPr>
              <w:t>sub and sid</w:t>
            </w:r>
          </w:p>
        </w:tc>
        <w:tc>
          <w:tcPr>
            <w:tcW w:type="dxa" w:w="5443"/>
            <w:shd w:fill="EDF3F8"/>
            <w:tcMar>
              <w:top w:w="110" w:type="dxa"/>
              <w:start w:w="120" w:type="dxa"/>
              <w:bottom w:w="110" w:type="dxa"/>
              <w:end w:w="120" w:type="dxa"/>
            </w:tcMar>
            <w:vAlign w:val="center"/>
          </w:tcPr>
          <w:p>
            <w:pPr>
              <w:spacing w:after="0" w:line="252" w:lineRule="auto"/>
            </w:pPr>
            <w:r>
              <w:rPr>
                <w:rFonts w:ascii="Arial" w:hAnsi="Arial"/>
                <w:color w:val="000000"/>
                <w:sz w:val="18"/>
              </w:rPr>
              <w:t>Carries the user UUID and session UUID</w:t>
            </w:r>
          </w:p>
        </w:tc>
      </w:tr>
      <w:tr>
        <w:tc>
          <w:tcPr>
            <w:tcW w:type="dxa" w:w="1584"/>
            <w:tcMar>
              <w:top w:w="110" w:type="dxa"/>
              <w:start w:w="120" w:type="dxa"/>
              <w:bottom w:w="110" w:type="dxa"/>
              <w:end w:w="120" w:type="dxa"/>
            </w:tcMar>
            <w:vAlign w:val="center"/>
          </w:tcPr>
          <w:p>
            <w:pPr>
              <w:spacing w:after="0" w:line="252" w:lineRule="auto"/>
            </w:pPr>
            <w:r>
              <w:rPr>
                <w:rFonts w:ascii="Arial" w:hAnsi="Arial"/>
                <w:color w:val="000000"/>
                <w:sz w:val="18"/>
              </w:rPr>
              <w:t>Role</w:t>
            </w:r>
          </w:p>
        </w:tc>
        <w:tc>
          <w:tcPr>
            <w:tcW w:type="dxa" w:w="3096"/>
            <w:tcMar>
              <w:top w:w="110" w:type="dxa"/>
              <w:start w:w="120" w:type="dxa"/>
              <w:bottom w:w="110" w:type="dxa"/>
              <w:end w:w="120" w:type="dxa"/>
            </w:tcMar>
            <w:vAlign w:val="center"/>
          </w:tcPr>
          <w:p>
            <w:pPr>
              <w:spacing w:after="0" w:line="252" w:lineRule="auto"/>
            </w:pPr>
            <w:r>
              <w:rPr>
                <w:rFonts w:ascii="Arial" w:hAnsi="Arial"/>
                <w:color w:val="000000"/>
                <w:sz w:val="18"/>
              </w:rPr>
              <w:t>isAdmin boolean</w:t>
            </w:r>
          </w:p>
        </w:tc>
        <w:tc>
          <w:tcPr>
            <w:tcW w:type="dxa" w:w="5443"/>
            <w:tcMar>
              <w:top w:w="110" w:type="dxa"/>
              <w:start w:w="120" w:type="dxa"/>
              <w:bottom w:w="110" w:type="dxa"/>
              <w:end w:w="120" w:type="dxa"/>
            </w:tcMar>
            <w:vAlign w:val="center"/>
          </w:tcPr>
          <w:p>
            <w:pPr>
              <w:spacing w:after="0" w:line="252" w:lineRule="auto"/>
            </w:pPr>
            <w:r>
              <w:rPr>
                <w:rFonts w:ascii="Arial" w:hAnsi="Arial"/>
                <w:color w:val="000000"/>
                <w:sz w:val="18"/>
              </w:rPr>
              <w:t>Maps to ADMIN or STUDENT inside Supplier Service</w:t>
            </w:r>
          </w:p>
        </w:tc>
      </w:tr>
    </w:tbl>
    <w:p>
      <w:pPr>
        <w:spacing w:after="40"/>
      </w:pPr>
    </w:p>
    <w:p>
      <w:pPr>
        <w:pStyle w:val="Heading2"/>
        <w:keepNext/>
      </w:pPr>
      <w:r>
        <w:t>Token renewal after a 401 response</w:t>
      </w:r>
    </w:p>
    <w:p>
      <w:pPr>
        <w:spacing w:after="140" w:line="271" w:lineRule="auto"/>
      </w:pPr>
      <w:r>
        <w:rPr>
          <w:rFonts w:ascii="Arial" w:hAnsi="Arial"/>
          <w:color w:val="000000"/>
          <w:sz w:val="21"/>
        </w:rPr>
        <w:t>authenticatedRequest first retries the failed same-origin request because another tab may already have rotated the token. If the retry still returns 401, it checks /api/auth/session. When the User Service also rejects the access token, the adapter uses the refresh cookie at POST /api/auth/refresh, replaces both cookies, and retries the original supplier request. Web Locks serialize login, refresh, and logout across tabs so a single-use refresh token is not rotated concurrently.</w:t>
      </w:r>
    </w:p>
    <w:p>
      <w:pPr>
        <w:spacing w:after="140" w:line="271" w:lineRule="auto"/>
      </w:pPr>
      <w:r>
        <w:rPr>
          <w:rFonts w:ascii="Arial" w:hAnsi="Arial"/>
          <w:color w:val="000000"/>
          <w:sz w:val="21"/>
        </w:rPr>
        <w:t>If the User Service accepts the session but the Supplier Service rejects the same token, the frontend does not refresh it. It converts the situation to a 403 message because this usually indicates Supplier Service authorization or configuration mismatch rather than token expiry.</w:t>
      </w:r>
    </w:p>
    <w:p>
      <w:r>
        <w:br w:type="page"/>
      </w:r>
    </w:p>
    <w:p>
      <w:pPr>
        <w:pStyle w:val="Heading1"/>
        <w:keepNext/>
      </w:pPr>
      <w:r>
        <w:t>Student supplier catalog flow</w:t>
      </w:r>
    </w:p>
    <w:p>
      <w:pPr>
        <w:pStyle w:val="Heading2"/>
        <w:keepNext/>
      </w:pPr>
      <w:r>
        <w:t>Catalog retrieval</w:t>
      </w:r>
    </w:p>
    <w:p>
      <w:pPr>
        <w:spacing w:after="80" w:line="259" w:lineRule="auto"/>
        <w:ind w:left="432" w:hanging="432"/>
      </w:pPr>
      <w:r>
        <w:rPr>
          <w:rFonts w:ascii="Arial" w:hAnsi="Arial"/>
          <w:b/>
          <w:color w:val="000000"/>
          <w:sz w:val="21"/>
        </w:rPr>
        <w:t xml:space="preserve">1.  </w:t>
      </w:r>
      <w:r>
        <w:rPr>
          <w:rFonts w:ascii="Arial" w:hAnsi="Arial"/>
          <w:color w:val="000000"/>
          <w:sz w:val="21"/>
        </w:rPr>
        <w:t>The authenticated user opens /suppliers.</w:t>
      </w:r>
    </w:p>
    <w:p>
      <w:pPr>
        <w:spacing w:after="80" w:line="259" w:lineRule="auto"/>
        <w:ind w:left="432" w:hanging="432"/>
      </w:pPr>
      <w:r>
        <w:rPr>
          <w:rFonts w:ascii="Arial" w:hAnsi="Arial"/>
          <w:b/>
          <w:color w:val="000000"/>
          <w:sz w:val="21"/>
        </w:rPr>
        <w:t xml:space="preserve">2.  </w:t>
      </w:r>
      <w:r>
        <w:rPr>
          <w:rFonts w:ascii="Arial" w:hAnsi="Arial"/>
          <w:color w:val="000000"/>
          <w:sz w:val="21"/>
        </w:rPr>
        <w:t>SupplierCatalog calls authenticatedRequest with the path suppliers.</w:t>
      </w:r>
    </w:p>
    <w:p>
      <w:pPr>
        <w:spacing w:after="80" w:line="259" w:lineRule="auto"/>
        <w:ind w:left="432" w:hanging="432"/>
      </w:pPr>
      <w:r>
        <w:rPr>
          <w:rFonts w:ascii="Arial" w:hAnsi="Arial"/>
          <w:b/>
          <w:color w:val="000000"/>
          <w:sz w:val="21"/>
        </w:rPr>
        <w:t xml:space="preserve">3.  </w:t>
      </w:r>
      <w:r>
        <w:rPr>
          <w:rFonts w:ascii="Arial" w:hAnsi="Arial"/>
          <w:color w:val="000000"/>
          <w:sz w:val="21"/>
        </w:rPr>
        <w:t>The browser sends GET /api/suppliers to the Next.js application with the HttpOnly access cookie.</w:t>
      </w:r>
    </w:p>
    <w:p>
      <w:pPr>
        <w:spacing w:after="80" w:line="259" w:lineRule="auto"/>
        <w:ind w:left="432" w:hanging="432"/>
      </w:pPr>
      <w:r>
        <w:rPr>
          <w:rFonts w:ascii="Arial" w:hAnsi="Arial"/>
          <w:b/>
          <w:color w:val="000000"/>
          <w:sz w:val="21"/>
        </w:rPr>
        <w:t xml:space="preserve">4.  </w:t>
      </w:r>
      <w:r>
        <w:rPr>
          <w:rFonts w:ascii="Arial" w:hAnsi="Arial"/>
          <w:color w:val="000000"/>
          <w:sz w:val="21"/>
        </w:rPr>
        <w:t>The Route Handler reads foc_access and calls Supplier Service GET /api/suppliers with Authorization Bearer token.</w:t>
      </w:r>
    </w:p>
    <w:p>
      <w:pPr>
        <w:spacing w:after="80" w:line="259" w:lineRule="auto"/>
        <w:ind w:left="432" w:hanging="432"/>
      </w:pPr>
      <w:r>
        <w:rPr>
          <w:rFonts w:ascii="Arial" w:hAnsi="Arial"/>
          <w:b/>
          <w:color w:val="000000"/>
          <w:sz w:val="21"/>
        </w:rPr>
        <w:t xml:space="preserve">5.  </w:t>
      </w:r>
      <w:r>
        <w:rPr>
          <w:rFonts w:ascii="Arial" w:hAnsi="Arial"/>
          <w:color w:val="000000"/>
          <w:sz w:val="21"/>
        </w:rPr>
        <w:t>JwtAuthenticationGuard verifies HS256, signature, issuer, audience, expiry, sub, sid, and the boolean isAdmin claim.</w:t>
      </w:r>
    </w:p>
    <w:p>
      <w:pPr>
        <w:spacing w:after="80" w:line="259" w:lineRule="auto"/>
        <w:ind w:left="432" w:hanging="432"/>
      </w:pPr>
      <w:r>
        <w:rPr>
          <w:rFonts w:ascii="Arial" w:hAnsi="Arial"/>
          <w:b/>
          <w:color w:val="000000"/>
          <w:sz w:val="21"/>
        </w:rPr>
        <w:t xml:space="preserve">6.  </w:t>
      </w:r>
      <w:r>
        <w:rPr>
          <w:rFonts w:ascii="Arial" w:hAnsi="Arial"/>
          <w:color w:val="000000"/>
          <w:sz w:val="21"/>
        </w:rPr>
        <w:t>RolesGuard allows both STUDENT and ADMIN for this endpoint.</w:t>
      </w:r>
    </w:p>
    <w:p>
      <w:pPr>
        <w:spacing w:after="80" w:line="259" w:lineRule="auto"/>
        <w:ind w:left="432" w:hanging="432"/>
      </w:pPr>
      <w:r>
        <w:rPr>
          <w:rFonts w:ascii="Arial" w:hAnsi="Arial"/>
          <w:b/>
          <w:color w:val="000000"/>
          <w:sz w:val="21"/>
        </w:rPr>
        <w:t xml:space="preserve">7.  </w:t>
      </w:r>
      <w:r>
        <w:rPr>
          <w:rFonts w:ascii="Arial" w:hAnsi="Arial"/>
          <w:color w:val="000000"/>
          <w:sz w:val="21"/>
        </w:rPr>
        <w:t>ListSuppliersUseCase calls the repository, which selects active suppliers with at least one active location.</w:t>
      </w:r>
    </w:p>
    <w:p>
      <w:pPr>
        <w:spacing w:after="80" w:line="259" w:lineRule="auto"/>
        <w:ind w:left="432" w:hanging="432"/>
      </w:pPr>
      <w:r>
        <w:rPr>
          <w:rFonts w:ascii="Arial" w:hAnsi="Arial"/>
          <w:b/>
          <w:color w:val="000000"/>
          <w:sz w:val="21"/>
        </w:rPr>
        <w:t xml:space="preserve">8.  </w:t>
      </w:r>
      <w:r>
        <w:rPr>
          <w:rFonts w:ascii="Arial" w:hAnsi="Arial"/>
          <w:color w:val="000000"/>
          <w:sz w:val="21"/>
        </w:rPr>
        <w:t>The Supplier Service returns JSON. The adapter marks the response no-store and the React component renders the catalog.</w:t>
      </w:r>
    </w:p>
    <w:p>
      <w:pPr>
        <w:pStyle w:val="Heading2"/>
        <w:keepNext/>
      </w:pPr>
      <w:r>
        <w:t>Browser behavior after retrieval</w:t>
      </w:r>
    </w:p>
    <w:p>
      <w:pPr>
        <w:pStyle w:val="ListBullet"/>
        <w:spacing w:after="60" w:line="259" w:lineRule="auto"/>
      </w:pPr>
      <w:r>
        <w:rPr>
          <w:rFonts w:ascii="Arial" w:hAnsi="Arial"/>
          <w:color w:val="000000"/>
          <w:sz w:val="21"/>
        </w:rPr>
        <w:t>Search matches supplier names, building names, and supplierAtLocation labels in browser memory.</w:t>
      </w:r>
    </w:p>
    <w:p>
      <w:pPr>
        <w:pStyle w:val="ListBullet"/>
        <w:spacing w:after="60" w:line="259" w:lineRule="auto"/>
      </w:pPr>
      <w:r>
        <w:rPr>
          <w:rFonts w:ascii="Arial" w:hAnsi="Arial"/>
          <w:color w:val="000000"/>
          <w:sz w:val="21"/>
        </w:rPr>
        <w:t>Category buttons filter FOOD, FOOD_COFFEE, PRINTING, and SHOPPING in browser memory.</w:t>
      </w:r>
    </w:p>
    <w:p>
      <w:pPr>
        <w:pStyle w:val="ListBullet"/>
        <w:spacing w:after="60" w:line="259" w:lineRule="auto"/>
      </w:pPr>
      <w:r>
        <w:rPr>
          <w:rFonts w:ascii="Arial" w:hAnsi="Arial"/>
          <w:color w:val="000000"/>
          <w:sz w:val="21"/>
        </w:rPr>
        <w:t>Refresh performs another authenticated request instead of using mock data.</w:t>
      </w:r>
    </w:p>
    <w:p>
      <w:pPr>
        <w:pStyle w:val="ListBullet"/>
        <w:spacing w:after="60" w:line="259" w:lineRule="auto"/>
      </w:pPr>
      <w:r>
        <w:rPr>
          <w:rFonts w:ascii="Arial" w:hAnsi="Arial"/>
          <w:color w:val="000000"/>
          <w:sz w:val="21"/>
        </w:rPr>
        <w:t>An unavailable backend produces a retryable error state; no fallback catalog is invented.</w:t>
      </w:r>
    </w:p>
    <w:p>
      <w:pPr>
        <w:pStyle w:val="ListBullet"/>
        <w:spacing w:after="60" w:line="259" w:lineRule="auto"/>
      </w:pPr>
      <w:r>
        <w:rPr>
          <w:rFonts w:ascii="Arial" w:hAnsi="Arial"/>
          <w:color w:val="000000"/>
          <w:sz w:val="21"/>
        </w:rPr>
        <w:t>The UI displays active records exactly as returned. It does not infer whether a supplier is open at the current time.</w:t>
      </w:r>
    </w:p>
    <w:p>
      <w:pPr>
        <w:pStyle w:val="Heading2"/>
        <w:keepNext/>
      </w:pPr>
      <w:r>
        <w:t>Supplier detail flow</w:t>
      </w:r>
    </w:p>
    <w:p>
      <w:pPr>
        <w:spacing w:after="140" w:line="271" w:lineRule="auto"/>
      </w:pPr>
      <w:r>
        <w:rPr>
          <w:rFonts w:ascii="Arial" w:hAnsi="Arial"/>
          <w:color w:val="000000"/>
          <w:sz w:val="21"/>
        </w:rPr>
        <w:t>The route /suppliers/[id] reuses SupplierCatalog with a supplierId. The component retrieves the complete active catalog and finds the requested supplier in browser memory. There is no backend GET by supplier ID. If the ID is absent from the active catalog, the page reports that the supplier is unavailable. Each location shows building, floor, description, business hours, overnight status, and a Google Maps link built from latitude and longitude.</w:t>
      </w:r>
    </w:p>
    <w:p>
      <w:r>
        <w:br w:type="page"/>
      </w:r>
    </w:p>
    <w:p>
      <w:pPr>
        <w:pStyle w:val="Heading2"/>
        <w:keepNext/>
      </w:pPr>
      <w:r>
        <w:t>Student response contract</w:t>
      </w:r>
    </w:p>
    <w:p>
      <w:pPr>
        <w:spacing w:before="80" w:after="160" w:line="252" w:lineRule="auto"/>
        <w:ind w:left="317" w:right="317"/>
        <w:shd w:fill="F4F5F7"/>
      </w:pPr>
      <w:r>
        <w:rPr>
          <w:rFonts w:ascii="Courier New" w:hAnsi="Courier New"/>
          <w:color w:val="000000"/>
          <w:sz w:val="18"/>
        </w:rPr>
        <w:t>{</w:t>
        <w:br/>
        <w:t xml:space="preserve">  "id": "supplier UUID",</w:t>
        <w:br/>
        <w:t xml:space="preserve">  "name": "NUS Co-op",</w:t>
        <w:br/>
        <w:t xml:space="preserve">  "category": "SHOPPING",</w:t>
        <w:br/>
        <w:t xml:space="preserve">  "locations": [{</w:t>
        <w:br/>
        <w:t xml:space="preserve">    "id": "location UUID",</w:t>
        <w:br/>
        <w:t xml:space="preserve">    "supplierAtLocation": "NUS Co-op@Central Library",</w:t>
        <w:br/>
        <w:t xml:space="preserve">    "building": "Central Library",</w:t>
        <w:br/>
        <w:t xml:space="preserve">    "floor": 1,</w:t>
        <w:br/>
        <w:t xml:space="preserve">    "locationDescription": "Inside the library on the right side",</w:t>
        <w:br/>
        <w:t xml:space="preserve">    "latitude": 1.2967866,</w:t>
        <w:br/>
        <w:t xml:space="preserve">    "longitude": 103.7732677,</w:t>
        <w:br/>
        <w:t xml:space="preserve">    "opensAt": "09:00",</w:t>
        <w:br/>
        <w:t xml:space="preserve">    "closesAt": "16:00",</w:t>
        <w:br/>
        <w:t xml:space="preserve">    "isOpenOvernight": false,</w:t>
        <w:br/>
        <w:t xml:space="preserve">    "imageUrl": null</w:t>
        <w:br/>
        <w:t xml:space="preserve">  }]</w:t>
        <w:br/>
        <w:t>}</w:t>
      </w:r>
    </w:p>
    <w:p>
      <w:r>
        <w:br w:type="page"/>
      </w:r>
    </w:p>
    <w:p>
      <w:pPr>
        <w:pStyle w:val="Heading1"/>
        <w:keepNext/>
      </w:pPr>
      <w:r>
        <w:t>Administrator supplier flow</w:t>
      </w:r>
    </w:p>
    <w:p>
      <w:pPr>
        <w:spacing w:after="140" w:line="271" w:lineRule="auto"/>
      </w:pPr>
      <w:r>
        <w:rPr>
          <w:rFonts w:ascii="Arial" w:hAnsi="Arial"/>
          <w:color w:val="000000"/>
          <w:sz w:val="21"/>
        </w:rPr>
        <w:t>AdminDashboard first checks the profile stored by AuthProvider. Guests see a login prompt and students see an access-required screen. This client-side check controls presentation only. Every admin adapter request separately retrieves the current profile from User Service and checks isAdmin before forwarding a supplier operation.</w:t>
      </w:r>
    </w:p>
    <w:p>
      <w:pPr>
        <w:spacing w:after="140" w:line="271" w:lineRule="auto"/>
      </w:pPr>
      <w:r>
        <w:rPr>
          <w:rFonts w:ascii="Arial" w:hAnsi="Arial"/>
          <w:color w:val="000000"/>
          <w:sz w:val="21"/>
        </w:rPr>
        <w:t>The Supplier Service then verifies the JWT again and applies a class-level ADMIN role requirement to every /api/admin/suppliers route. This two-stage authorization prevents the UI check or the web adapter from becoming the sole security boundary.</w:t>
      </w:r>
    </w:p>
    <w:p>
      <w:pPr>
        <w:pStyle w:val="Heading2"/>
        <w:keepNext/>
      </w:pPr>
      <w:r>
        <w:t>Administrator request mapping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843"/>
            <w:shd w:fill="17365D"/>
            <w:tcMar>
              <w:top w:w="110" w:type="dxa"/>
              <w:start w:w="120" w:type="dxa"/>
              <w:bottom w:w="110" w:type="dxa"/>
              <w:end w:w="120" w:type="dxa"/>
            </w:tcMar>
            <w:vAlign w:val="center"/>
          </w:tcPr>
          <w:p>
            <w:pPr>
              <w:spacing w:after="0"/>
              <w:jc w:val="left"/>
            </w:pPr>
            <w:r/>
            <w:r>
              <w:rPr>
                <w:rFonts w:ascii="Arial" w:hAnsi="Arial"/>
                <w:b/>
                <w:color w:val="FFFFFF"/>
                <w:sz w:val="19"/>
              </w:rPr>
              <w:t>UI operation</w:t>
            </w:r>
          </w:p>
        </w:tc>
        <w:tc>
          <w:tcPr>
            <w:tcW w:type="dxa" w:w="2880"/>
            <w:shd w:fill="17365D"/>
            <w:tcMar>
              <w:top w:w="110" w:type="dxa"/>
              <w:start w:w="120" w:type="dxa"/>
              <w:bottom w:w="110" w:type="dxa"/>
              <w:end w:w="120" w:type="dxa"/>
            </w:tcMar>
            <w:vAlign w:val="center"/>
          </w:tcPr>
          <w:p>
            <w:pPr>
              <w:spacing w:after="0"/>
              <w:jc w:val="left"/>
            </w:pPr>
            <w:r/>
            <w:r>
              <w:rPr>
                <w:rFonts w:ascii="Arial" w:hAnsi="Arial"/>
                <w:b/>
                <w:color w:val="FFFFFF"/>
                <w:sz w:val="19"/>
              </w:rPr>
              <w:t>Browser and Next.js route</w:t>
            </w:r>
          </w:p>
        </w:tc>
        <w:tc>
          <w:tcPr>
            <w:tcW w:type="dxa" w:w="3168"/>
            <w:shd w:fill="17365D"/>
            <w:tcMar>
              <w:top w:w="110" w:type="dxa"/>
              <w:start w:w="120" w:type="dxa"/>
              <w:bottom w:w="110" w:type="dxa"/>
              <w:end w:w="120" w:type="dxa"/>
            </w:tcMar>
            <w:vAlign w:val="center"/>
          </w:tcPr>
          <w:p>
            <w:pPr>
              <w:spacing w:after="0"/>
              <w:jc w:val="left"/>
            </w:pPr>
            <w:r/>
            <w:r>
              <w:rPr>
                <w:rFonts w:ascii="Arial" w:hAnsi="Arial"/>
                <w:b/>
                <w:color w:val="FFFFFF"/>
                <w:sz w:val="19"/>
              </w:rPr>
              <w:t>Supplier Service route</w:t>
            </w:r>
          </w:p>
        </w:tc>
        <w:tc>
          <w:tcPr>
            <w:tcW w:type="dxa" w:w="2102"/>
            <w:shd w:fill="17365D"/>
            <w:tcMar>
              <w:top w:w="110" w:type="dxa"/>
              <w:start w:w="120" w:type="dxa"/>
              <w:bottom w:w="110" w:type="dxa"/>
              <w:end w:w="120" w:type="dxa"/>
            </w:tcMar>
            <w:vAlign w:val="center"/>
          </w:tcPr>
          <w:p>
            <w:pPr>
              <w:spacing w:after="0"/>
              <w:jc w:val="left"/>
            </w:pPr>
            <w:r/>
            <w:r>
              <w:rPr>
                <w:rFonts w:ascii="Arial" w:hAnsi="Arial"/>
                <w:b/>
                <w:color w:val="FFFFFF"/>
                <w:sz w:val="19"/>
              </w:rPr>
              <w:t>Backend result</w:t>
            </w:r>
          </w:p>
        </w:tc>
      </w:tr>
      <w:tr>
        <w:tc>
          <w:tcPr>
            <w:tcW w:type="dxa" w:w="1843"/>
            <w:tcMar>
              <w:top w:w="110" w:type="dxa"/>
              <w:start w:w="120" w:type="dxa"/>
              <w:bottom w:w="110" w:type="dxa"/>
              <w:end w:w="120" w:type="dxa"/>
            </w:tcMar>
            <w:vAlign w:val="center"/>
          </w:tcPr>
          <w:p>
            <w:pPr>
              <w:spacing w:after="0" w:line="252" w:lineRule="auto"/>
            </w:pPr>
            <w:r>
              <w:rPr>
                <w:rFonts w:ascii="Arial" w:hAnsi="Arial"/>
                <w:color w:val="000000"/>
                <w:sz w:val="18"/>
              </w:rPr>
              <w:t>Load management list</w:t>
            </w:r>
          </w:p>
        </w:tc>
        <w:tc>
          <w:tcPr>
            <w:tcW w:type="dxa" w:w="2880"/>
            <w:tcMar>
              <w:top w:w="110" w:type="dxa"/>
              <w:start w:w="120" w:type="dxa"/>
              <w:bottom w:w="110" w:type="dxa"/>
              <w:end w:w="120" w:type="dxa"/>
            </w:tcMar>
            <w:vAlign w:val="center"/>
          </w:tcPr>
          <w:p>
            <w:pPr>
              <w:spacing w:after="0" w:line="252" w:lineRule="auto"/>
            </w:pPr>
            <w:r>
              <w:rPr>
                <w:rFonts w:ascii="Arial" w:hAnsi="Arial"/>
                <w:color w:val="000000"/>
                <w:sz w:val="18"/>
              </w:rPr>
              <w:t>GET /api/admin/suppliers</w:t>
            </w:r>
          </w:p>
        </w:tc>
        <w:tc>
          <w:tcPr>
            <w:tcW w:type="dxa" w:w="3168"/>
            <w:tcMar>
              <w:top w:w="110" w:type="dxa"/>
              <w:start w:w="120" w:type="dxa"/>
              <w:bottom w:w="110" w:type="dxa"/>
              <w:end w:w="120" w:type="dxa"/>
            </w:tcMar>
            <w:vAlign w:val="center"/>
          </w:tcPr>
          <w:p>
            <w:pPr>
              <w:spacing w:after="0" w:line="252" w:lineRule="auto"/>
            </w:pPr>
            <w:r>
              <w:rPr>
                <w:rFonts w:ascii="Arial" w:hAnsi="Arial"/>
                <w:color w:val="000000"/>
                <w:sz w:val="18"/>
              </w:rPr>
              <w:t>GET /api/suppliers</w:t>
            </w:r>
          </w:p>
        </w:tc>
        <w:tc>
          <w:tcPr>
            <w:tcW w:type="dxa" w:w="2102"/>
            <w:tcMar>
              <w:top w:w="110" w:type="dxa"/>
              <w:start w:w="120" w:type="dxa"/>
              <w:bottom w:w="110" w:type="dxa"/>
              <w:end w:w="120" w:type="dxa"/>
            </w:tcMar>
            <w:vAlign w:val="center"/>
          </w:tcPr>
          <w:p>
            <w:pPr>
              <w:spacing w:after="0" w:line="252" w:lineRule="auto"/>
            </w:pPr>
            <w:r>
              <w:rPr>
                <w:rFonts w:ascii="Arial" w:hAnsi="Arial"/>
                <w:color w:val="000000"/>
                <w:sz w:val="18"/>
              </w:rPr>
              <w:t>Active Supplier array</w:t>
            </w:r>
          </w:p>
        </w:tc>
      </w:tr>
      <w:tr>
        <w:tc>
          <w:tcPr>
            <w:tcW w:type="dxa" w:w="1843"/>
            <w:shd w:fill="EDF3F8"/>
            <w:tcMar>
              <w:top w:w="110" w:type="dxa"/>
              <w:start w:w="120" w:type="dxa"/>
              <w:bottom w:w="110" w:type="dxa"/>
              <w:end w:w="120" w:type="dxa"/>
            </w:tcMar>
            <w:vAlign w:val="center"/>
          </w:tcPr>
          <w:p>
            <w:pPr>
              <w:spacing w:after="0" w:line="252" w:lineRule="auto"/>
            </w:pPr>
            <w:r>
              <w:rPr>
                <w:rFonts w:ascii="Arial" w:hAnsi="Arial"/>
                <w:color w:val="000000"/>
                <w:sz w:val="18"/>
              </w:rPr>
              <w:t>Create supplier</w:t>
            </w:r>
          </w:p>
        </w:tc>
        <w:tc>
          <w:tcPr>
            <w:tcW w:type="dxa" w:w="2880"/>
            <w:shd w:fill="EDF3F8"/>
            <w:tcMar>
              <w:top w:w="110" w:type="dxa"/>
              <w:start w:w="120" w:type="dxa"/>
              <w:bottom w:w="110" w:type="dxa"/>
              <w:end w:w="120" w:type="dxa"/>
            </w:tcMar>
            <w:vAlign w:val="center"/>
          </w:tcPr>
          <w:p>
            <w:pPr>
              <w:spacing w:after="0" w:line="252" w:lineRule="auto"/>
            </w:pPr>
            <w:r>
              <w:rPr>
                <w:rFonts w:ascii="Arial" w:hAnsi="Arial"/>
                <w:color w:val="000000"/>
                <w:sz w:val="18"/>
              </w:rPr>
              <w:t>POST /api/admin/suppliers</w:t>
            </w:r>
          </w:p>
        </w:tc>
        <w:tc>
          <w:tcPr>
            <w:tcW w:type="dxa" w:w="3168"/>
            <w:shd w:fill="EDF3F8"/>
            <w:tcMar>
              <w:top w:w="110" w:type="dxa"/>
              <w:start w:w="120" w:type="dxa"/>
              <w:bottom w:w="110" w:type="dxa"/>
              <w:end w:w="120" w:type="dxa"/>
            </w:tcMar>
            <w:vAlign w:val="center"/>
          </w:tcPr>
          <w:p>
            <w:pPr>
              <w:spacing w:after="0" w:line="252" w:lineRule="auto"/>
            </w:pPr>
            <w:r>
              <w:rPr>
                <w:rFonts w:ascii="Arial" w:hAnsi="Arial"/>
                <w:color w:val="000000"/>
                <w:sz w:val="18"/>
              </w:rPr>
              <w:t>POST /api/admin/suppliers</w:t>
            </w:r>
          </w:p>
        </w:tc>
        <w:tc>
          <w:tcPr>
            <w:tcW w:type="dxa" w:w="2102"/>
            <w:shd w:fill="EDF3F8"/>
            <w:tcMar>
              <w:top w:w="110" w:type="dxa"/>
              <w:start w:w="120" w:type="dxa"/>
              <w:bottom w:w="110" w:type="dxa"/>
              <w:end w:w="120" w:type="dxa"/>
            </w:tcMar>
            <w:vAlign w:val="center"/>
          </w:tcPr>
          <w:p>
            <w:pPr>
              <w:spacing w:after="0" w:line="252" w:lineRule="auto"/>
            </w:pPr>
            <w:r>
              <w:rPr>
                <w:rFonts w:ascii="Arial" w:hAnsi="Arial"/>
                <w:color w:val="000000"/>
                <w:sz w:val="18"/>
              </w:rPr>
              <w:t>201 with created Supplier</w:t>
            </w:r>
          </w:p>
        </w:tc>
      </w:tr>
      <w:tr>
        <w:tc>
          <w:tcPr>
            <w:tcW w:type="dxa" w:w="1843"/>
            <w:tcMar>
              <w:top w:w="110" w:type="dxa"/>
              <w:start w:w="120" w:type="dxa"/>
              <w:bottom w:w="110" w:type="dxa"/>
              <w:end w:w="120" w:type="dxa"/>
            </w:tcMar>
            <w:vAlign w:val="center"/>
          </w:tcPr>
          <w:p>
            <w:pPr>
              <w:spacing w:after="0" w:line="252" w:lineRule="auto"/>
            </w:pPr>
            <w:r>
              <w:rPr>
                <w:rFonts w:ascii="Arial" w:hAnsi="Arial"/>
                <w:color w:val="000000"/>
                <w:sz w:val="18"/>
              </w:rPr>
              <w:t>Update supplier</w:t>
            </w:r>
          </w:p>
        </w:tc>
        <w:tc>
          <w:tcPr>
            <w:tcW w:type="dxa" w:w="2880"/>
            <w:tcMar>
              <w:top w:w="110" w:type="dxa"/>
              <w:start w:w="120" w:type="dxa"/>
              <w:bottom w:w="110" w:type="dxa"/>
              <w:end w:w="120" w:type="dxa"/>
            </w:tcMar>
            <w:vAlign w:val="center"/>
          </w:tcPr>
          <w:p>
            <w:pPr>
              <w:spacing w:after="0" w:line="252" w:lineRule="auto"/>
            </w:pPr>
            <w:r>
              <w:rPr>
                <w:rFonts w:ascii="Arial" w:hAnsi="Arial"/>
                <w:color w:val="000000"/>
                <w:sz w:val="18"/>
              </w:rPr>
              <w:t>PATCH</w:t>
              <w:br/>
              <w:t>/api/admin/suppliers/{id}</w:t>
            </w:r>
          </w:p>
        </w:tc>
        <w:tc>
          <w:tcPr>
            <w:tcW w:type="dxa" w:w="3168"/>
            <w:tcMar>
              <w:top w:w="110" w:type="dxa"/>
              <w:start w:w="120" w:type="dxa"/>
              <w:bottom w:w="110" w:type="dxa"/>
              <w:end w:w="120" w:type="dxa"/>
            </w:tcMar>
            <w:vAlign w:val="center"/>
          </w:tcPr>
          <w:p>
            <w:pPr>
              <w:spacing w:after="0" w:line="252" w:lineRule="auto"/>
            </w:pPr>
            <w:r>
              <w:rPr>
                <w:rFonts w:ascii="Arial" w:hAnsi="Arial"/>
                <w:color w:val="000000"/>
                <w:sz w:val="18"/>
              </w:rPr>
              <w:t>PATCH</w:t>
              <w:br/>
              <w:t>/api/admin/suppliers/{id}</w:t>
            </w:r>
          </w:p>
        </w:tc>
        <w:tc>
          <w:tcPr>
            <w:tcW w:type="dxa" w:w="2102"/>
            <w:tcMar>
              <w:top w:w="110" w:type="dxa"/>
              <w:start w:w="120" w:type="dxa"/>
              <w:bottom w:w="110" w:type="dxa"/>
              <w:end w:w="120" w:type="dxa"/>
            </w:tcMar>
            <w:vAlign w:val="center"/>
          </w:tcPr>
          <w:p>
            <w:pPr>
              <w:spacing w:after="0" w:line="252" w:lineRule="auto"/>
            </w:pPr>
            <w:r>
              <w:rPr>
                <w:rFonts w:ascii="Arial" w:hAnsi="Arial"/>
                <w:color w:val="000000"/>
                <w:sz w:val="18"/>
              </w:rPr>
              <w:t>200 with updated Supplier</w:t>
            </w:r>
          </w:p>
        </w:tc>
      </w:tr>
      <w:tr>
        <w:tc>
          <w:tcPr>
            <w:tcW w:type="dxa" w:w="1843"/>
            <w:shd w:fill="EDF3F8"/>
            <w:tcMar>
              <w:top w:w="110" w:type="dxa"/>
              <w:start w:w="120" w:type="dxa"/>
              <w:bottom w:w="110" w:type="dxa"/>
              <w:end w:w="120" w:type="dxa"/>
            </w:tcMar>
            <w:vAlign w:val="center"/>
          </w:tcPr>
          <w:p>
            <w:pPr>
              <w:spacing w:after="0" w:line="252" w:lineRule="auto"/>
            </w:pPr>
            <w:r>
              <w:rPr>
                <w:rFonts w:ascii="Arial" w:hAnsi="Arial"/>
                <w:color w:val="000000"/>
                <w:sz w:val="18"/>
              </w:rPr>
              <w:t>Update location</w:t>
            </w:r>
          </w:p>
        </w:tc>
        <w:tc>
          <w:tcPr>
            <w:tcW w:type="dxa" w:w="2880"/>
            <w:shd w:fill="EDF3F8"/>
            <w:tcMar>
              <w:top w:w="110" w:type="dxa"/>
              <w:start w:w="120" w:type="dxa"/>
              <w:bottom w:w="110" w:type="dxa"/>
              <w:end w:w="120" w:type="dxa"/>
            </w:tcMar>
            <w:vAlign w:val="center"/>
          </w:tcPr>
          <w:p>
            <w:pPr>
              <w:spacing w:after="0" w:line="252" w:lineRule="auto"/>
            </w:pPr>
            <w:r>
              <w:rPr>
                <w:rFonts w:ascii="Arial" w:hAnsi="Arial"/>
                <w:color w:val="000000"/>
                <w:sz w:val="18"/>
              </w:rPr>
              <w:t>PATCH</w:t>
              <w:br/>
              <w:t>/api/admin/suppliers/{id}/locations/{locationId}</w:t>
            </w:r>
          </w:p>
        </w:tc>
        <w:tc>
          <w:tcPr>
            <w:tcW w:type="dxa" w:w="3168"/>
            <w:shd w:fill="EDF3F8"/>
            <w:tcMar>
              <w:top w:w="110" w:type="dxa"/>
              <w:start w:w="120" w:type="dxa"/>
              <w:bottom w:w="110" w:type="dxa"/>
              <w:end w:w="120" w:type="dxa"/>
            </w:tcMar>
            <w:vAlign w:val="center"/>
          </w:tcPr>
          <w:p>
            <w:pPr>
              <w:spacing w:after="0" w:line="252" w:lineRule="auto"/>
            </w:pPr>
            <w:r>
              <w:rPr>
                <w:rFonts w:ascii="Arial" w:hAnsi="Arial"/>
                <w:color w:val="000000"/>
                <w:sz w:val="18"/>
              </w:rPr>
              <w:t>Same path under Supplier Service /api</w:t>
            </w:r>
          </w:p>
        </w:tc>
        <w:tc>
          <w:tcPr>
            <w:tcW w:type="dxa" w:w="2102"/>
            <w:shd w:fill="EDF3F8"/>
            <w:tcMar>
              <w:top w:w="110" w:type="dxa"/>
              <w:start w:w="120" w:type="dxa"/>
              <w:bottom w:w="110" w:type="dxa"/>
              <w:end w:w="120" w:type="dxa"/>
            </w:tcMar>
            <w:vAlign w:val="center"/>
          </w:tcPr>
          <w:p>
            <w:pPr>
              <w:spacing w:after="0" w:line="252" w:lineRule="auto"/>
            </w:pPr>
            <w:r>
              <w:rPr>
                <w:rFonts w:ascii="Arial" w:hAnsi="Arial"/>
                <w:color w:val="000000"/>
                <w:sz w:val="18"/>
              </w:rPr>
              <w:t>200 with updated location</w:t>
            </w:r>
          </w:p>
        </w:tc>
      </w:tr>
      <w:tr>
        <w:tc>
          <w:tcPr>
            <w:tcW w:type="dxa" w:w="1843"/>
            <w:tcMar>
              <w:top w:w="110" w:type="dxa"/>
              <w:start w:w="120" w:type="dxa"/>
              <w:bottom w:w="110" w:type="dxa"/>
              <w:end w:w="120" w:type="dxa"/>
            </w:tcMar>
            <w:vAlign w:val="center"/>
          </w:tcPr>
          <w:p>
            <w:pPr>
              <w:spacing w:after="0" w:line="252" w:lineRule="auto"/>
            </w:pPr>
            <w:r>
              <w:rPr>
                <w:rFonts w:ascii="Arial" w:hAnsi="Arial"/>
                <w:color w:val="000000"/>
                <w:sz w:val="18"/>
              </w:rPr>
              <w:t>Deactivate supplier</w:t>
            </w:r>
          </w:p>
        </w:tc>
        <w:tc>
          <w:tcPr>
            <w:tcW w:type="dxa" w:w="2880"/>
            <w:tcMar>
              <w:top w:w="110" w:type="dxa"/>
              <w:start w:w="120" w:type="dxa"/>
              <w:bottom w:w="110" w:type="dxa"/>
              <w:end w:w="120" w:type="dxa"/>
            </w:tcMar>
            <w:vAlign w:val="center"/>
          </w:tcPr>
          <w:p>
            <w:pPr>
              <w:spacing w:after="0" w:line="252" w:lineRule="auto"/>
            </w:pPr>
            <w:r>
              <w:rPr>
                <w:rFonts w:ascii="Arial" w:hAnsi="Arial"/>
                <w:color w:val="000000"/>
                <w:sz w:val="18"/>
              </w:rPr>
              <w:t>DELETE</w:t>
              <w:br/>
              <w:t>/api/admin/suppliers/{id}</w:t>
            </w:r>
          </w:p>
        </w:tc>
        <w:tc>
          <w:tcPr>
            <w:tcW w:type="dxa" w:w="3168"/>
            <w:tcMar>
              <w:top w:w="110" w:type="dxa"/>
              <w:start w:w="120" w:type="dxa"/>
              <w:bottom w:w="110" w:type="dxa"/>
              <w:end w:w="120" w:type="dxa"/>
            </w:tcMar>
            <w:vAlign w:val="center"/>
          </w:tcPr>
          <w:p>
            <w:pPr>
              <w:spacing w:after="0" w:line="252" w:lineRule="auto"/>
            </w:pPr>
            <w:r>
              <w:rPr>
                <w:rFonts w:ascii="Arial" w:hAnsi="Arial"/>
                <w:color w:val="000000"/>
                <w:sz w:val="18"/>
              </w:rPr>
              <w:t>DELETE</w:t>
              <w:br/>
              <w:t>/api/admin/suppliers/{id}</w:t>
            </w:r>
          </w:p>
        </w:tc>
        <w:tc>
          <w:tcPr>
            <w:tcW w:type="dxa" w:w="2102"/>
            <w:tcMar>
              <w:top w:w="110" w:type="dxa"/>
              <w:start w:w="120" w:type="dxa"/>
              <w:bottom w:w="110" w:type="dxa"/>
              <w:end w:w="120" w:type="dxa"/>
            </w:tcMar>
            <w:vAlign w:val="center"/>
          </w:tcPr>
          <w:p>
            <w:pPr>
              <w:spacing w:after="0" w:line="252" w:lineRule="auto"/>
            </w:pPr>
            <w:r>
              <w:rPr>
                <w:rFonts w:ascii="Arial" w:hAnsi="Arial"/>
                <w:color w:val="000000"/>
                <w:sz w:val="18"/>
              </w:rPr>
              <w:t>Supplier returns 204; adapter returns success JSON</w:t>
            </w:r>
          </w:p>
        </w:tc>
      </w:tr>
    </w:tbl>
    <w:p>
      <w:pPr>
        <w:spacing w:after="40"/>
      </w:pPr>
    </w:p>
    <w:p>
      <w:pPr>
        <w:pStyle w:val="Heading2"/>
        <w:keepNext/>
      </w:pPr>
      <w:r>
        <w:t>Admin adapter checks</w:t>
      </w:r>
    </w:p>
    <w:p>
      <w:pPr>
        <w:spacing w:after="80" w:line="259" w:lineRule="auto"/>
        <w:ind w:left="432" w:hanging="432"/>
      </w:pPr>
      <w:r>
        <w:rPr>
          <w:rFonts w:ascii="Arial" w:hAnsi="Arial"/>
          <w:b/>
          <w:color w:val="000000"/>
          <w:sz w:val="21"/>
        </w:rPr>
        <w:t xml:space="preserve">1.  </w:t>
      </w:r>
      <w:r>
        <w:rPr>
          <w:rFonts w:ascii="Arial" w:hAnsi="Arial"/>
          <w:color w:val="000000"/>
          <w:sz w:val="21"/>
        </w:rPr>
        <w:t>The catch-all route accepts only explicitly allowlisted supplier and account paths with UUID-shaped identifiers.</w:t>
      </w:r>
    </w:p>
    <w:p>
      <w:pPr>
        <w:spacing w:after="80" w:line="259" w:lineRule="auto"/>
        <w:ind w:left="432" w:hanging="432"/>
      </w:pPr>
      <w:r>
        <w:rPr>
          <w:rFonts w:ascii="Arial" w:hAnsi="Arial"/>
          <w:b/>
          <w:color w:val="000000"/>
          <w:sz w:val="21"/>
        </w:rPr>
        <w:t xml:space="preserve">2.  </w:t>
      </w:r>
      <w:r>
        <w:rPr>
          <w:rFonts w:ascii="Arial" w:hAnsi="Arial"/>
          <w:color w:val="000000"/>
          <w:sz w:val="21"/>
        </w:rPr>
        <w:t>POST, PATCH, and DELETE requests must come from the expected origin and use application/json.</w:t>
      </w:r>
    </w:p>
    <w:p>
      <w:pPr>
        <w:spacing w:after="80" w:line="259" w:lineRule="auto"/>
        <w:ind w:left="432" w:hanging="432"/>
      </w:pPr>
      <w:r>
        <w:rPr>
          <w:rFonts w:ascii="Arial" w:hAnsi="Arial"/>
          <w:b/>
          <w:color w:val="000000"/>
          <w:sz w:val="21"/>
        </w:rPr>
        <w:t xml:space="preserve">3.  </w:t>
      </w:r>
      <w:r>
        <w:rPr>
          <w:rFonts w:ascii="Arial" w:hAnsi="Arial"/>
          <w:color w:val="000000"/>
          <w:sz w:val="21"/>
        </w:rPr>
        <w:t>The adapter rejects request bodies larger than 8192 bytes and invalid JSON objects.</w:t>
      </w:r>
    </w:p>
    <w:p>
      <w:pPr>
        <w:spacing w:after="80" w:line="259" w:lineRule="auto"/>
        <w:ind w:left="432" w:hanging="432"/>
      </w:pPr>
      <w:r>
        <w:rPr>
          <w:rFonts w:ascii="Arial" w:hAnsi="Arial"/>
          <w:b/>
          <w:color w:val="000000"/>
          <w:sz w:val="21"/>
        </w:rPr>
        <w:t xml:space="preserve">4.  </w:t>
      </w:r>
      <w:r>
        <w:rPr>
          <w:rFonts w:ascii="Arial" w:hAnsi="Arial"/>
          <w:color w:val="000000"/>
          <w:sz w:val="21"/>
        </w:rPr>
        <w:t>The adapter reads the access cookie and retrieves User Service GET /api/accounts/me.</w:t>
      </w:r>
    </w:p>
    <w:p>
      <w:pPr>
        <w:spacing w:after="80" w:line="259" w:lineRule="auto"/>
        <w:ind w:left="432" w:hanging="432"/>
      </w:pPr>
      <w:r>
        <w:rPr>
          <w:rFonts w:ascii="Arial" w:hAnsi="Arial"/>
          <w:b/>
          <w:color w:val="000000"/>
          <w:sz w:val="21"/>
        </w:rPr>
        <w:t xml:space="preserve">5.  </w:t>
      </w:r>
      <w:r>
        <w:rPr>
          <w:rFonts w:ascii="Arial" w:hAnsi="Arial"/>
          <w:color w:val="000000"/>
          <w:sz w:val="21"/>
        </w:rPr>
        <w:t>A non-admin profile receives 403 before any supplier mutation is forwarded.</w:t>
      </w:r>
    </w:p>
    <w:p>
      <w:pPr>
        <w:spacing w:after="80" w:line="259" w:lineRule="auto"/>
        <w:ind w:left="432" w:hanging="432"/>
      </w:pPr>
      <w:r>
        <w:rPr>
          <w:rFonts w:ascii="Arial" w:hAnsi="Arial"/>
          <w:b/>
          <w:color w:val="000000"/>
          <w:sz w:val="21"/>
        </w:rPr>
        <w:t xml:space="preserve">6.  </w:t>
      </w:r>
      <w:r>
        <w:rPr>
          <w:rFonts w:ascii="Arial" w:hAnsi="Arial"/>
          <w:color w:val="000000"/>
          <w:sz w:val="21"/>
        </w:rPr>
        <w:t>The Supplier Service performs its own JWT and ADMIN checks after the request is forwarded.</w:t>
      </w:r>
    </w:p>
    <w:p>
      <w:r>
        <w:br w:type="page"/>
      </w:r>
    </w:p>
    <w:p>
      <w:pPr>
        <w:pStyle w:val="Heading1"/>
        <w:keepNext/>
      </w:pPr>
      <w:r>
        <w:t>Create supplier workflow</w:t>
      </w:r>
    </w:p>
    <w:p>
      <w:pPr>
        <w:spacing w:after="140" w:line="271" w:lineRule="auto"/>
      </w:pPr>
      <w:r>
        <w:rPr>
          <w:rFonts w:ascii="Arial" w:hAnsi="Arial"/>
          <w:color w:val="000000"/>
          <w:sz w:val="21"/>
        </w:rPr>
        <w:t>The administrator selects Add supplier and submits a supplier name, category, and first pickup location. The React form converts numeric fields to numbers, omits a blank image URL, and sends one JSON object. After a successful response, the dashboard closes the editor, shows Supplier created, and reloads the active list.</w:t>
      </w:r>
    </w:p>
    <w:p>
      <w:pPr>
        <w:spacing w:before="80" w:after="160" w:line="252" w:lineRule="auto"/>
        <w:ind w:left="317" w:right="317"/>
        <w:shd w:fill="F4F5F7"/>
      </w:pPr>
      <w:r>
        <w:rPr>
          <w:rFonts w:ascii="Courier New" w:hAnsi="Courier New"/>
          <w:color w:val="000000"/>
          <w:sz w:val="18"/>
        </w:rPr>
        <w:t>{</w:t>
        <w:br/>
        <w:t xml:space="preserve">  "name": "Starbucks",</w:t>
        <w:br/>
        <w:t xml:space="preserve">  "category": "FOOD_COFFEE",</w:t>
        <w:br/>
        <w:t xml:space="preserve">  "location": {</w:t>
        <w:br/>
        <w:t xml:space="preserve">    "building": "UTown",</w:t>
        <w:br/>
        <w:t xml:space="preserve">    "floor": 1,</w:t>
        <w:br/>
        <w:t xml:space="preserve">    "locationDescription": "Near the main entrance",</w:t>
        <w:br/>
        <w:t xml:space="preserve">    "latitude": 1.3048,</w:t>
        <w:br/>
        <w:t xml:space="preserve">    "longitude": 103.7739,</w:t>
        <w:br/>
        <w:t xml:space="preserve">    "opensAt": "08:00",</w:t>
        <w:br/>
        <w:t xml:space="preserve">    "closesAt": "20:00",</w:t>
        <w:br/>
        <w:t xml:space="preserve">    "imageUrl": "https://example.com/starbucks-utown.jpg"</w:t>
        <w:br/>
        <w:t xml:space="preserve">  }</w:t>
        <w:br/>
        <w:t>}</w:t>
      </w:r>
    </w:p>
    <w:p>
      <w:pPr>
        <w:spacing w:after="140" w:line="271" w:lineRule="auto"/>
      </w:pPr>
      <w:r>
        <w:rPr>
          <w:rFonts w:ascii="Arial" w:hAnsi="Arial"/>
          <w:color w:val="000000"/>
          <w:sz w:val="21"/>
        </w:rPr>
        <w:t>CreateSupplierUseCase trims required text, validates the category, floor, coordinates, HH:mm times, and optional HTTP or HTTPS image URL. It derives supplierAtLocation as supplier name plus @ plus building and marks the location as overnight when closing time is earlier than opening time.</w:t>
      </w:r>
    </w:p>
    <w:p>
      <w:pPr>
        <w:spacing w:after="140" w:line="271" w:lineRule="auto"/>
      </w:pPr>
      <w:r>
        <w:rPr>
          <w:rFonts w:ascii="Arial" w:hAnsi="Arial"/>
          <w:color w:val="000000"/>
          <w:sz w:val="21"/>
        </w:rPr>
        <w:t>The Prisma nested create writes the supplier and first location atomically. A failure prevents both records from being committed. Case-insensitive unique constraints reject duplicate supplier names and duplicate supplierAtLocation values; the controller maps the repository conflict to HTTP 409.</w:t>
      </w:r>
    </w:p>
    <w:p>
      <w:pPr>
        <w:pStyle w:val="Heading1"/>
        <w:keepNext/>
      </w:pPr>
      <w:r>
        <w:t>Update supplier workflow</w:t>
      </w:r>
    </w:p>
    <w:p>
      <w:pPr>
        <w:spacing w:after="140" w:line="271" w:lineRule="auto"/>
      </w:pPr>
      <w:r>
        <w:rPr>
          <w:rFonts w:ascii="Arial" w:hAnsi="Arial"/>
          <w:color w:val="000000"/>
          <w:sz w:val="21"/>
        </w:rPr>
        <w:t>The supplier editor sends name and category to PATCH /api/admin/suppliers/:supplierId. UpdateSupplierUseCase rejects an empty update, normalizes a supplied name, and validates a supplied category. The repository first finds the supplier and its locations. When the name changes, one Prisma update changes the supplier and every derived supplierAtLocation label. The dashboard reloads the active list after success.</w:t>
      </w:r>
    </w:p>
    <w:p>
      <w:pPr>
        <w:pStyle w:val="Heading1"/>
        <w:keepNext/>
      </w:pPr>
      <w:r>
        <w:t>Update pickup location workflow</w:t>
      </w:r>
    </w:p>
    <w:p>
      <w:pPr>
        <w:spacing w:after="140" w:line="271" w:lineRule="auto"/>
      </w:pPr>
      <w:r>
        <w:rPr>
          <w:rFonts w:ascii="Arial" w:hAnsi="Arial"/>
          <w:color w:val="000000"/>
          <w:sz w:val="21"/>
        </w:rPr>
        <w:t>The location editor sends building, floor, description, coordinates, hours, and imageUrl. A blank image field becomes null so the stored image can be removed. UpdateSupplierLocationUseCase requires at least one field and validates only fields that are present. The repository verifies that the location belongs to the supplier before updating it.</w:t>
      </w:r>
    </w:p>
    <w:p>
      <w:pPr>
        <w:spacing w:after="140" w:line="271" w:lineRule="auto"/>
      </w:pPr>
      <w:r>
        <w:rPr>
          <w:rFonts w:ascii="Arial" w:hAnsi="Arial"/>
          <w:color w:val="000000"/>
          <w:sz w:val="21"/>
        </w:rPr>
        <w:t>The location UUID is retained. Existing values are overwritten rather than creating a replacement row. A building change recalculates supplierAtLocation, and an opening or closing time change recalculates isOpenOvernight. Keeping the UUID allows future errand records to keep a stable reference even when the pickup details change.</w:t>
      </w:r>
    </w:p>
    <w:p>
      <w:r>
        <w:br w:type="page"/>
      </w:r>
    </w:p>
    <w:p>
      <w:pPr>
        <w:pStyle w:val="Heading1"/>
        <w:keepNext/>
      </w:pPr>
      <w:r>
        <w:t>Deactivate supplier workflow</w:t>
      </w:r>
    </w:p>
    <w:p>
      <w:pPr>
        <w:spacing w:after="140" w:line="271" w:lineRule="auto"/>
      </w:pPr>
      <w:r>
        <w:rPr>
          <w:rFonts w:ascii="Arial" w:hAnsi="Arial"/>
          <w:color w:val="000000"/>
          <w:sz w:val="21"/>
        </w:rPr>
        <w:t>The dashboard requires explicit confirmation before DELETE /api/admin/suppliers/:supplierId. The repository sets the supplier isActive field to false and deactivates every currently active location in the same nested database update. No row is physically deleted. The Supplier Service returns 204, while the Next.js adapter converts the no-content response into a small success JSON object for the browser. The UI removes the supplier from local state and reports the deactivation.</w:t>
      </w:r>
    </w:p>
    <w:p>
      <w:pPr>
        <w:spacing w:after="140" w:line="271" w:lineRule="auto"/>
      </w:pPr>
      <w:r>
        <w:rPr>
          <w:rFonts w:ascii="Arial" w:hAnsi="Arial"/>
          <w:color w:val="000000"/>
          <w:sz w:val="21"/>
        </w:rPr>
        <w:t>Soft deletion protects historical references. The active catalog query excludes the supplier immediately, but its UUID and location records remain available in PostgreSQL.</w:t>
      </w:r>
    </w:p>
    <w:p>
      <w:pPr>
        <w:pStyle w:val="Heading1"/>
        <w:keepNext/>
      </w:pPr>
      <w:r>
        <w:t>Supplier Service backend layers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627"/>
            <w:shd w:fill="17365D"/>
            <w:tcMar>
              <w:top w:w="110" w:type="dxa"/>
              <w:start w:w="120" w:type="dxa"/>
              <w:bottom w:w="110" w:type="dxa"/>
              <w:end w:w="120" w:type="dxa"/>
            </w:tcMar>
            <w:vAlign w:val="center"/>
          </w:tcPr>
          <w:p>
            <w:pPr>
              <w:spacing w:after="0"/>
              <w:jc w:val="left"/>
            </w:pPr>
            <w:r/>
            <w:r>
              <w:rPr>
                <w:rFonts w:ascii="Arial" w:hAnsi="Arial"/>
                <w:b/>
                <w:color w:val="FFFFFF"/>
                <w:sz w:val="19"/>
              </w:rPr>
              <w:t>Layer</w:t>
            </w:r>
          </w:p>
        </w:tc>
        <w:tc>
          <w:tcPr>
            <w:tcW w:type="dxa" w:w="3384"/>
            <w:shd w:fill="17365D"/>
            <w:tcMar>
              <w:top w:w="110" w:type="dxa"/>
              <w:start w:w="120" w:type="dxa"/>
              <w:bottom w:w="110" w:type="dxa"/>
              <w:end w:w="120" w:type="dxa"/>
            </w:tcMar>
            <w:vAlign w:val="center"/>
          </w:tcPr>
          <w:p>
            <w:pPr>
              <w:spacing w:after="0"/>
              <w:jc w:val="left"/>
            </w:pPr>
            <w:r/>
            <w:r>
              <w:rPr>
                <w:rFonts w:ascii="Arial" w:hAnsi="Arial"/>
                <w:b/>
                <w:color w:val="FFFFFF"/>
                <w:sz w:val="19"/>
              </w:rPr>
              <w:t>Key implementation</w:t>
            </w:r>
          </w:p>
        </w:tc>
        <w:tc>
          <w:tcPr>
            <w:tcW w:type="dxa" w:w="4968"/>
            <w:shd w:fill="17365D"/>
            <w:tcMar>
              <w:top w:w="110" w:type="dxa"/>
              <w:start w:w="120" w:type="dxa"/>
              <w:bottom w:w="110" w:type="dxa"/>
              <w:end w:w="120" w:type="dxa"/>
            </w:tcMar>
            <w:vAlign w:val="center"/>
          </w:tcPr>
          <w:p>
            <w:pPr>
              <w:spacing w:after="0"/>
              <w:jc w:val="left"/>
            </w:pPr>
            <w:r/>
            <w:r>
              <w:rPr>
                <w:rFonts w:ascii="Arial" w:hAnsi="Arial"/>
                <w:b/>
                <w:color w:val="FFFFFF"/>
                <w:sz w:val="19"/>
              </w:rPr>
              <w:t>Responsibility</w:t>
            </w:r>
          </w:p>
        </w:tc>
      </w:tr>
      <w:tr>
        <w:tc>
          <w:tcPr>
            <w:tcW w:type="dxa" w:w="1627"/>
            <w:tcMar>
              <w:top w:w="110" w:type="dxa"/>
              <w:start w:w="120" w:type="dxa"/>
              <w:bottom w:w="110" w:type="dxa"/>
              <w:end w:w="120" w:type="dxa"/>
            </w:tcMar>
            <w:vAlign w:val="center"/>
          </w:tcPr>
          <w:p>
            <w:pPr>
              <w:spacing w:after="0" w:line="252" w:lineRule="auto"/>
            </w:pPr>
            <w:r>
              <w:rPr>
                <w:rFonts w:ascii="Arial" w:hAnsi="Arial"/>
                <w:color w:val="000000"/>
                <w:sz w:val="18"/>
              </w:rPr>
              <w:t>HTTP API</w:t>
            </w:r>
          </w:p>
        </w:tc>
        <w:tc>
          <w:tcPr>
            <w:tcW w:type="dxa" w:w="3384"/>
            <w:tcMar>
              <w:top w:w="110" w:type="dxa"/>
              <w:start w:w="120" w:type="dxa"/>
              <w:bottom w:w="110" w:type="dxa"/>
              <w:end w:w="120" w:type="dxa"/>
            </w:tcMar>
            <w:vAlign w:val="center"/>
          </w:tcPr>
          <w:p>
            <w:pPr>
              <w:spacing w:after="0" w:line="252" w:lineRule="auto"/>
            </w:pPr>
            <w:r>
              <w:rPr>
                <w:rFonts w:ascii="Arial" w:hAnsi="Arial"/>
                <w:color w:val="000000"/>
                <w:sz w:val="18"/>
              </w:rPr>
              <w:t>SuppliersController and AdminSuppliersController</w:t>
            </w:r>
          </w:p>
        </w:tc>
        <w:tc>
          <w:tcPr>
            <w:tcW w:type="dxa" w:w="4968"/>
            <w:tcMar>
              <w:top w:w="110" w:type="dxa"/>
              <w:start w:w="120" w:type="dxa"/>
              <w:bottom w:w="110" w:type="dxa"/>
              <w:end w:w="120" w:type="dxa"/>
            </w:tcMar>
            <w:vAlign w:val="center"/>
          </w:tcPr>
          <w:p>
            <w:pPr>
              <w:spacing w:after="0" w:line="252" w:lineRule="auto"/>
            </w:pPr>
            <w:r>
              <w:rPr>
                <w:rFonts w:ascii="Arial" w:hAnsi="Arial"/>
                <w:color w:val="000000"/>
                <w:sz w:val="18"/>
              </w:rPr>
              <w:t>Routes, DTOs, UUID parsing, Swagger metadata, HTTP error mapping</w:t>
            </w:r>
          </w:p>
        </w:tc>
      </w:tr>
      <w:tr>
        <w:tc>
          <w:tcPr>
            <w:tcW w:type="dxa" w:w="1627"/>
            <w:shd w:fill="EDF3F8"/>
            <w:tcMar>
              <w:top w:w="110" w:type="dxa"/>
              <w:start w:w="120" w:type="dxa"/>
              <w:bottom w:w="110" w:type="dxa"/>
              <w:end w:w="120" w:type="dxa"/>
            </w:tcMar>
            <w:vAlign w:val="center"/>
          </w:tcPr>
          <w:p>
            <w:pPr>
              <w:spacing w:after="0" w:line="252" w:lineRule="auto"/>
            </w:pPr>
            <w:r>
              <w:rPr>
                <w:rFonts w:ascii="Arial" w:hAnsi="Arial"/>
                <w:color w:val="000000"/>
                <w:sz w:val="18"/>
              </w:rPr>
              <w:t>Authentication</w:t>
            </w:r>
          </w:p>
        </w:tc>
        <w:tc>
          <w:tcPr>
            <w:tcW w:type="dxa" w:w="3384"/>
            <w:shd w:fill="EDF3F8"/>
            <w:tcMar>
              <w:top w:w="110" w:type="dxa"/>
              <w:start w:w="120" w:type="dxa"/>
              <w:bottom w:w="110" w:type="dxa"/>
              <w:end w:w="120" w:type="dxa"/>
            </w:tcMar>
            <w:vAlign w:val="center"/>
          </w:tcPr>
          <w:p>
            <w:pPr>
              <w:spacing w:after="0" w:line="252" w:lineRule="auto"/>
            </w:pPr>
            <w:r>
              <w:rPr>
                <w:rFonts w:ascii="Arial" w:hAnsi="Arial"/>
                <w:color w:val="000000"/>
                <w:sz w:val="18"/>
              </w:rPr>
              <w:t>JwtAuthenticationGuard</w:t>
            </w:r>
          </w:p>
        </w:tc>
        <w:tc>
          <w:tcPr>
            <w:tcW w:type="dxa" w:w="4968"/>
            <w:shd w:fill="EDF3F8"/>
            <w:tcMar>
              <w:top w:w="110" w:type="dxa"/>
              <w:start w:w="120" w:type="dxa"/>
              <w:bottom w:w="110" w:type="dxa"/>
              <w:end w:w="120" w:type="dxa"/>
            </w:tcMar>
            <w:vAlign w:val="center"/>
          </w:tcPr>
          <w:p>
            <w:pPr>
              <w:spacing w:after="0" w:line="252" w:lineRule="auto"/>
            </w:pPr>
            <w:r>
              <w:rPr>
                <w:rFonts w:ascii="Arial" w:hAnsi="Arial"/>
                <w:color w:val="000000"/>
                <w:sz w:val="18"/>
              </w:rPr>
              <w:t>Bearer extraction and JWT verification</w:t>
            </w:r>
          </w:p>
        </w:tc>
      </w:tr>
      <w:tr>
        <w:tc>
          <w:tcPr>
            <w:tcW w:type="dxa" w:w="1627"/>
            <w:tcMar>
              <w:top w:w="110" w:type="dxa"/>
              <w:start w:w="120" w:type="dxa"/>
              <w:bottom w:w="110" w:type="dxa"/>
              <w:end w:w="120" w:type="dxa"/>
            </w:tcMar>
            <w:vAlign w:val="center"/>
          </w:tcPr>
          <w:p>
            <w:pPr>
              <w:spacing w:after="0" w:line="252" w:lineRule="auto"/>
            </w:pPr>
            <w:r>
              <w:rPr>
                <w:rFonts w:ascii="Arial" w:hAnsi="Arial"/>
                <w:color w:val="000000"/>
                <w:sz w:val="18"/>
              </w:rPr>
              <w:t>Authorization</w:t>
            </w:r>
          </w:p>
        </w:tc>
        <w:tc>
          <w:tcPr>
            <w:tcW w:type="dxa" w:w="3384"/>
            <w:tcMar>
              <w:top w:w="110" w:type="dxa"/>
              <w:start w:w="120" w:type="dxa"/>
              <w:bottom w:w="110" w:type="dxa"/>
              <w:end w:w="120" w:type="dxa"/>
            </w:tcMar>
            <w:vAlign w:val="center"/>
          </w:tcPr>
          <w:p>
            <w:pPr>
              <w:spacing w:after="0" w:line="252" w:lineRule="auto"/>
            </w:pPr>
            <w:r>
              <w:rPr>
                <w:rFonts w:ascii="Arial" w:hAnsi="Arial"/>
                <w:color w:val="000000"/>
                <w:sz w:val="18"/>
              </w:rPr>
              <w:t>RolesGuard and RequireRoles</w:t>
            </w:r>
          </w:p>
        </w:tc>
        <w:tc>
          <w:tcPr>
            <w:tcW w:type="dxa" w:w="4968"/>
            <w:tcMar>
              <w:top w:w="110" w:type="dxa"/>
              <w:start w:w="120" w:type="dxa"/>
              <w:bottom w:w="110" w:type="dxa"/>
              <w:end w:w="120" w:type="dxa"/>
            </w:tcMar>
            <w:vAlign w:val="center"/>
          </w:tcPr>
          <w:p>
            <w:pPr>
              <w:spacing w:after="0" w:line="252" w:lineRule="auto"/>
            </w:pPr>
            <w:r>
              <w:rPr>
                <w:rFonts w:ascii="Arial" w:hAnsi="Arial"/>
                <w:color w:val="000000"/>
                <w:sz w:val="18"/>
              </w:rPr>
              <w:t>STUDENT and ADMIN permission enforcement</w:t>
            </w:r>
          </w:p>
        </w:tc>
      </w:tr>
      <w:tr>
        <w:tc>
          <w:tcPr>
            <w:tcW w:type="dxa" w:w="1627"/>
            <w:shd w:fill="EDF3F8"/>
            <w:tcMar>
              <w:top w:w="110" w:type="dxa"/>
              <w:start w:w="120" w:type="dxa"/>
              <w:bottom w:w="110" w:type="dxa"/>
              <w:end w:w="120" w:type="dxa"/>
            </w:tcMar>
            <w:vAlign w:val="center"/>
          </w:tcPr>
          <w:p>
            <w:pPr>
              <w:spacing w:after="0" w:line="252" w:lineRule="auto"/>
            </w:pPr>
            <w:r>
              <w:rPr>
                <w:rFonts w:ascii="Arial" w:hAnsi="Arial"/>
                <w:color w:val="000000"/>
                <w:sz w:val="18"/>
              </w:rPr>
              <w:t>Application</w:t>
            </w:r>
          </w:p>
        </w:tc>
        <w:tc>
          <w:tcPr>
            <w:tcW w:type="dxa" w:w="3384"/>
            <w:shd w:fill="EDF3F8"/>
            <w:tcMar>
              <w:top w:w="110" w:type="dxa"/>
              <w:start w:w="120" w:type="dxa"/>
              <w:bottom w:w="110" w:type="dxa"/>
              <w:end w:w="120" w:type="dxa"/>
            </w:tcMar>
            <w:vAlign w:val="center"/>
          </w:tcPr>
          <w:p>
            <w:pPr>
              <w:spacing w:after="0" w:line="252" w:lineRule="auto"/>
            </w:pPr>
            <w:r>
              <w:rPr>
                <w:rFonts w:ascii="Arial" w:hAnsi="Arial"/>
                <w:color w:val="000000"/>
                <w:sz w:val="18"/>
              </w:rPr>
              <w:t>List Create Update UpdateLocation Deactivate use cases</w:t>
            </w:r>
          </w:p>
        </w:tc>
        <w:tc>
          <w:tcPr>
            <w:tcW w:type="dxa" w:w="4968"/>
            <w:shd w:fill="EDF3F8"/>
            <w:tcMar>
              <w:top w:w="110" w:type="dxa"/>
              <w:start w:w="120" w:type="dxa"/>
              <w:bottom w:w="110" w:type="dxa"/>
              <w:end w:w="120" w:type="dxa"/>
            </w:tcMar>
            <w:vAlign w:val="center"/>
          </w:tcPr>
          <w:p>
            <w:pPr>
              <w:spacing w:after="0" w:line="252" w:lineRule="auto"/>
            </w:pPr>
            <w:r>
              <w:rPr>
                <w:rFonts w:ascii="Arial" w:hAnsi="Arial"/>
                <w:color w:val="000000"/>
                <w:sz w:val="18"/>
              </w:rPr>
              <w:t>Workflow-specific validation and orchestration</w:t>
            </w:r>
          </w:p>
        </w:tc>
      </w:tr>
      <w:tr>
        <w:tc>
          <w:tcPr>
            <w:tcW w:type="dxa" w:w="1627"/>
            <w:tcMar>
              <w:top w:w="110" w:type="dxa"/>
              <w:start w:w="120" w:type="dxa"/>
              <w:bottom w:w="110" w:type="dxa"/>
              <w:end w:w="120" w:type="dxa"/>
            </w:tcMar>
            <w:vAlign w:val="center"/>
          </w:tcPr>
          <w:p>
            <w:pPr>
              <w:spacing w:after="0" w:line="252" w:lineRule="auto"/>
            </w:pPr>
            <w:r>
              <w:rPr>
                <w:rFonts w:ascii="Arial" w:hAnsi="Arial"/>
                <w:color w:val="000000"/>
                <w:sz w:val="18"/>
              </w:rPr>
              <w:t>Domain</w:t>
            </w:r>
          </w:p>
        </w:tc>
        <w:tc>
          <w:tcPr>
            <w:tcW w:type="dxa" w:w="3384"/>
            <w:tcMar>
              <w:top w:w="110" w:type="dxa"/>
              <w:start w:w="120" w:type="dxa"/>
              <w:bottom w:w="110" w:type="dxa"/>
              <w:end w:w="120" w:type="dxa"/>
            </w:tcMar>
            <w:vAlign w:val="center"/>
          </w:tcPr>
          <w:p>
            <w:pPr>
              <w:spacing w:after="0" w:line="252" w:lineRule="auto"/>
            </w:pPr>
            <w:r>
              <w:rPr>
                <w:rFonts w:ascii="Arial" w:hAnsi="Arial"/>
                <w:color w:val="000000"/>
                <w:sz w:val="18"/>
              </w:rPr>
              <w:t>supplier-input and supplier-catalog</w:t>
            </w:r>
          </w:p>
        </w:tc>
        <w:tc>
          <w:tcPr>
            <w:tcW w:type="dxa" w:w="4968"/>
            <w:tcMar>
              <w:top w:w="110" w:type="dxa"/>
              <w:start w:w="120" w:type="dxa"/>
              <w:bottom w:w="110" w:type="dxa"/>
              <w:end w:w="120" w:type="dxa"/>
            </w:tcMar>
            <w:vAlign w:val="center"/>
          </w:tcPr>
          <w:p>
            <w:pPr>
              <w:spacing w:after="0" w:line="252" w:lineRule="auto"/>
            </w:pPr>
            <w:r>
              <w:rPr>
                <w:rFonts w:ascii="Arial" w:hAnsi="Arial"/>
                <w:color w:val="000000"/>
                <w:sz w:val="18"/>
              </w:rPr>
              <w:t>Categories, normalization, time and coordinate rules, public domain shapes</w:t>
            </w:r>
          </w:p>
        </w:tc>
      </w:tr>
      <w:tr>
        <w:tc>
          <w:tcPr>
            <w:tcW w:type="dxa" w:w="1627"/>
            <w:shd w:fill="EDF3F8"/>
            <w:tcMar>
              <w:top w:w="110" w:type="dxa"/>
              <w:start w:w="120" w:type="dxa"/>
              <w:bottom w:w="110" w:type="dxa"/>
              <w:end w:w="120" w:type="dxa"/>
            </w:tcMar>
            <w:vAlign w:val="center"/>
          </w:tcPr>
          <w:p>
            <w:pPr>
              <w:spacing w:after="0" w:line="252" w:lineRule="auto"/>
            </w:pPr>
            <w:r>
              <w:rPr>
                <w:rFonts w:ascii="Arial" w:hAnsi="Arial"/>
                <w:color w:val="000000"/>
                <w:sz w:val="18"/>
              </w:rPr>
              <w:t>Infrastructure</w:t>
            </w:r>
          </w:p>
        </w:tc>
        <w:tc>
          <w:tcPr>
            <w:tcW w:type="dxa" w:w="3384"/>
            <w:shd w:fill="EDF3F8"/>
            <w:tcMar>
              <w:top w:w="110" w:type="dxa"/>
              <w:start w:w="120" w:type="dxa"/>
              <w:bottom w:w="110" w:type="dxa"/>
              <w:end w:w="120" w:type="dxa"/>
            </w:tcMar>
            <w:vAlign w:val="center"/>
          </w:tcPr>
          <w:p>
            <w:pPr>
              <w:spacing w:after="0" w:line="252" w:lineRule="auto"/>
            </w:pPr>
            <w:r>
              <w:rPr>
                <w:rFonts w:ascii="Arial" w:hAnsi="Arial"/>
                <w:color w:val="000000"/>
                <w:sz w:val="18"/>
              </w:rPr>
              <w:t>PrismaSupplierCatalogRepository</w:t>
            </w:r>
          </w:p>
        </w:tc>
        <w:tc>
          <w:tcPr>
            <w:tcW w:type="dxa" w:w="4968"/>
            <w:shd w:fill="EDF3F8"/>
            <w:tcMar>
              <w:top w:w="110" w:type="dxa"/>
              <w:start w:w="120" w:type="dxa"/>
              <w:bottom w:w="110" w:type="dxa"/>
              <w:end w:w="120" w:type="dxa"/>
            </w:tcMar>
            <w:vAlign w:val="center"/>
          </w:tcPr>
          <w:p>
            <w:pPr>
              <w:spacing w:after="0" w:line="252" w:lineRule="auto"/>
            </w:pPr>
            <w:r>
              <w:rPr>
                <w:rFonts w:ascii="Arial" w:hAnsi="Arial"/>
                <w:color w:val="000000"/>
                <w:sz w:val="18"/>
              </w:rPr>
              <w:t>Prisma queries, nested writes, conflict translation, persistence mapping</w:t>
            </w:r>
          </w:p>
        </w:tc>
      </w:tr>
      <w:tr>
        <w:tc>
          <w:tcPr>
            <w:tcW w:type="dxa" w:w="1627"/>
            <w:tcMar>
              <w:top w:w="110" w:type="dxa"/>
              <w:start w:w="120" w:type="dxa"/>
              <w:bottom w:w="110" w:type="dxa"/>
              <w:end w:w="120" w:type="dxa"/>
            </w:tcMar>
            <w:vAlign w:val="center"/>
          </w:tcPr>
          <w:p>
            <w:pPr>
              <w:spacing w:after="0" w:line="252" w:lineRule="auto"/>
            </w:pPr>
            <w:r>
              <w:rPr>
                <w:rFonts w:ascii="Arial" w:hAnsi="Arial"/>
                <w:color w:val="000000"/>
                <w:sz w:val="18"/>
              </w:rPr>
              <w:t>Database</w:t>
            </w:r>
          </w:p>
        </w:tc>
        <w:tc>
          <w:tcPr>
            <w:tcW w:type="dxa" w:w="3384"/>
            <w:tcMar>
              <w:top w:w="110" w:type="dxa"/>
              <w:start w:w="120" w:type="dxa"/>
              <w:bottom w:w="110" w:type="dxa"/>
              <w:end w:w="120" w:type="dxa"/>
            </w:tcMar>
            <w:vAlign w:val="center"/>
          </w:tcPr>
          <w:p>
            <w:pPr>
              <w:spacing w:after="0" w:line="252" w:lineRule="auto"/>
            </w:pPr>
            <w:r>
              <w:rPr>
                <w:rFonts w:ascii="Arial" w:hAnsi="Arial"/>
                <w:color w:val="000000"/>
                <w:sz w:val="18"/>
              </w:rPr>
              <w:t>Supplier and SupplierLocation</w:t>
            </w:r>
          </w:p>
        </w:tc>
        <w:tc>
          <w:tcPr>
            <w:tcW w:type="dxa" w:w="4968"/>
            <w:tcMar>
              <w:top w:w="110" w:type="dxa"/>
              <w:start w:w="120" w:type="dxa"/>
              <w:bottom w:w="110" w:type="dxa"/>
              <w:end w:w="120" w:type="dxa"/>
            </w:tcMar>
            <w:vAlign w:val="center"/>
          </w:tcPr>
          <w:p>
            <w:pPr>
              <w:spacing w:after="0" w:line="252" w:lineRule="auto"/>
            </w:pPr>
            <w:r>
              <w:rPr>
                <w:rFonts w:ascii="Arial" w:hAnsi="Arial"/>
                <w:color w:val="000000"/>
                <w:sz w:val="18"/>
              </w:rPr>
              <w:t>Authoritative state, uniqueness, relations, indexes, active flags</w:t>
            </w:r>
          </w:p>
        </w:tc>
      </w:tr>
    </w:tbl>
    <w:p>
      <w:pPr>
        <w:spacing w:after="40"/>
      </w:pPr>
    </w:p>
    <w:p>
      <w:pPr>
        <w:pStyle w:val="Heading2"/>
        <w:keepNext/>
      </w:pPr>
      <w:r>
        <w:t>Dependency direction</w:t>
      </w:r>
    </w:p>
    <w:p>
      <w:pPr>
        <w:spacing w:before="80" w:after="160" w:line="252" w:lineRule="auto"/>
        <w:ind w:left="317" w:right="317"/>
        <w:shd w:fill="F4F5F7"/>
      </w:pPr>
      <w:r>
        <w:rPr>
          <w:rFonts w:ascii="Courier New" w:hAnsi="Courier New"/>
          <w:color w:val="000000"/>
          <w:sz w:val="18"/>
        </w:rPr>
        <w:t>HTTP controller  →  application use case  →  repository port  →  Prisma repository  →  PostgreSQL</w:t>
      </w:r>
    </w:p>
    <w:p>
      <w:pPr>
        <w:spacing w:after="140" w:line="271" w:lineRule="auto"/>
      </w:pPr>
      <w:r>
        <w:rPr>
          <w:rFonts w:ascii="Arial" w:hAnsi="Arial"/>
          <w:color w:val="000000"/>
          <w:sz w:val="21"/>
        </w:rPr>
        <w:t>SuppliersModule wires the concrete Prisma repository into use cases through NestJS dependency injection. Use cases depend on repository interfaces rather than importing Prisma directly, which keeps business rules testable without HTTP or a real database.</w:t>
      </w:r>
    </w:p>
    <w:p>
      <w:r>
        <w:br w:type="page"/>
      </w:r>
    </w:p>
    <w:p>
      <w:pPr>
        <w:pStyle w:val="Heading1"/>
        <w:keepNext/>
      </w:pPr>
      <w:r>
        <w:t>Database model and persistence rules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728"/>
            <w:shd w:fill="17365D"/>
            <w:tcMar>
              <w:top w:w="110" w:type="dxa"/>
              <w:start w:w="120" w:type="dxa"/>
              <w:bottom w:w="110" w:type="dxa"/>
              <w:end w:w="120" w:type="dxa"/>
            </w:tcMar>
            <w:vAlign w:val="center"/>
          </w:tcPr>
          <w:p>
            <w:pPr>
              <w:spacing w:after="0"/>
              <w:jc w:val="left"/>
            </w:pPr>
            <w:r/>
            <w:r>
              <w:rPr>
                <w:rFonts w:ascii="Arial" w:hAnsi="Arial"/>
                <w:b/>
                <w:color w:val="FFFFFF"/>
                <w:sz w:val="19"/>
              </w:rPr>
              <w:t>Record</w:t>
            </w:r>
          </w:p>
        </w:tc>
        <w:tc>
          <w:tcPr>
            <w:tcW w:type="dxa" w:w="4680"/>
            <w:shd w:fill="17365D"/>
            <w:tcMar>
              <w:top w:w="110" w:type="dxa"/>
              <w:start w:w="120" w:type="dxa"/>
              <w:bottom w:w="110" w:type="dxa"/>
              <w:end w:w="120" w:type="dxa"/>
            </w:tcMar>
            <w:vAlign w:val="center"/>
          </w:tcPr>
          <w:p>
            <w:pPr>
              <w:spacing w:after="0"/>
              <w:jc w:val="left"/>
            </w:pPr>
            <w:r/>
            <w:r>
              <w:rPr>
                <w:rFonts w:ascii="Arial" w:hAnsi="Arial"/>
                <w:b/>
                <w:color w:val="FFFFFF"/>
                <w:sz w:val="19"/>
              </w:rPr>
              <w:t>Important fields</w:t>
            </w:r>
          </w:p>
        </w:tc>
        <w:tc>
          <w:tcPr>
            <w:tcW w:type="dxa" w:w="3571"/>
            <w:shd w:fill="17365D"/>
            <w:tcMar>
              <w:top w:w="110" w:type="dxa"/>
              <w:start w:w="120" w:type="dxa"/>
              <w:bottom w:w="110" w:type="dxa"/>
              <w:end w:w="120" w:type="dxa"/>
            </w:tcMar>
            <w:vAlign w:val="center"/>
          </w:tcPr>
          <w:p>
            <w:pPr>
              <w:spacing w:after="0"/>
              <w:jc w:val="left"/>
            </w:pPr>
            <w:r/>
            <w:r>
              <w:rPr>
                <w:rFonts w:ascii="Arial" w:hAnsi="Arial"/>
                <w:b/>
                <w:color w:val="FFFFFF"/>
                <w:sz w:val="19"/>
              </w:rPr>
              <w:t>Rules used by the workflow</w:t>
            </w:r>
          </w:p>
        </w:tc>
      </w:tr>
      <w:tr>
        <w:tc>
          <w:tcPr>
            <w:tcW w:type="dxa" w:w="1728"/>
            <w:tcMar>
              <w:top w:w="110" w:type="dxa"/>
              <w:start w:w="120" w:type="dxa"/>
              <w:bottom w:w="110" w:type="dxa"/>
              <w:end w:w="120" w:type="dxa"/>
            </w:tcMar>
            <w:vAlign w:val="center"/>
          </w:tcPr>
          <w:p>
            <w:pPr>
              <w:spacing w:after="0" w:line="252" w:lineRule="auto"/>
            </w:pPr>
            <w:r>
              <w:rPr>
                <w:rFonts w:ascii="Arial" w:hAnsi="Arial"/>
                <w:color w:val="000000"/>
                <w:sz w:val="18"/>
              </w:rPr>
              <w:t>Supplier</w:t>
            </w:r>
          </w:p>
        </w:tc>
        <w:tc>
          <w:tcPr>
            <w:tcW w:type="dxa" w:w="4680"/>
            <w:tcMar>
              <w:top w:w="110" w:type="dxa"/>
              <w:start w:w="120" w:type="dxa"/>
              <w:bottom w:w="110" w:type="dxa"/>
              <w:end w:w="120" w:type="dxa"/>
            </w:tcMar>
            <w:vAlign w:val="center"/>
          </w:tcPr>
          <w:p>
            <w:pPr>
              <w:spacing w:after="0" w:line="252" w:lineRule="auto"/>
            </w:pPr>
            <w:r>
              <w:rPr>
                <w:rFonts w:ascii="Arial" w:hAnsi="Arial"/>
                <w:color w:val="000000"/>
                <w:sz w:val="18"/>
              </w:rPr>
              <w:t>id, name, category, isActive, timestamps</w:t>
            </w:r>
          </w:p>
        </w:tc>
        <w:tc>
          <w:tcPr>
            <w:tcW w:type="dxa" w:w="3571"/>
            <w:tcMar>
              <w:top w:w="110" w:type="dxa"/>
              <w:start w:w="120" w:type="dxa"/>
              <w:bottom w:w="110" w:type="dxa"/>
              <w:end w:w="120" w:type="dxa"/>
            </w:tcMar>
            <w:vAlign w:val="center"/>
          </w:tcPr>
          <w:p>
            <w:pPr>
              <w:spacing w:after="0" w:line="252" w:lineRule="auto"/>
            </w:pPr>
            <w:r>
              <w:rPr>
                <w:rFonts w:ascii="Arial" w:hAnsi="Arial"/>
                <w:color w:val="000000"/>
                <w:sz w:val="18"/>
              </w:rPr>
              <w:t>UUID primary key; case-insensitive unique name; one-to-many locations</w:t>
            </w:r>
          </w:p>
        </w:tc>
      </w:tr>
      <w:tr>
        <w:tc>
          <w:tcPr>
            <w:tcW w:type="dxa" w:w="1728"/>
            <w:shd w:fill="EDF3F8"/>
            <w:tcMar>
              <w:top w:w="110" w:type="dxa"/>
              <w:start w:w="120" w:type="dxa"/>
              <w:bottom w:w="110" w:type="dxa"/>
              <w:end w:w="120" w:type="dxa"/>
            </w:tcMar>
            <w:vAlign w:val="center"/>
          </w:tcPr>
          <w:p>
            <w:pPr>
              <w:spacing w:after="0" w:line="252" w:lineRule="auto"/>
            </w:pPr>
            <w:r>
              <w:rPr>
                <w:rFonts w:ascii="Arial" w:hAnsi="Arial"/>
                <w:color w:val="000000"/>
                <w:sz w:val="18"/>
              </w:rPr>
              <w:t>SupplierLocation</w:t>
            </w:r>
          </w:p>
        </w:tc>
        <w:tc>
          <w:tcPr>
            <w:tcW w:type="dxa" w:w="4680"/>
            <w:shd w:fill="EDF3F8"/>
            <w:tcMar>
              <w:top w:w="110" w:type="dxa"/>
              <w:start w:w="120" w:type="dxa"/>
              <w:bottom w:w="110" w:type="dxa"/>
              <w:end w:w="120" w:type="dxa"/>
            </w:tcMar>
            <w:vAlign w:val="center"/>
          </w:tcPr>
          <w:p>
            <w:pPr>
              <w:spacing w:after="0" w:line="252" w:lineRule="auto"/>
            </w:pPr>
            <w:r>
              <w:rPr>
                <w:rFonts w:ascii="Arial" w:hAnsi="Arial"/>
                <w:color w:val="000000"/>
                <w:sz w:val="18"/>
              </w:rPr>
              <w:t>id, supplierId, supplierAtLocation, building, floor, coordinates, hours, imageUrl, isActive</w:t>
            </w:r>
          </w:p>
        </w:tc>
        <w:tc>
          <w:tcPr>
            <w:tcW w:type="dxa" w:w="3571"/>
            <w:shd w:fill="EDF3F8"/>
            <w:tcMar>
              <w:top w:w="110" w:type="dxa"/>
              <w:start w:w="120" w:type="dxa"/>
              <w:bottom w:w="110" w:type="dxa"/>
              <w:end w:w="120" w:type="dxa"/>
            </w:tcMar>
            <w:vAlign w:val="center"/>
          </w:tcPr>
          <w:p>
            <w:pPr>
              <w:spacing w:after="0" w:line="252" w:lineRule="auto"/>
            </w:pPr>
            <w:r>
              <w:rPr>
                <w:rFonts w:ascii="Arial" w:hAnsi="Arial"/>
                <w:color w:val="000000"/>
                <w:sz w:val="18"/>
              </w:rPr>
              <w:t>UUID primary key; case-insensitive unique label; location uniqueness; supplier deletion restricted</w:t>
            </w:r>
          </w:p>
        </w:tc>
      </w:tr>
    </w:tbl>
    <w:p>
      <w:pPr>
        <w:spacing w:after="40"/>
      </w:pPr>
    </w:p>
    <w:p>
      <w:pPr>
        <w:spacing w:after="140" w:line="271" w:lineRule="auto"/>
      </w:pPr>
      <w:r>
        <w:rPr>
          <w:rFonts w:ascii="Arial" w:hAnsi="Arial"/>
          <w:color w:val="000000"/>
          <w:sz w:val="21"/>
        </w:rPr>
        <w:t>The supplierAtLocation value is a readable catalog label such as NUS Co-op@Central Library. Other services should store UUIDs rather than parse or depend on this label because names and buildings can change and supplier names may themselves contain the @ character.</w:t>
      </w:r>
    </w:p>
    <w:p>
      <w:pPr>
        <w:spacing w:after="140" w:line="271" w:lineRule="auto"/>
      </w:pPr>
      <w:r>
        <w:rPr>
          <w:rFonts w:ascii="Arial" w:hAnsi="Arial"/>
          <w:color w:val="000000"/>
          <w:sz w:val="21"/>
        </w:rPr>
        <w:t>The active catalog query orders suppliers by name and locations by supplierAtLocation. It returns only active suppliers that have at least one active location and excludes inactive locations from each result.</w:t>
      </w:r>
    </w:p>
    <w:p>
      <w:pPr>
        <w:pStyle w:val="Heading1"/>
        <w:keepNext/>
      </w:pPr>
      <w:r>
        <w:t>Validation boundaries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728"/>
            <w:shd w:fill="17365D"/>
            <w:tcMar>
              <w:top w:w="110" w:type="dxa"/>
              <w:start w:w="120" w:type="dxa"/>
              <w:bottom w:w="110" w:type="dxa"/>
              <w:end w:w="120" w:type="dxa"/>
            </w:tcMar>
            <w:vAlign w:val="center"/>
          </w:tcPr>
          <w:p>
            <w:pPr>
              <w:spacing w:after="0"/>
              <w:jc w:val="left"/>
            </w:pPr>
            <w:r/>
            <w:r>
              <w:rPr>
                <w:rFonts w:ascii="Arial" w:hAnsi="Arial"/>
                <w:b/>
                <w:color w:val="FFFFFF"/>
                <w:sz w:val="19"/>
              </w:rPr>
              <w:t>Boundary</w:t>
            </w:r>
          </w:p>
        </w:tc>
        <w:tc>
          <w:tcPr>
            <w:tcW w:type="dxa" w:w="4536"/>
            <w:shd w:fill="17365D"/>
            <w:tcMar>
              <w:top w:w="110" w:type="dxa"/>
              <w:start w:w="120" w:type="dxa"/>
              <w:bottom w:w="110" w:type="dxa"/>
              <w:end w:w="120" w:type="dxa"/>
            </w:tcMar>
            <w:vAlign w:val="center"/>
          </w:tcPr>
          <w:p>
            <w:pPr>
              <w:spacing w:after="0"/>
              <w:jc w:val="left"/>
            </w:pPr>
            <w:r/>
            <w:r>
              <w:rPr>
                <w:rFonts w:ascii="Arial" w:hAnsi="Arial"/>
                <w:b/>
                <w:color w:val="FFFFFF"/>
                <w:sz w:val="19"/>
              </w:rPr>
              <w:t>Examples</w:t>
            </w:r>
          </w:p>
        </w:tc>
        <w:tc>
          <w:tcPr>
            <w:tcW w:type="dxa" w:w="3715"/>
            <w:shd w:fill="17365D"/>
            <w:tcMar>
              <w:top w:w="110" w:type="dxa"/>
              <w:start w:w="120" w:type="dxa"/>
              <w:bottom w:w="110" w:type="dxa"/>
              <w:end w:w="120" w:type="dxa"/>
            </w:tcMar>
            <w:vAlign w:val="center"/>
          </w:tcPr>
          <w:p>
            <w:pPr>
              <w:spacing w:after="0"/>
              <w:jc w:val="left"/>
            </w:pPr>
            <w:r/>
            <w:r>
              <w:rPr>
                <w:rFonts w:ascii="Arial" w:hAnsi="Arial"/>
                <w:b/>
                <w:color w:val="FFFFFF"/>
                <w:sz w:val="19"/>
              </w:rPr>
              <w:t>Reason</w:t>
            </w:r>
          </w:p>
        </w:tc>
      </w:tr>
      <w:tr>
        <w:tc>
          <w:tcPr>
            <w:tcW w:type="dxa" w:w="1728"/>
            <w:tcMar>
              <w:top w:w="110" w:type="dxa"/>
              <w:start w:w="120" w:type="dxa"/>
              <w:bottom w:w="110" w:type="dxa"/>
              <w:end w:w="120" w:type="dxa"/>
            </w:tcMar>
            <w:vAlign w:val="center"/>
          </w:tcPr>
          <w:p>
            <w:pPr>
              <w:spacing w:after="0" w:line="252" w:lineRule="auto"/>
            </w:pPr>
            <w:r>
              <w:rPr>
                <w:rFonts w:ascii="Arial" w:hAnsi="Arial"/>
                <w:color w:val="000000"/>
                <w:sz w:val="18"/>
              </w:rPr>
              <w:t>React form</w:t>
            </w:r>
          </w:p>
        </w:tc>
        <w:tc>
          <w:tcPr>
            <w:tcW w:type="dxa" w:w="4536"/>
            <w:tcMar>
              <w:top w:w="110" w:type="dxa"/>
              <w:start w:w="120" w:type="dxa"/>
              <w:bottom w:w="110" w:type="dxa"/>
              <w:end w:w="120" w:type="dxa"/>
            </w:tcMar>
            <w:vAlign w:val="center"/>
          </w:tcPr>
          <w:p>
            <w:pPr>
              <w:spacing w:after="0" w:line="252" w:lineRule="auto"/>
            </w:pPr>
            <w:r>
              <w:rPr>
                <w:rFonts w:ascii="Arial" w:hAnsi="Arial"/>
                <w:color w:val="000000"/>
                <w:sz w:val="18"/>
              </w:rPr>
              <w:t>required fields, numeric ranges, time and URL input types</w:t>
            </w:r>
          </w:p>
        </w:tc>
        <w:tc>
          <w:tcPr>
            <w:tcW w:type="dxa" w:w="3715"/>
            <w:tcMar>
              <w:top w:w="110" w:type="dxa"/>
              <w:start w:w="120" w:type="dxa"/>
              <w:bottom w:w="110" w:type="dxa"/>
              <w:end w:w="120" w:type="dxa"/>
            </w:tcMar>
            <w:vAlign w:val="center"/>
          </w:tcPr>
          <w:p>
            <w:pPr>
              <w:spacing w:after="0" w:line="252" w:lineRule="auto"/>
            </w:pPr>
            <w:r>
              <w:rPr>
                <w:rFonts w:ascii="Arial" w:hAnsi="Arial"/>
                <w:color w:val="000000"/>
                <w:sz w:val="18"/>
              </w:rPr>
              <w:t>Immediate user feedback</w:t>
            </w:r>
          </w:p>
        </w:tc>
      </w:tr>
      <w:tr>
        <w:tc>
          <w:tcPr>
            <w:tcW w:type="dxa" w:w="1728"/>
            <w:shd w:fill="EDF3F8"/>
            <w:tcMar>
              <w:top w:w="110" w:type="dxa"/>
              <w:start w:w="120" w:type="dxa"/>
              <w:bottom w:w="110" w:type="dxa"/>
              <w:end w:w="120" w:type="dxa"/>
            </w:tcMar>
            <w:vAlign w:val="center"/>
          </w:tcPr>
          <w:p>
            <w:pPr>
              <w:spacing w:after="0" w:line="252" w:lineRule="auto"/>
            </w:pPr>
            <w:r>
              <w:rPr>
                <w:rFonts w:ascii="Arial" w:hAnsi="Arial"/>
                <w:color w:val="000000"/>
                <w:sz w:val="18"/>
              </w:rPr>
              <w:t>Next.js adapter</w:t>
            </w:r>
          </w:p>
        </w:tc>
        <w:tc>
          <w:tcPr>
            <w:tcW w:type="dxa" w:w="4536"/>
            <w:shd w:fill="EDF3F8"/>
            <w:tcMar>
              <w:top w:w="110" w:type="dxa"/>
              <w:start w:w="120" w:type="dxa"/>
              <w:bottom w:w="110" w:type="dxa"/>
              <w:end w:w="120" w:type="dxa"/>
            </w:tcMar>
            <w:vAlign w:val="center"/>
          </w:tcPr>
          <w:p>
            <w:pPr>
              <w:spacing w:after="0" w:line="252" w:lineRule="auto"/>
            </w:pPr>
            <w:r>
              <w:rPr>
                <w:rFonts w:ascii="Arial" w:hAnsi="Arial"/>
                <w:color w:val="000000"/>
                <w:sz w:val="18"/>
              </w:rPr>
              <w:t>origin, JSON content type, allowed path, UUID pattern, 8 KB body limit</w:t>
            </w:r>
          </w:p>
        </w:tc>
        <w:tc>
          <w:tcPr>
            <w:tcW w:type="dxa" w:w="3715"/>
            <w:shd w:fill="EDF3F8"/>
            <w:tcMar>
              <w:top w:w="110" w:type="dxa"/>
              <w:start w:w="120" w:type="dxa"/>
              <w:bottom w:w="110" w:type="dxa"/>
              <w:end w:w="120" w:type="dxa"/>
            </w:tcMar>
            <w:vAlign w:val="center"/>
          </w:tcPr>
          <w:p>
            <w:pPr>
              <w:spacing w:after="0" w:line="252" w:lineRule="auto"/>
            </w:pPr>
            <w:r>
              <w:rPr>
                <w:rFonts w:ascii="Arial" w:hAnsi="Arial"/>
                <w:color w:val="000000"/>
                <w:sz w:val="18"/>
              </w:rPr>
              <w:t>Protect the same-origin server boundary</w:t>
            </w:r>
          </w:p>
        </w:tc>
      </w:tr>
      <w:tr>
        <w:tc>
          <w:tcPr>
            <w:tcW w:type="dxa" w:w="1728"/>
            <w:tcMar>
              <w:top w:w="110" w:type="dxa"/>
              <w:start w:w="120" w:type="dxa"/>
              <w:bottom w:w="110" w:type="dxa"/>
              <w:end w:w="120" w:type="dxa"/>
            </w:tcMar>
            <w:vAlign w:val="center"/>
          </w:tcPr>
          <w:p>
            <w:pPr>
              <w:spacing w:after="0" w:line="252" w:lineRule="auto"/>
            </w:pPr>
            <w:r>
              <w:rPr>
                <w:rFonts w:ascii="Arial" w:hAnsi="Arial"/>
                <w:color w:val="000000"/>
                <w:sz w:val="18"/>
              </w:rPr>
              <w:t>NestJS DTO</w:t>
            </w:r>
          </w:p>
        </w:tc>
        <w:tc>
          <w:tcPr>
            <w:tcW w:type="dxa" w:w="4536"/>
            <w:tcMar>
              <w:top w:w="110" w:type="dxa"/>
              <w:start w:w="120" w:type="dxa"/>
              <w:bottom w:w="110" w:type="dxa"/>
              <w:end w:w="120" w:type="dxa"/>
            </w:tcMar>
            <w:vAlign w:val="center"/>
          </w:tcPr>
          <w:p>
            <w:pPr>
              <w:spacing w:after="0" w:line="252" w:lineRule="auto"/>
            </w:pPr>
            <w:r>
              <w:rPr>
                <w:rFonts w:ascii="Arial" w:hAnsi="Arial"/>
                <w:color w:val="000000"/>
                <w:sz w:val="18"/>
              </w:rPr>
              <w:t>whitelisted properties, types, maximum lengths, enum membership</w:t>
            </w:r>
          </w:p>
        </w:tc>
        <w:tc>
          <w:tcPr>
            <w:tcW w:type="dxa" w:w="3715"/>
            <w:tcMar>
              <w:top w:w="110" w:type="dxa"/>
              <w:start w:w="120" w:type="dxa"/>
              <w:bottom w:w="110" w:type="dxa"/>
              <w:end w:w="120" w:type="dxa"/>
            </w:tcMar>
            <w:vAlign w:val="center"/>
          </w:tcPr>
          <w:p>
            <w:pPr>
              <w:spacing w:after="0" w:line="252" w:lineRule="auto"/>
            </w:pPr>
            <w:r>
              <w:rPr>
                <w:rFonts w:ascii="Arial" w:hAnsi="Arial"/>
                <w:color w:val="000000"/>
                <w:sz w:val="18"/>
              </w:rPr>
              <w:t>Reject malformed HTTP payloads</w:t>
            </w:r>
          </w:p>
        </w:tc>
      </w:tr>
      <w:tr>
        <w:tc>
          <w:tcPr>
            <w:tcW w:type="dxa" w:w="1728"/>
            <w:shd w:fill="EDF3F8"/>
            <w:tcMar>
              <w:top w:w="110" w:type="dxa"/>
              <w:start w:w="120" w:type="dxa"/>
              <w:bottom w:w="110" w:type="dxa"/>
              <w:end w:w="120" w:type="dxa"/>
            </w:tcMar>
            <w:vAlign w:val="center"/>
          </w:tcPr>
          <w:p>
            <w:pPr>
              <w:spacing w:after="0" w:line="252" w:lineRule="auto"/>
            </w:pPr>
            <w:r>
              <w:rPr>
                <w:rFonts w:ascii="Arial" w:hAnsi="Arial"/>
                <w:color w:val="000000"/>
                <w:sz w:val="18"/>
              </w:rPr>
              <w:t>Use case</w:t>
            </w:r>
          </w:p>
        </w:tc>
        <w:tc>
          <w:tcPr>
            <w:tcW w:type="dxa" w:w="4536"/>
            <w:shd w:fill="EDF3F8"/>
            <w:tcMar>
              <w:top w:w="110" w:type="dxa"/>
              <w:start w:w="120" w:type="dxa"/>
              <w:bottom w:w="110" w:type="dxa"/>
              <w:end w:w="120" w:type="dxa"/>
            </w:tcMar>
            <w:vAlign w:val="center"/>
          </w:tcPr>
          <w:p>
            <w:pPr>
              <w:spacing w:after="0" w:line="252" w:lineRule="auto"/>
            </w:pPr>
            <w:r>
              <w:rPr>
                <w:rFonts w:ascii="Arial" w:hAnsi="Arial"/>
                <w:color w:val="000000"/>
                <w:sz w:val="18"/>
              </w:rPr>
              <w:t>trim text, reject empty PATCH, coordinates, floor, time, image URL</w:t>
            </w:r>
          </w:p>
        </w:tc>
        <w:tc>
          <w:tcPr>
            <w:tcW w:type="dxa" w:w="3715"/>
            <w:shd w:fill="EDF3F8"/>
            <w:tcMar>
              <w:top w:w="110" w:type="dxa"/>
              <w:start w:w="120" w:type="dxa"/>
              <w:bottom w:w="110" w:type="dxa"/>
              <w:end w:w="120" w:type="dxa"/>
            </w:tcMar>
            <w:vAlign w:val="center"/>
          </w:tcPr>
          <w:p>
            <w:pPr>
              <w:spacing w:after="0" w:line="252" w:lineRule="auto"/>
            </w:pPr>
            <w:r>
              <w:rPr>
                <w:rFonts w:ascii="Arial" w:hAnsi="Arial"/>
                <w:color w:val="000000"/>
                <w:sz w:val="18"/>
              </w:rPr>
              <w:t>Protect rules independent of HTTP</w:t>
            </w:r>
          </w:p>
        </w:tc>
      </w:tr>
      <w:tr>
        <w:tc>
          <w:tcPr>
            <w:tcW w:type="dxa" w:w="1728"/>
            <w:tcMar>
              <w:top w:w="110" w:type="dxa"/>
              <w:start w:w="120" w:type="dxa"/>
              <w:bottom w:w="110" w:type="dxa"/>
              <w:end w:w="120" w:type="dxa"/>
            </w:tcMar>
            <w:vAlign w:val="center"/>
          </w:tcPr>
          <w:p>
            <w:pPr>
              <w:spacing w:after="0" w:line="252" w:lineRule="auto"/>
            </w:pPr>
            <w:r>
              <w:rPr>
                <w:rFonts w:ascii="Arial" w:hAnsi="Arial"/>
                <w:color w:val="000000"/>
                <w:sz w:val="18"/>
              </w:rPr>
              <w:t>PostgreSQL</w:t>
            </w:r>
          </w:p>
        </w:tc>
        <w:tc>
          <w:tcPr>
            <w:tcW w:type="dxa" w:w="4536"/>
            <w:tcMar>
              <w:top w:w="110" w:type="dxa"/>
              <w:start w:w="120" w:type="dxa"/>
              <w:bottom w:w="110" w:type="dxa"/>
              <w:end w:w="120" w:type="dxa"/>
            </w:tcMar>
            <w:vAlign w:val="center"/>
          </w:tcPr>
          <w:p>
            <w:pPr>
              <w:spacing w:after="0" w:line="252" w:lineRule="auto"/>
            </w:pPr>
            <w:r>
              <w:rPr>
                <w:rFonts w:ascii="Arial" w:hAnsi="Arial"/>
                <w:color w:val="000000"/>
                <w:sz w:val="18"/>
              </w:rPr>
              <w:t>unique names and labels, foreign key, floor and coordinate checks</w:t>
            </w:r>
          </w:p>
        </w:tc>
        <w:tc>
          <w:tcPr>
            <w:tcW w:type="dxa" w:w="3715"/>
            <w:tcMar>
              <w:top w:w="110" w:type="dxa"/>
              <w:start w:w="120" w:type="dxa"/>
              <w:bottom w:w="110" w:type="dxa"/>
              <w:end w:w="120" w:type="dxa"/>
            </w:tcMar>
            <w:vAlign w:val="center"/>
          </w:tcPr>
          <w:p>
            <w:pPr>
              <w:spacing w:after="0" w:line="252" w:lineRule="auto"/>
            </w:pPr>
            <w:r>
              <w:rPr>
                <w:rFonts w:ascii="Arial" w:hAnsi="Arial"/>
                <w:color w:val="000000"/>
                <w:sz w:val="18"/>
              </w:rPr>
              <w:t>Final integrity and concurrency protection</w:t>
            </w:r>
          </w:p>
        </w:tc>
      </w:tr>
    </w:tbl>
    <w:p>
      <w:pPr>
        <w:spacing w:after="40"/>
      </w:pPr>
    </w:p>
    <w:p>
      <w:r>
        <w:br w:type="page"/>
      </w:r>
    </w:p>
    <w:p>
      <w:pPr>
        <w:pStyle w:val="Heading1"/>
        <w:keepNext/>
      </w:pPr>
      <w:r>
        <w:t>HTTP status and error propagation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080"/>
            <w:shd w:fill="17365D"/>
            <w:tcMar>
              <w:top w:w="110" w:type="dxa"/>
              <w:start w:w="120" w:type="dxa"/>
              <w:bottom w:w="110" w:type="dxa"/>
              <w:end w:w="120" w:type="dxa"/>
            </w:tcMar>
            <w:vAlign w:val="center"/>
          </w:tcPr>
          <w:p>
            <w:pPr>
              <w:spacing w:after="0"/>
              <w:jc w:val="left"/>
            </w:pPr>
            <w:r/>
            <w:r>
              <w:rPr>
                <w:rFonts w:ascii="Arial" w:hAnsi="Arial"/>
                <w:b/>
                <w:color w:val="FFFFFF"/>
                <w:sz w:val="19"/>
              </w:rPr>
              <w:t>Status</w:t>
            </w:r>
          </w:p>
        </w:tc>
        <w:tc>
          <w:tcPr>
            <w:tcW w:type="dxa" w:w="4925"/>
            <w:shd w:fill="17365D"/>
            <w:tcMar>
              <w:top w:w="110" w:type="dxa"/>
              <w:start w:w="120" w:type="dxa"/>
              <w:bottom w:w="110" w:type="dxa"/>
              <w:end w:w="120" w:type="dxa"/>
            </w:tcMar>
            <w:vAlign w:val="center"/>
          </w:tcPr>
          <w:p>
            <w:pPr>
              <w:spacing w:after="0"/>
              <w:jc w:val="left"/>
            </w:pPr>
            <w:r/>
            <w:r>
              <w:rPr>
                <w:rFonts w:ascii="Arial" w:hAnsi="Arial"/>
                <w:b/>
                <w:color w:val="FFFFFF"/>
                <w:sz w:val="19"/>
              </w:rPr>
              <w:t>Meaning in this integration</w:t>
            </w:r>
          </w:p>
        </w:tc>
        <w:tc>
          <w:tcPr>
            <w:tcW w:type="dxa" w:w="3960"/>
            <w:shd w:fill="17365D"/>
            <w:tcMar>
              <w:top w:w="110" w:type="dxa"/>
              <w:start w:w="120" w:type="dxa"/>
              <w:bottom w:w="110" w:type="dxa"/>
              <w:end w:w="120" w:type="dxa"/>
            </w:tcMar>
            <w:vAlign w:val="center"/>
          </w:tcPr>
          <w:p>
            <w:pPr>
              <w:spacing w:after="0"/>
              <w:jc w:val="left"/>
            </w:pPr>
            <w:r/>
            <w:r>
              <w:rPr>
                <w:rFonts w:ascii="Arial" w:hAnsi="Arial"/>
                <w:b/>
                <w:color w:val="FFFFFF"/>
                <w:sz w:val="19"/>
              </w:rPr>
              <w:t>Frontend behavior</w:t>
            </w:r>
          </w:p>
        </w:tc>
      </w:tr>
      <w:tr>
        <w:tc>
          <w:tcPr>
            <w:tcW w:type="dxa" w:w="1080"/>
            <w:tcMar>
              <w:top w:w="110" w:type="dxa"/>
              <w:start w:w="120" w:type="dxa"/>
              <w:bottom w:w="110" w:type="dxa"/>
              <w:end w:w="120" w:type="dxa"/>
            </w:tcMar>
            <w:vAlign w:val="center"/>
          </w:tcPr>
          <w:p>
            <w:pPr>
              <w:spacing w:after="0" w:line="252" w:lineRule="auto"/>
            </w:pPr>
            <w:r>
              <w:rPr>
                <w:rFonts w:ascii="Arial" w:hAnsi="Arial"/>
                <w:color w:val="000000"/>
                <w:sz w:val="18"/>
              </w:rPr>
              <w:t>200</w:t>
            </w:r>
          </w:p>
        </w:tc>
        <w:tc>
          <w:tcPr>
            <w:tcW w:type="dxa" w:w="4925"/>
            <w:tcMar>
              <w:top w:w="110" w:type="dxa"/>
              <w:start w:w="120" w:type="dxa"/>
              <w:bottom w:w="110" w:type="dxa"/>
              <w:end w:w="120" w:type="dxa"/>
            </w:tcMar>
            <w:vAlign w:val="center"/>
          </w:tcPr>
          <w:p>
            <w:pPr>
              <w:spacing w:after="0" w:line="252" w:lineRule="auto"/>
            </w:pPr>
            <w:r>
              <w:rPr>
                <w:rFonts w:ascii="Arial" w:hAnsi="Arial"/>
                <w:color w:val="000000"/>
                <w:sz w:val="18"/>
              </w:rPr>
              <w:t>Successful read or update</w:t>
            </w:r>
          </w:p>
        </w:tc>
        <w:tc>
          <w:tcPr>
            <w:tcW w:type="dxa" w:w="3960"/>
            <w:tcMar>
              <w:top w:w="110" w:type="dxa"/>
              <w:start w:w="120" w:type="dxa"/>
              <w:bottom w:w="110" w:type="dxa"/>
              <w:end w:w="120" w:type="dxa"/>
            </w:tcMar>
            <w:vAlign w:val="center"/>
          </w:tcPr>
          <w:p>
            <w:pPr>
              <w:spacing w:after="0" w:line="252" w:lineRule="auto"/>
            </w:pPr>
            <w:r>
              <w:rPr>
                <w:rFonts w:ascii="Arial" w:hAnsi="Arial"/>
                <w:color w:val="000000"/>
                <w:sz w:val="18"/>
              </w:rPr>
              <w:t>Render data or show saved message</w:t>
            </w:r>
          </w:p>
        </w:tc>
      </w:tr>
      <w:tr>
        <w:tc>
          <w:tcPr>
            <w:tcW w:type="dxa" w:w="1080"/>
            <w:shd w:fill="EDF3F8"/>
            <w:tcMar>
              <w:top w:w="110" w:type="dxa"/>
              <w:start w:w="120" w:type="dxa"/>
              <w:bottom w:w="110" w:type="dxa"/>
              <w:end w:w="120" w:type="dxa"/>
            </w:tcMar>
            <w:vAlign w:val="center"/>
          </w:tcPr>
          <w:p>
            <w:pPr>
              <w:spacing w:after="0" w:line="252" w:lineRule="auto"/>
            </w:pPr>
            <w:r>
              <w:rPr>
                <w:rFonts w:ascii="Arial" w:hAnsi="Arial"/>
                <w:color w:val="000000"/>
                <w:sz w:val="18"/>
              </w:rPr>
              <w:t>201</w:t>
            </w:r>
          </w:p>
        </w:tc>
        <w:tc>
          <w:tcPr>
            <w:tcW w:type="dxa" w:w="4925"/>
            <w:shd w:fill="EDF3F8"/>
            <w:tcMar>
              <w:top w:w="110" w:type="dxa"/>
              <w:start w:w="120" w:type="dxa"/>
              <w:bottom w:w="110" w:type="dxa"/>
              <w:end w:w="120" w:type="dxa"/>
            </w:tcMar>
            <w:vAlign w:val="center"/>
          </w:tcPr>
          <w:p>
            <w:pPr>
              <w:spacing w:after="0" w:line="252" w:lineRule="auto"/>
            </w:pPr>
            <w:r>
              <w:rPr>
                <w:rFonts w:ascii="Arial" w:hAnsi="Arial"/>
                <w:color w:val="000000"/>
                <w:sz w:val="18"/>
              </w:rPr>
              <w:t>Supplier and first location created</w:t>
            </w:r>
          </w:p>
        </w:tc>
        <w:tc>
          <w:tcPr>
            <w:tcW w:type="dxa" w:w="3960"/>
            <w:shd w:fill="EDF3F8"/>
            <w:tcMar>
              <w:top w:w="110" w:type="dxa"/>
              <w:start w:w="120" w:type="dxa"/>
              <w:bottom w:w="110" w:type="dxa"/>
              <w:end w:w="120" w:type="dxa"/>
            </w:tcMar>
            <w:vAlign w:val="center"/>
          </w:tcPr>
          <w:p>
            <w:pPr>
              <w:spacing w:after="0" w:line="252" w:lineRule="auto"/>
            </w:pPr>
            <w:r>
              <w:rPr>
                <w:rFonts w:ascii="Arial" w:hAnsi="Arial"/>
                <w:color w:val="000000"/>
                <w:sz w:val="18"/>
              </w:rPr>
              <w:t>Close editor and reload catalog</w:t>
            </w:r>
          </w:p>
        </w:tc>
      </w:tr>
      <w:tr>
        <w:tc>
          <w:tcPr>
            <w:tcW w:type="dxa" w:w="1080"/>
            <w:tcMar>
              <w:top w:w="110" w:type="dxa"/>
              <w:start w:w="120" w:type="dxa"/>
              <w:bottom w:w="110" w:type="dxa"/>
              <w:end w:w="120" w:type="dxa"/>
            </w:tcMar>
            <w:vAlign w:val="center"/>
          </w:tcPr>
          <w:p>
            <w:pPr>
              <w:spacing w:after="0" w:line="252" w:lineRule="auto"/>
            </w:pPr>
            <w:r>
              <w:rPr>
                <w:rFonts w:ascii="Arial" w:hAnsi="Arial"/>
                <w:color w:val="000000"/>
                <w:sz w:val="18"/>
              </w:rPr>
              <w:t>204</w:t>
            </w:r>
          </w:p>
        </w:tc>
        <w:tc>
          <w:tcPr>
            <w:tcW w:type="dxa" w:w="4925"/>
            <w:tcMar>
              <w:top w:w="110" w:type="dxa"/>
              <w:start w:w="120" w:type="dxa"/>
              <w:bottom w:w="110" w:type="dxa"/>
              <w:end w:w="120" w:type="dxa"/>
            </w:tcMar>
            <w:vAlign w:val="center"/>
          </w:tcPr>
          <w:p>
            <w:pPr>
              <w:spacing w:after="0" w:line="252" w:lineRule="auto"/>
            </w:pPr>
            <w:r>
              <w:rPr>
                <w:rFonts w:ascii="Arial" w:hAnsi="Arial"/>
                <w:color w:val="000000"/>
                <w:sz w:val="18"/>
              </w:rPr>
              <w:t>Supplier deactivated by backend</w:t>
            </w:r>
          </w:p>
        </w:tc>
        <w:tc>
          <w:tcPr>
            <w:tcW w:type="dxa" w:w="3960"/>
            <w:tcMar>
              <w:top w:w="110" w:type="dxa"/>
              <w:start w:w="120" w:type="dxa"/>
              <w:bottom w:w="110" w:type="dxa"/>
              <w:end w:w="120" w:type="dxa"/>
            </w:tcMar>
            <w:vAlign w:val="center"/>
          </w:tcPr>
          <w:p>
            <w:pPr>
              <w:spacing w:after="0" w:line="252" w:lineRule="auto"/>
            </w:pPr>
            <w:r>
              <w:rPr>
                <w:rFonts w:ascii="Arial" w:hAnsi="Arial"/>
                <w:color w:val="000000"/>
                <w:sz w:val="18"/>
              </w:rPr>
              <w:t>Adapter converts to success JSON</w:t>
            </w:r>
          </w:p>
        </w:tc>
      </w:tr>
      <w:tr>
        <w:tc>
          <w:tcPr>
            <w:tcW w:type="dxa" w:w="1080"/>
            <w:shd w:fill="EDF3F8"/>
            <w:tcMar>
              <w:top w:w="110" w:type="dxa"/>
              <w:start w:w="120" w:type="dxa"/>
              <w:bottom w:w="110" w:type="dxa"/>
              <w:end w:w="120" w:type="dxa"/>
            </w:tcMar>
            <w:vAlign w:val="center"/>
          </w:tcPr>
          <w:p>
            <w:pPr>
              <w:spacing w:after="0" w:line="252" w:lineRule="auto"/>
            </w:pPr>
            <w:r>
              <w:rPr>
                <w:rFonts w:ascii="Arial" w:hAnsi="Arial"/>
                <w:color w:val="000000"/>
                <w:sz w:val="18"/>
              </w:rPr>
              <w:t>400</w:t>
            </w:r>
          </w:p>
        </w:tc>
        <w:tc>
          <w:tcPr>
            <w:tcW w:type="dxa" w:w="4925"/>
            <w:shd w:fill="EDF3F8"/>
            <w:tcMar>
              <w:top w:w="110" w:type="dxa"/>
              <w:start w:w="120" w:type="dxa"/>
              <w:bottom w:w="110" w:type="dxa"/>
              <w:end w:w="120" w:type="dxa"/>
            </w:tcMar>
            <w:vAlign w:val="center"/>
          </w:tcPr>
          <w:p>
            <w:pPr>
              <w:spacing w:after="0" w:line="252" w:lineRule="auto"/>
            </w:pPr>
            <w:r>
              <w:rPr>
                <w:rFonts w:ascii="Arial" w:hAnsi="Arial"/>
                <w:color w:val="000000"/>
                <w:sz w:val="18"/>
              </w:rPr>
              <w:t>Invalid input or empty update</w:t>
            </w:r>
          </w:p>
        </w:tc>
        <w:tc>
          <w:tcPr>
            <w:tcW w:type="dxa" w:w="3960"/>
            <w:shd w:fill="EDF3F8"/>
            <w:tcMar>
              <w:top w:w="110" w:type="dxa"/>
              <w:start w:w="120" w:type="dxa"/>
              <w:bottom w:w="110" w:type="dxa"/>
              <w:end w:w="120" w:type="dxa"/>
            </w:tcMar>
            <w:vAlign w:val="center"/>
          </w:tcPr>
          <w:p>
            <w:pPr>
              <w:spacing w:after="0" w:line="252" w:lineRule="auto"/>
            </w:pPr>
            <w:r>
              <w:rPr>
                <w:rFonts w:ascii="Arial" w:hAnsi="Arial"/>
                <w:color w:val="000000"/>
                <w:sz w:val="18"/>
              </w:rPr>
              <w:t>Display backend validation message</w:t>
            </w:r>
          </w:p>
        </w:tc>
      </w:tr>
      <w:tr>
        <w:tc>
          <w:tcPr>
            <w:tcW w:type="dxa" w:w="1080"/>
            <w:tcMar>
              <w:top w:w="110" w:type="dxa"/>
              <w:start w:w="120" w:type="dxa"/>
              <w:bottom w:w="110" w:type="dxa"/>
              <w:end w:w="120" w:type="dxa"/>
            </w:tcMar>
            <w:vAlign w:val="center"/>
          </w:tcPr>
          <w:p>
            <w:pPr>
              <w:spacing w:after="0" w:line="252" w:lineRule="auto"/>
            </w:pPr>
            <w:r>
              <w:rPr>
                <w:rFonts w:ascii="Arial" w:hAnsi="Arial"/>
                <w:color w:val="000000"/>
                <w:sz w:val="18"/>
              </w:rPr>
              <w:t>401</w:t>
            </w:r>
          </w:p>
        </w:tc>
        <w:tc>
          <w:tcPr>
            <w:tcW w:type="dxa" w:w="4925"/>
            <w:tcMar>
              <w:top w:w="110" w:type="dxa"/>
              <w:start w:w="120" w:type="dxa"/>
              <w:bottom w:w="110" w:type="dxa"/>
              <w:end w:w="120" w:type="dxa"/>
            </w:tcMar>
            <w:vAlign w:val="center"/>
          </w:tcPr>
          <w:p>
            <w:pPr>
              <w:spacing w:after="0" w:line="252" w:lineRule="auto"/>
            </w:pPr>
            <w:r>
              <w:rPr>
                <w:rFonts w:ascii="Arial" w:hAnsi="Arial"/>
                <w:color w:val="000000"/>
                <w:sz w:val="18"/>
              </w:rPr>
              <w:t>Missing invalid or expired session token</w:t>
            </w:r>
          </w:p>
        </w:tc>
        <w:tc>
          <w:tcPr>
            <w:tcW w:type="dxa" w:w="3960"/>
            <w:tcMar>
              <w:top w:w="110" w:type="dxa"/>
              <w:start w:w="120" w:type="dxa"/>
              <w:bottom w:w="110" w:type="dxa"/>
              <w:end w:w="120" w:type="dxa"/>
            </w:tcMar>
            <w:vAlign w:val="center"/>
          </w:tcPr>
          <w:p>
            <w:pPr>
              <w:spacing w:after="0" w:line="252" w:lineRule="auto"/>
            </w:pPr>
            <w:r>
              <w:rPr>
                <w:rFonts w:ascii="Arial" w:hAnsi="Arial"/>
                <w:color w:val="000000"/>
                <w:sz w:val="18"/>
              </w:rPr>
              <w:t>Attempt controlled refresh or request login</w:t>
            </w:r>
          </w:p>
        </w:tc>
      </w:tr>
      <w:tr>
        <w:tc>
          <w:tcPr>
            <w:tcW w:type="dxa" w:w="1080"/>
            <w:shd w:fill="EDF3F8"/>
            <w:tcMar>
              <w:top w:w="110" w:type="dxa"/>
              <w:start w:w="120" w:type="dxa"/>
              <w:bottom w:w="110" w:type="dxa"/>
              <w:end w:w="120" w:type="dxa"/>
            </w:tcMar>
            <w:vAlign w:val="center"/>
          </w:tcPr>
          <w:p>
            <w:pPr>
              <w:spacing w:after="0" w:line="252" w:lineRule="auto"/>
            </w:pPr>
            <w:r>
              <w:rPr>
                <w:rFonts w:ascii="Arial" w:hAnsi="Arial"/>
                <w:color w:val="000000"/>
                <w:sz w:val="18"/>
              </w:rPr>
              <w:t>403</w:t>
            </w:r>
          </w:p>
        </w:tc>
        <w:tc>
          <w:tcPr>
            <w:tcW w:type="dxa" w:w="4925"/>
            <w:shd w:fill="EDF3F8"/>
            <w:tcMar>
              <w:top w:w="110" w:type="dxa"/>
              <w:start w:w="120" w:type="dxa"/>
              <w:bottom w:w="110" w:type="dxa"/>
              <w:end w:w="120" w:type="dxa"/>
            </w:tcMar>
            <w:vAlign w:val="center"/>
          </w:tcPr>
          <w:p>
            <w:pPr>
              <w:spacing w:after="0" w:line="252" w:lineRule="auto"/>
            </w:pPr>
            <w:r>
              <w:rPr>
                <w:rFonts w:ascii="Arial" w:hAnsi="Arial"/>
                <w:color w:val="000000"/>
                <w:sz w:val="18"/>
              </w:rPr>
              <w:t>Valid identity without required role or origin failure</w:t>
            </w:r>
          </w:p>
        </w:tc>
        <w:tc>
          <w:tcPr>
            <w:tcW w:type="dxa" w:w="3960"/>
            <w:shd w:fill="EDF3F8"/>
            <w:tcMar>
              <w:top w:w="110" w:type="dxa"/>
              <w:start w:w="120" w:type="dxa"/>
              <w:bottom w:w="110" w:type="dxa"/>
              <w:end w:w="120" w:type="dxa"/>
            </w:tcMar>
            <w:vAlign w:val="center"/>
          </w:tcPr>
          <w:p>
            <w:pPr>
              <w:spacing w:after="0" w:line="252" w:lineRule="auto"/>
            </w:pPr>
            <w:r>
              <w:rPr>
                <w:rFonts w:ascii="Arial" w:hAnsi="Arial"/>
                <w:color w:val="000000"/>
                <w:sz w:val="18"/>
              </w:rPr>
              <w:t>Show authorization message</w:t>
            </w:r>
          </w:p>
        </w:tc>
      </w:tr>
      <w:tr>
        <w:tc>
          <w:tcPr>
            <w:tcW w:type="dxa" w:w="1080"/>
            <w:tcMar>
              <w:top w:w="110" w:type="dxa"/>
              <w:start w:w="120" w:type="dxa"/>
              <w:bottom w:w="110" w:type="dxa"/>
              <w:end w:w="120" w:type="dxa"/>
            </w:tcMar>
            <w:vAlign w:val="center"/>
          </w:tcPr>
          <w:p>
            <w:pPr>
              <w:spacing w:after="0" w:line="252" w:lineRule="auto"/>
            </w:pPr>
            <w:r>
              <w:rPr>
                <w:rFonts w:ascii="Arial" w:hAnsi="Arial"/>
                <w:color w:val="000000"/>
                <w:sz w:val="18"/>
              </w:rPr>
              <w:t>404</w:t>
            </w:r>
          </w:p>
        </w:tc>
        <w:tc>
          <w:tcPr>
            <w:tcW w:type="dxa" w:w="4925"/>
            <w:tcMar>
              <w:top w:w="110" w:type="dxa"/>
              <w:start w:w="120" w:type="dxa"/>
              <w:bottom w:w="110" w:type="dxa"/>
              <w:end w:w="120" w:type="dxa"/>
            </w:tcMar>
            <w:vAlign w:val="center"/>
          </w:tcPr>
          <w:p>
            <w:pPr>
              <w:spacing w:after="0" w:line="252" w:lineRule="auto"/>
            </w:pPr>
            <w:r>
              <w:rPr>
                <w:rFonts w:ascii="Arial" w:hAnsi="Arial"/>
                <w:color w:val="000000"/>
                <w:sz w:val="18"/>
              </w:rPr>
              <w:t>Unknown supplier location or adapter path</w:t>
            </w:r>
          </w:p>
        </w:tc>
        <w:tc>
          <w:tcPr>
            <w:tcW w:type="dxa" w:w="3960"/>
            <w:tcMar>
              <w:top w:w="110" w:type="dxa"/>
              <w:start w:w="120" w:type="dxa"/>
              <w:bottom w:w="110" w:type="dxa"/>
              <w:end w:w="120" w:type="dxa"/>
            </w:tcMar>
            <w:vAlign w:val="center"/>
          </w:tcPr>
          <w:p>
            <w:pPr>
              <w:spacing w:after="0" w:line="252" w:lineRule="auto"/>
            </w:pPr>
            <w:r>
              <w:rPr>
                <w:rFonts w:ascii="Arial" w:hAnsi="Arial"/>
                <w:color w:val="000000"/>
                <w:sz w:val="18"/>
              </w:rPr>
              <w:t>Display not-found error</w:t>
            </w:r>
          </w:p>
        </w:tc>
      </w:tr>
      <w:tr>
        <w:tc>
          <w:tcPr>
            <w:tcW w:type="dxa" w:w="1080"/>
            <w:shd w:fill="EDF3F8"/>
            <w:tcMar>
              <w:top w:w="110" w:type="dxa"/>
              <w:start w:w="120" w:type="dxa"/>
              <w:bottom w:w="110" w:type="dxa"/>
              <w:end w:w="120" w:type="dxa"/>
            </w:tcMar>
            <w:vAlign w:val="center"/>
          </w:tcPr>
          <w:p>
            <w:pPr>
              <w:spacing w:after="0" w:line="252" w:lineRule="auto"/>
            </w:pPr>
            <w:r>
              <w:rPr>
                <w:rFonts w:ascii="Arial" w:hAnsi="Arial"/>
                <w:color w:val="000000"/>
                <w:sz w:val="18"/>
              </w:rPr>
              <w:t>409</w:t>
            </w:r>
          </w:p>
        </w:tc>
        <w:tc>
          <w:tcPr>
            <w:tcW w:type="dxa" w:w="4925"/>
            <w:shd w:fill="EDF3F8"/>
            <w:tcMar>
              <w:top w:w="110" w:type="dxa"/>
              <w:start w:w="120" w:type="dxa"/>
              <w:bottom w:w="110" w:type="dxa"/>
              <w:end w:w="120" w:type="dxa"/>
            </w:tcMar>
            <w:vAlign w:val="center"/>
          </w:tcPr>
          <w:p>
            <w:pPr>
              <w:spacing w:after="0" w:line="252" w:lineRule="auto"/>
            </w:pPr>
            <w:r>
              <w:rPr>
                <w:rFonts w:ascii="Arial" w:hAnsi="Arial"/>
                <w:color w:val="000000"/>
                <w:sz w:val="18"/>
              </w:rPr>
              <w:t>Case-insensitive supplier or location conflict</w:t>
            </w:r>
          </w:p>
        </w:tc>
        <w:tc>
          <w:tcPr>
            <w:tcW w:type="dxa" w:w="3960"/>
            <w:shd w:fill="EDF3F8"/>
            <w:tcMar>
              <w:top w:w="110" w:type="dxa"/>
              <w:start w:w="120" w:type="dxa"/>
              <w:bottom w:w="110" w:type="dxa"/>
              <w:end w:w="120" w:type="dxa"/>
            </w:tcMar>
            <w:vAlign w:val="center"/>
          </w:tcPr>
          <w:p>
            <w:pPr>
              <w:spacing w:after="0" w:line="252" w:lineRule="auto"/>
            </w:pPr>
            <w:r>
              <w:rPr>
                <w:rFonts w:ascii="Arial" w:hAnsi="Arial"/>
                <w:color w:val="000000"/>
                <w:sz w:val="18"/>
              </w:rPr>
              <w:t>Keep form values and show conflict</w:t>
            </w:r>
          </w:p>
        </w:tc>
      </w:tr>
      <w:tr>
        <w:tc>
          <w:tcPr>
            <w:tcW w:type="dxa" w:w="1080"/>
            <w:tcMar>
              <w:top w:w="110" w:type="dxa"/>
              <w:start w:w="120" w:type="dxa"/>
              <w:bottom w:w="110" w:type="dxa"/>
              <w:end w:w="120" w:type="dxa"/>
            </w:tcMar>
            <w:vAlign w:val="center"/>
          </w:tcPr>
          <w:p>
            <w:pPr>
              <w:spacing w:after="0" w:line="252" w:lineRule="auto"/>
            </w:pPr>
            <w:r>
              <w:rPr>
                <w:rFonts w:ascii="Arial" w:hAnsi="Arial"/>
                <w:color w:val="000000"/>
                <w:sz w:val="18"/>
              </w:rPr>
              <w:t>503</w:t>
            </w:r>
          </w:p>
        </w:tc>
        <w:tc>
          <w:tcPr>
            <w:tcW w:type="dxa" w:w="4925"/>
            <w:tcMar>
              <w:top w:w="110" w:type="dxa"/>
              <w:start w:w="120" w:type="dxa"/>
              <w:bottom w:w="110" w:type="dxa"/>
              <w:end w:w="120" w:type="dxa"/>
            </w:tcMar>
            <w:vAlign w:val="center"/>
          </w:tcPr>
          <w:p>
            <w:pPr>
              <w:spacing w:after="0" w:line="252" w:lineRule="auto"/>
            </w:pPr>
            <w:r>
              <w:rPr>
                <w:rFonts w:ascii="Arial" w:hAnsi="Arial"/>
                <w:color w:val="000000"/>
                <w:sz w:val="18"/>
              </w:rPr>
              <w:t>Upstream unavailable or sanitized server failure</w:t>
            </w:r>
          </w:p>
        </w:tc>
        <w:tc>
          <w:tcPr>
            <w:tcW w:type="dxa" w:w="3960"/>
            <w:tcMar>
              <w:top w:w="110" w:type="dxa"/>
              <w:start w:w="120" w:type="dxa"/>
              <w:bottom w:w="110" w:type="dxa"/>
              <w:end w:w="120" w:type="dxa"/>
            </w:tcMar>
            <w:vAlign w:val="center"/>
          </w:tcPr>
          <w:p>
            <w:pPr>
              <w:spacing w:after="0" w:line="252" w:lineRule="auto"/>
            </w:pPr>
            <w:r>
              <w:rPr>
                <w:rFonts w:ascii="Arial" w:hAnsi="Arial"/>
                <w:color w:val="000000"/>
                <w:sz w:val="18"/>
              </w:rPr>
              <w:t>Show retryable service-unavailable state</w:t>
            </w:r>
          </w:p>
        </w:tc>
      </w:tr>
    </w:tbl>
    <w:p>
      <w:pPr>
        <w:spacing w:after="40"/>
      </w:pPr>
    </w:p>
    <w:p>
      <w:pPr>
        <w:spacing w:after="140" w:line="271" w:lineRule="auto"/>
      </w:pPr>
      <w:r>
        <w:rPr>
          <w:rFonts w:ascii="Arial" w:hAnsi="Arial"/>
          <w:color w:val="000000"/>
          <w:sz w:val="21"/>
        </w:rPr>
        <w:t>backend.server does not relay upstream stack traces or infrastructure details. Upstream failures at status 500 or above become a generic 503 response, while safe client-facing messages from 4xx responses are preserved.</w:t>
      </w:r>
    </w:p>
    <w:p>
      <w:pPr>
        <w:pStyle w:val="Heading1"/>
        <w:keepNext/>
      </w:pPr>
      <w:r>
        <w:t>Security and role based access control</w:t>
      </w:r>
    </w:p>
    <w:p>
      <w:pPr>
        <w:pStyle w:val="ListBullet"/>
        <w:spacing w:after="60" w:line="259" w:lineRule="auto"/>
      </w:pPr>
      <w:r>
        <w:rPr>
          <w:rFonts w:ascii="Arial" w:hAnsi="Arial"/>
          <w:color w:val="000000"/>
          <w:sz w:val="21"/>
        </w:rPr>
        <w:t>User Service signs short-lived HS256 access tokens. Supplier Service verifies the same deployment-provided secret, issuer foc-user-service, and audience foc-api.</w:t>
      </w:r>
    </w:p>
    <w:p>
      <w:pPr>
        <w:pStyle w:val="ListBullet"/>
        <w:spacing w:after="60" w:line="259" w:lineRule="auto"/>
      </w:pPr>
      <w:r>
        <w:rPr>
          <w:rFonts w:ascii="Arial" w:hAnsi="Arial"/>
          <w:color w:val="000000"/>
          <w:sz w:val="21"/>
        </w:rPr>
        <w:t>JWT claims sub, sid, and isAdmin are required. isAdmin maps to ADMIN or STUDENT inside Supplier Service.</w:t>
      </w:r>
    </w:p>
    <w:p>
      <w:pPr>
        <w:pStyle w:val="ListBullet"/>
        <w:spacing w:after="60" w:line="259" w:lineRule="auto"/>
      </w:pPr>
      <w:r>
        <w:rPr>
          <w:rFonts w:ascii="Arial" w:hAnsi="Arial"/>
          <w:color w:val="000000"/>
          <w:sz w:val="21"/>
        </w:rPr>
        <w:t>GET /api/suppliers permits STUDENT and ADMIN. All /api/admin/suppliers operations require ADMIN.</w:t>
      </w:r>
    </w:p>
    <w:p>
      <w:pPr>
        <w:pStyle w:val="ListBullet"/>
        <w:spacing w:after="60" w:line="259" w:lineRule="auto"/>
      </w:pPr>
      <w:r>
        <w:rPr>
          <w:rFonts w:ascii="Arial" w:hAnsi="Arial"/>
          <w:color w:val="000000"/>
          <w:sz w:val="21"/>
        </w:rPr>
        <w:t>Access and refresh tokens remain in HttpOnly cookies scoped to /api. Browser JavaScript receives only profile and supplier JSON.</w:t>
      </w:r>
    </w:p>
    <w:p>
      <w:pPr>
        <w:pStyle w:val="ListBullet"/>
        <w:spacing w:after="60" w:line="259" w:lineRule="auto"/>
      </w:pPr>
      <w:r>
        <w:rPr>
          <w:rFonts w:ascii="Arial" w:hAnsi="Arial"/>
          <w:color w:val="000000"/>
          <w:sz w:val="21"/>
        </w:rPr>
        <w:t>Mutations require same-origin JSON. Server-only upstream origins prevent browser code from choosing arbitrary backends.</w:t>
      </w:r>
    </w:p>
    <w:p>
      <w:pPr>
        <w:pStyle w:val="ListBullet"/>
        <w:spacing w:after="60" w:line="259" w:lineRule="auto"/>
      </w:pPr>
      <w:r>
        <w:rPr>
          <w:rFonts w:ascii="Arial" w:hAnsi="Arial"/>
          <w:color w:val="000000"/>
          <w:sz w:val="21"/>
        </w:rPr>
        <w:t>The Supplier Service never reads the User Service database. The signed JWT is the cross-service trust contract.</w:t>
      </w:r>
    </w:p>
    <w:p>
      <w:r>
        <w:br w:type="page"/>
      </w:r>
    </w:p>
    <w:p>
      <w:pPr>
        <w:pStyle w:val="Heading1"/>
        <w:keepNext/>
      </w:pPr>
      <w:r>
        <w:t>Testing coverage</w:t>
      </w:r>
    </w:p>
    <w:p>
      <w:pPr>
        <w:spacing w:after="140" w:line="271" w:lineRule="auto"/>
      </w:pPr>
      <w:r>
        <w:rPr>
          <w:rFonts w:ascii="Arial" w:hAnsi="Arial"/>
          <w:color w:val="000000"/>
          <w:sz w:val="21"/>
        </w:rPr>
        <w:t>Supplier Service Jest tests cover controllers, guards, use cases, application wiring, and Prisma repository behavior. Web app Playwright tests cover guest and student restrictions, administrator forms, confirmation steps, submitted API contracts, conflict messages, same-origin protections, and responsive layout. An optional live Playwright scenario logs in against running services, verifies HttpOnly cookies, exercises access-token renewal, loads the real supplier catalog, opens a location, and logs out.</w:t>
      </w:r>
    </w:p>
    <w:p>
      <w:pPr>
        <w:spacing w:after="140" w:line="271" w:lineRule="auto"/>
      </w:pPr>
      <w:r>
        <w:rPr>
          <w:rFonts w:ascii="Arial" w:hAnsi="Arial"/>
          <w:color w:val="000000"/>
          <w:sz w:val="21"/>
        </w:rPr>
        <w:t>Intercepted browser tests verify the frontend contract but do not replace live service or database integration tests. The live scenario runs only when E2E_USER_EMAIL and E2E_USER_PASSWORD are supplied.</w:t>
      </w:r>
    </w:p>
    <w:p>
      <w:pPr>
        <w:pStyle w:val="Heading1"/>
        <w:keepNext/>
      </w:pPr>
      <w:r>
        <w:t>Current limitations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88"/>
            <w:shd w:fill="17365D"/>
            <w:tcMar>
              <w:top w:w="110" w:type="dxa"/>
              <w:start w:w="120" w:type="dxa"/>
              <w:bottom w:w="110" w:type="dxa"/>
              <w:end w:w="120" w:type="dxa"/>
            </w:tcMar>
            <w:vAlign w:val="center"/>
          </w:tcPr>
          <w:p>
            <w:pPr>
              <w:spacing w:after="0"/>
              <w:jc w:val="left"/>
            </w:pPr>
            <w:r/>
            <w:r>
              <w:rPr>
                <w:rFonts w:ascii="Arial" w:hAnsi="Arial"/>
                <w:b/>
                <w:color w:val="FFFFFF"/>
                <w:sz w:val="19"/>
              </w:rPr>
              <w:t>Limitation</w:t>
            </w:r>
          </w:p>
        </w:tc>
        <w:tc>
          <w:tcPr>
            <w:tcW w:type="dxa" w:w="4536"/>
            <w:shd w:fill="17365D"/>
            <w:tcMar>
              <w:top w:w="110" w:type="dxa"/>
              <w:start w:w="120" w:type="dxa"/>
              <w:bottom w:w="110" w:type="dxa"/>
              <w:end w:w="120" w:type="dxa"/>
            </w:tcMar>
            <w:vAlign w:val="center"/>
          </w:tcPr>
          <w:p>
            <w:pPr>
              <w:spacing w:after="0"/>
              <w:jc w:val="left"/>
            </w:pPr>
            <w:r/>
            <w:r>
              <w:rPr>
                <w:rFonts w:ascii="Arial" w:hAnsi="Arial"/>
                <w:b/>
                <w:color w:val="FFFFFF"/>
                <w:sz w:val="19"/>
              </w:rPr>
              <w:t>Current behavior</w:t>
            </w:r>
          </w:p>
        </w:tc>
        <w:tc>
          <w:tcPr>
            <w:tcW w:type="dxa" w:w="3557"/>
            <w:shd w:fill="17365D"/>
            <w:tcMar>
              <w:top w:w="110" w:type="dxa"/>
              <w:start w:w="120" w:type="dxa"/>
              <w:bottom w:w="110" w:type="dxa"/>
              <w:end w:w="120" w:type="dxa"/>
            </w:tcMar>
            <w:vAlign w:val="center"/>
          </w:tcPr>
          <w:p>
            <w:pPr>
              <w:spacing w:after="0"/>
              <w:jc w:val="left"/>
            </w:pPr>
            <w:r/>
            <w:r>
              <w:rPr>
                <w:rFonts w:ascii="Arial" w:hAnsi="Arial"/>
                <w:b/>
                <w:color w:val="FFFFFF"/>
                <w:sz w:val="19"/>
              </w:rPr>
              <w:t>Likely extension</w:t>
            </w:r>
          </w:p>
        </w:tc>
      </w:tr>
      <w:tr>
        <w:tc>
          <w:tcPr>
            <w:tcW w:type="dxa" w:w="2088"/>
            <w:tcMar>
              <w:top w:w="110" w:type="dxa"/>
              <w:start w:w="120" w:type="dxa"/>
              <w:bottom w:w="110" w:type="dxa"/>
              <w:end w:w="120" w:type="dxa"/>
            </w:tcMar>
            <w:vAlign w:val="center"/>
          </w:tcPr>
          <w:p>
            <w:pPr>
              <w:spacing w:after="0" w:line="252" w:lineRule="auto"/>
            </w:pPr>
            <w:r>
              <w:rPr>
                <w:rFonts w:ascii="Arial" w:hAnsi="Arial"/>
                <w:color w:val="000000"/>
                <w:sz w:val="18"/>
              </w:rPr>
              <w:t>No add-location endpoint</w:t>
            </w:r>
          </w:p>
        </w:tc>
        <w:tc>
          <w:tcPr>
            <w:tcW w:type="dxa" w:w="4536"/>
            <w:tcMar>
              <w:top w:w="110" w:type="dxa"/>
              <w:start w:w="120" w:type="dxa"/>
              <w:bottom w:w="110" w:type="dxa"/>
              <w:end w:w="120" w:type="dxa"/>
            </w:tcMar>
            <w:vAlign w:val="center"/>
          </w:tcPr>
          <w:p>
            <w:pPr>
              <w:spacing w:after="0" w:line="252" w:lineRule="auto"/>
            </w:pPr>
            <w:r>
              <w:rPr>
                <w:rFonts w:ascii="Arial" w:hAnsi="Arial"/>
                <w:color w:val="000000"/>
                <w:sz w:val="18"/>
              </w:rPr>
              <w:t>Creation provides only the first location, although the database supports one-to-many locations</w:t>
            </w:r>
          </w:p>
        </w:tc>
        <w:tc>
          <w:tcPr>
            <w:tcW w:type="dxa" w:w="3557"/>
            <w:tcMar>
              <w:top w:w="110" w:type="dxa"/>
              <w:start w:w="120" w:type="dxa"/>
              <w:bottom w:w="110" w:type="dxa"/>
              <w:end w:w="120" w:type="dxa"/>
            </w:tcMar>
            <w:vAlign w:val="center"/>
          </w:tcPr>
          <w:p>
            <w:pPr>
              <w:spacing w:after="0" w:line="252" w:lineRule="auto"/>
            </w:pPr>
            <w:r>
              <w:rPr>
                <w:rFonts w:ascii="Arial" w:hAnsi="Arial"/>
                <w:color w:val="000000"/>
                <w:sz w:val="18"/>
              </w:rPr>
              <w:t>Admin POST for a location under an existing supplier</w:t>
            </w:r>
          </w:p>
        </w:tc>
      </w:tr>
      <w:tr>
        <w:tc>
          <w:tcPr>
            <w:tcW w:type="dxa" w:w="2088"/>
            <w:shd w:fill="EDF3F8"/>
            <w:tcMar>
              <w:top w:w="110" w:type="dxa"/>
              <w:start w:w="120" w:type="dxa"/>
              <w:bottom w:w="110" w:type="dxa"/>
              <w:end w:w="120" w:type="dxa"/>
            </w:tcMar>
            <w:vAlign w:val="center"/>
          </w:tcPr>
          <w:p>
            <w:pPr>
              <w:spacing w:after="0" w:line="252" w:lineRule="auto"/>
            </w:pPr>
            <w:r>
              <w:rPr>
                <w:rFonts w:ascii="Arial" w:hAnsi="Arial"/>
                <w:color w:val="000000"/>
                <w:sz w:val="18"/>
              </w:rPr>
              <w:t>No reactivation</w:t>
            </w:r>
          </w:p>
        </w:tc>
        <w:tc>
          <w:tcPr>
            <w:tcW w:type="dxa" w:w="4536"/>
            <w:shd w:fill="EDF3F8"/>
            <w:tcMar>
              <w:top w:w="110" w:type="dxa"/>
              <w:start w:w="120" w:type="dxa"/>
              <w:bottom w:w="110" w:type="dxa"/>
              <w:end w:w="120" w:type="dxa"/>
            </w:tcMar>
            <w:vAlign w:val="center"/>
          </w:tcPr>
          <w:p>
            <w:pPr>
              <w:spacing w:after="0" w:line="252" w:lineRule="auto"/>
            </w:pPr>
            <w:r>
              <w:rPr>
                <w:rFonts w:ascii="Arial" w:hAnsi="Arial"/>
                <w:color w:val="000000"/>
                <w:sz w:val="18"/>
              </w:rPr>
              <w:t>Deactivated suppliers remain hidden and cannot be restored through the API or dashboard</w:t>
            </w:r>
          </w:p>
        </w:tc>
        <w:tc>
          <w:tcPr>
            <w:tcW w:type="dxa" w:w="3557"/>
            <w:shd w:fill="EDF3F8"/>
            <w:tcMar>
              <w:top w:w="110" w:type="dxa"/>
              <w:start w:w="120" w:type="dxa"/>
              <w:bottom w:w="110" w:type="dxa"/>
              <w:end w:w="120" w:type="dxa"/>
            </w:tcMar>
            <w:vAlign w:val="center"/>
          </w:tcPr>
          <w:p>
            <w:pPr>
              <w:spacing w:after="0" w:line="252" w:lineRule="auto"/>
            </w:pPr>
            <w:r>
              <w:rPr>
                <w:rFonts w:ascii="Arial" w:hAnsi="Arial"/>
                <w:color w:val="000000"/>
                <w:sz w:val="18"/>
              </w:rPr>
              <w:t>Admin reactivation workflow</w:t>
            </w:r>
          </w:p>
        </w:tc>
      </w:tr>
      <w:tr>
        <w:tc>
          <w:tcPr>
            <w:tcW w:type="dxa" w:w="2088"/>
            <w:tcMar>
              <w:top w:w="110" w:type="dxa"/>
              <w:start w:w="120" w:type="dxa"/>
              <w:bottom w:w="110" w:type="dxa"/>
              <w:end w:w="120" w:type="dxa"/>
            </w:tcMar>
            <w:vAlign w:val="center"/>
          </w:tcPr>
          <w:p>
            <w:pPr>
              <w:spacing w:after="0" w:line="252" w:lineRule="auto"/>
            </w:pPr>
            <w:r>
              <w:rPr>
                <w:rFonts w:ascii="Arial" w:hAnsi="Arial"/>
                <w:color w:val="000000"/>
                <w:sz w:val="18"/>
              </w:rPr>
              <w:t>No individual location deletion</w:t>
            </w:r>
          </w:p>
        </w:tc>
        <w:tc>
          <w:tcPr>
            <w:tcW w:type="dxa" w:w="4536"/>
            <w:tcMar>
              <w:top w:w="110" w:type="dxa"/>
              <w:start w:w="120" w:type="dxa"/>
              <w:bottom w:w="110" w:type="dxa"/>
              <w:end w:w="120" w:type="dxa"/>
            </w:tcMar>
            <w:vAlign w:val="center"/>
          </w:tcPr>
          <w:p>
            <w:pPr>
              <w:spacing w:after="0" w:line="252" w:lineRule="auto"/>
            </w:pPr>
            <w:r>
              <w:rPr>
                <w:rFonts w:ascii="Arial" w:hAnsi="Arial"/>
                <w:color w:val="000000"/>
                <w:sz w:val="18"/>
              </w:rPr>
              <w:t>Deleting a supplier deactivates all locations</w:t>
            </w:r>
          </w:p>
        </w:tc>
        <w:tc>
          <w:tcPr>
            <w:tcW w:type="dxa" w:w="3557"/>
            <w:tcMar>
              <w:top w:w="110" w:type="dxa"/>
              <w:start w:w="120" w:type="dxa"/>
              <w:bottom w:w="110" w:type="dxa"/>
              <w:end w:w="120" w:type="dxa"/>
            </w:tcMar>
            <w:vAlign w:val="center"/>
          </w:tcPr>
          <w:p>
            <w:pPr>
              <w:spacing w:after="0" w:line="252" w:lineRule="auto"/>
            </w:pPr>
            <w:r>
              <w:rPr>
                <w:rFonts w:ascii="Arial" w:hAnsi="Arial"/>
                <w:color w:val="000000"/>
                <w:sz w:val="18"/>
              </w:rPr>
              <w:t>Location-level soft deactivation</w:t>
            </w:r>
          </w:p>
        </w:tc>
      </w:tr>
      <w:tr>
        <w:tc>
          <w:tcPr>
            <w:tcW w:type="dxa" w:w="2088"/>
            <w:shd w:fill="EDF3F8"/>
            <w:tcMar>
              <w:top w:w="110" w:type="dxa"/>
              <w:start w:w="120" w:type="dxa"/>
              <w:bottom w:w="110" w:type="dxa"/>
              <w:end w:w="120" w:type="dxa"/>
            </w:tcMar>
            <w:vAlign w:val="center"/>
          </w:tcPr>
          <w:p>
            <w:pPr>
              <w:spacing w:after="0" w:line="252" w:lineRule="auto"/>
            </w:pPr>
            <w:r>
              <w:rPr>
                <w:rFonts w:ascii="Arial" w:hAnsi="Arial"/>
                <w:color w:val="000000"/>
                <w:sz w:val="18"/>
              </w:rPr>
              <w:t>No single-supplier read</w:t>
            </w:r>
          </w:p>
        </w:tc>
        <w:tc>
          <w:tcPr>
            <w:tcW w:type="dxa" w:w="4536"/>
            <w:shd w:fill="EDF3F8"/>
            <w:tcMar>
              <w:top w:w="110" w:type="dxa"/>
              <w:start w:w="120" w:type="dxa"/>
              <w:bottom w:w="110" w:type="dxa"/>
              <w:end w:w="120" w:type="dxa"/>
            </w:tcMar>
            <w:vAlign w:val="center"/>
          </w:tcPr>
          <w:p>
            <w:pPr>
              <w:spacing w:after="0" w:line="252" w:lineRule="auto"/>
            </w:pPr>
            <w:r>
              <w:rPr>
                <w:rFonts w:ascii="Arial" w:hAnsi="Arial"/>
                <w:color w:val="000000"/>
                <w:sz w:val="18"/>
              </w:rPr>
              <w:t>Detail page downloads the active catalog and filters by UUID</w:t>
            </w:r>
          </w:p>
        </w:tc>
        <w:tc>
          <w:tcPr>
            <w:tcW w:type="dxa" w:w="3557"/>
            <w:shd w:fill="EDF3F8"/>
            <w:tcMar>
              <w:top w:w="110" w:type="dxa"/>
              <w:start w:w="120" w:type="dxa"/>
              <w:bottom w:w="110" w:type="dxa"/>
              <w:end w:w="120" w:type="dxa"/>
            </w:tcMar>
            <w:vAlign w:val="center"/>
          </w:tcPr>
          <w:p>
            <w:pPr>
              <w:spacing w:after="0" w:line="252" w:lineRule="auto"/>
            </w:pPr>
            <w:r>
              <w:rPr>
                <w:rFonts w:ascii="Arial" w:hAnsi="Arial"/>
                <w:color w:val="000000"/>
                <w:sz w:val="18"/>
              </w:rPr>
              <w:t>GET /api/suppliers/:supplierId</w:t>
            </w:r>
          </w:p>
        </w:tc>
      </w:tr>
      <w:tr>
        <w:tc>
          <w:tcPr>
            <w:tcW w:type="dxa" w:w="2088"/>
            <w:tcMar>
              <w:top w:w="110" w:type="dxa"/>
              <w:start w:w="120" w:type="dxa"/>
              <w:bottom w:w="110" w:type="dxa"/>
              <w:end w:w="120" w:type="dxa"/>
            </w:tcMar>
            <w:vAlign w:val="center"/>
          </w:tcPr>
          <w:p>
            <w:pPr>
              <w:spacing w:after="0" w:line="252" w:lineRule="auto"/>
            </w:pPr>
            <w:r>
              <w:rPr>
                <w:rFonts w:ascii="Arial" w:hAnsi="Arial"/>
                <w:color w:val="000000"/>
                <w:sz w:val="18"/>
              </w:rPr>
              <w:t>No Order Service connection</w:t>
            </w:r>
          </w:p>
        </w:tc>
        <w:tc>
          <w:tcPr>
            <w:tcW w:type="dxa" w:w="4536"/>
            <w:tcMar>
              <w:top w:w="110" w:type="dxa"/>
              <w:start w:w="120" w:type="dxa"/>
              <w:bottom w:w="110" w:type="dxa"/>
              <w:end w:w="120" w:type="dxa"/>
            </w:tcMar>
            <w:vAlign w:val="center"/>
          </w:tcPr>
          <w:p>
            <w:pPr>
              <w:spacing w:after="0" w:line="252" w:lineRule="auto"/>
            </w:pPr>
            <w:r>
              <w:rPr>
                <w:rFonts w:ascii="Arial" w:hAnsi="Arial"/>
                <w:color w:val="000000"/>
                <w:sz w:val="18"/>
              </w:rPr>
              <w:t>Users can browse locations but cannot yet create errands from this flow</w:t>
            </w:r>
          </w:p>
        </w:tc>
        <w:tc>
          <w:tcPr>
            <w:tcW w:type="dxa" w:w="3557"/>
            <w:tcMar>
              <w:top w:w="110" w:type="dxa"/>
              <w:start w:w="120" w:type="dxa"/>
              <w:bottom w:w="110" w:type="dxa"/>
              <w:end w:w="120" w:type="dxa"/>
            </w:tcMar>
            <w:vAlign w:val="center"/>
          </w:tcPr>
          <w:p>
            <w:pPr>
              <w:spacing w:after="0" w:line="252" w:lineRule="auto"/>
            </w:pPr>
            <w:r>
              <w:rPr>
                <w:rFonts w:ascii="Arial" w:hAnsi="Arial"/>
                <w:color w:val="000000"/>
                <w:sz w:val="18"/>
              </w:rPr>
              <w:t>Pass supplier and location UUIDs into order creation</w:t>
            </w:r>
          </w:p>
        </w:tc>
      </w:tr>
      <w:tr>
        <w:tc>
          <w:tcPr>
            <w:tcW w:type="dxa" w:w="2088"/>
            <w:shd w:fill="EDF3F8"/>
            <w:tcMar>
              <w:top w:w="110" w:type="dxa"/>
              <w:start w:w="120" w:type="dxa"/>
              <w:bottom w:w="110" w:type="dxa"/>
              <w:end w:w="120" w:type="dxa"/>
            </w:tcMar>
            <w:vAlign w:val="center"/>
          </w:tcPr>
          <w:p>
            <w:pPr>
              <w:spacing w:after="0" w:line="252" w:lineRule="auto"/>
            </w:pPr>
            <w:r>
              <w:rPr>
                <w:rFonts w:ascii="Arial" w:hAnsi="Arial"/>
                <w:color w:val="000000"/>
                <w:sz w:val="18"/>
              </w:rPr>
              <w:t>Short-lived revocation window</w:t>
            </w:r>
          </w:p>
        </w:tc>
        <w:tc>
          <w:tcPr>
            <w:tcW w:type="dxa" w:w="4536"/>
            <w:shd w:fill="EDF3F8"/>
            <w:tcMar>
              <w:top w:w="110" w:type="dxa"/>
              <w:start w:w="120" w:type="dxa"/>
              <w:bottom w:w="110" w:type="dxa"/>
              <w:end w:w="120" w:type="dxa"/>
            </w:tcMar>
            <w:vAlign w:val="center"/>
          </w:tcPr>
          <w:p>
            <w:pPr>
              <w:spacing w:after="0" w:line="252" w:lineRule="auto"/>
            </w:pPr>
            <w:r>
              <w:rPr>
                <w:rFonts w:ascii="Arial" w:hAnsi="Arial"/>
                <w:color w:val="000000"/>
                <w:sz w:val="18"/>
              </w:rPr>
              <w:t>Supplier Service verifies tokens locally and does not query session state per request</w:t>
            </w:r>
          </w:p>
        </w:tc>
        <w:tc>
          <w:tcPr>
            <w:tcW w:type="dxa" w:w="3557"/>
            <w:shd w:fill="EDF3F8"/>
            <w:tcMar>
              <w:top w:w="110" w:type="dxa"/>
              <w:start w:w="120" w:type="dxa"/>
              <w:bottom w:w="110" w:type="dxa"/>
              <w:end w:w="120" w:type="dxa"/>
            </w:tcMar>
            <w:vAlign w:val="center"/>
          </w:tcPr>
          <w:p>
            <w:pPr>
              <w:spacing w:after="0" w:line="252" w:lineRule="auto"/>
            </w:pPr>
            <w:r>
              <w:rPr>
                <w:rFonts w:ascii="Arial" w:hAnsi="Arial"/>
                <w:color w:val="000000"/>
                <w:sz w:val="18"/>
              </w:rPr>
              <w:t>Keep access tokens short-lived or add revocation/introspection when required</w:t>
            </w:r>
          </w:p>
        </w:tc>
      </w:tr>
    </w:tbl>
    <w:p>
      <w:pPr>
        <w:spacing w:after="40"/>
      </w:pPr>
    </w:p>
    <w:p>
      <w:r>
        <w:br w:type="page"/>
      </w:r>
    </w:p>
    <w:p>
      <w:pPr>
        <w:pStyle w:val="Heading1"/>
        <w:keepNext/>
      </w:pPr>
      <w:r>
        <w:t>Presentation ready walkthrough</w:t>
      </w:r>
    </w:p>
    <w:p>
      <w:pPr>
        <w:pStyle w:val="Heading2"/>
        <w:keepNext/>
      </w:pPr>
      <w:r>
        <w:t>Thirty second explanation</w:t>
      </w:r>
    </w:p>
    <w:p>
      <w:pPr>
        <w:spacing w:after="140" w:line="271" w:lineRule="auto"/>
      </w:pPr>
      <w:r>
        <w:rPr>
          <w:rFonts w:ascii="Arial" w:hAnsi="Arial"/>
          <w:color w:val="000000"/>
          <w:sz w:val="21"/>
        </w:rPr>
        <w:t>The frontend uses Next.js Route Handlers as a temporary same-origin API adapter. After login, the adapter stores User Service tokens in HttpOnly cookies. When a student loads suppliers, the browser calls the Next.js API, which forwards the access token to the Supplier Service. The Supplier Service verifies the JWT, permits students and admins to read the active catalog, and returns data from its own PostgreSQL database. Admin mutations receive an additional profile check in the web adapter and an ADMIN guard in the Supplier Service before the relevant use case writes through Prisma.</w:t>
      </w:r>
    </w:p>
    <w:p>
      <w:pPr>
        <w:pStyle w:val="Heading2"/>
        <w:keepNext/>
      </w:pPr>
      <w:r>
        <w:t>Questions to expect</w:t>
      </w:r>
    </w:p>
    <w:p>
      <w:pPr>
        <w:spacing w:after="120" w:line="264" w:lineRule="auto"/>
      </w:pPr>
      <w:r>
        <w:rPr>
          <w:rFonts w:ascii="Arial" w:hAnsi="Arial"/>
          <w:b/>
          <w:color w:val="000000"/>
          <w:sz w:val="21"/>
        </w:rPr>
        <w:t xml:space="preserve">Why does the browser not call Supplier Service directly  </w:t>
      </w:r>
      <w:r>
        <w:rPr>
          <w:rFonts w:ascii="Arial" w:hAnsi="Arial"/>
          <w:color w:val="000000"/>
          <w:sz w:val="21"/>
        </w:rPr>
        <w:t>The Route Handler keeps tokens in HttpOnly cookies, gives the browser one same-origin API, applies origin checks, and sanitizes upstream errors.</w:t>
      </w:r>
    </w:p>
    <w:p>
      <w:pPr>
        <w:spacing w:after="120" w:line="264" w:lineRule="auto"/>
      </w:pPr>
      <w:r>
        <w:rPr>
          <w:rFonts w:ascii="Arial" w:hAnsi="Arial"/>
          <w:b/>
          <w:color w:val="000000"/>
          <w:sz w:val="21"/>
        </w:rPr>
        <w:t xml:space="preserve">Why check admin status twice  </w:t>
      </w:r>
      <w:r>
        <w:rPr>
          <w:rFonts w:ascii="Arial" w:hAnsi="Arial"/>
          <w:color w:val="000000"/>
          <w:sz w:val="21"/>
        </w:rPr>
        <w:t>The web adapter blocks unauthorized forwarding and the Supplier Service remains the authoritative security boundary. UI checks alone are never trusted.</w:t>
      </w:r>
    </w:p>
    <w:p>
      <w:pPr>
        <w:spacing w:after="120" w:line="264" w:lineRule="auto"/>
      </w:pPr>
      <w:r>
        <w:rPr>
          <w:rFonts w:ascii="Arial" w:hAnsi="Arial"/>
          <w:b/>
          <w:color w:val="000000"/>
          <w:sz w:val="21"/>
        </w:rPr>
        <w:t xml:space="preserve">How do both backend services work together  </w:t>
      </w:r>
      <w:r>
        <w:rPr>
          <w:rFonts w:ascii="Arial" w:hAnsi="Arial"/>
          <w:color w:val="000000"/>
          <w:sz w:val="21"/>
        </w:rPr>
        <w:t>User Service issues the signed JWT. Supplier Service verifies it locally using the shared secret, issuer, and audience. Neither service reads the other database.</w:t>
      </w:r>
    </w:p>
    <w:p>
      <w:pPr>
        <w:spacing w:after="120" w:line="264" w:lineRule="auto"/>
      </w:pPr>
      <w:r>
        <w:rPr>
          <w:rFonts w:ascii="Arial" w:hAnsi="Arial"/>
          <w:b/>
          <w:color w:val="000000"/>
          <w:sz w:val="21"/>
        </w:rPr>
        <w:t xml:space="preserve">Why soft-delete suppliers  </w:t>
      </w:r>
      <w:r>
        <w:rPr>
          <w:rFonts w:ascii="Arial" w:hAnsi="Arial"/>
          <w:color w:val="000000"/>
          <w:sz w:val="21"/>
        </w:rPr>
        <w:t>Existing errands may retain supplier and location UUIDs. Deactivation hides records from future selection without breaking historical references.</w:t>
      </w:r>
    </w:p>
    <w:p>
      <w:pPr>
        <w:spacing w:after="120" w:line="264" w:lineRule="auto"/>
      </w:pPr>
      <w:r>
        <w:rPr>
          <w:rFonts w:ascii="Arial" w:hAnsi="Arial"/>
          <w:b/>
          <w:color w:val="000000"/>
          <w:sz w:val="21"/>
        </w:rPr>
        <w:t xml:space="preserve">What does supplier at location represent  </w:t>
      </w:r>
      <w:r>
        <w:rPr>
          <w:rFonts w:ascii="Arial" w:hAnsi="Arial"/>
          <w:color w:val="000000"/>
          <w:sz w:val="21"/>
        </w:rPr>
        <w:t>It is a readable derived label. UUIDs remain the stable integration identifiers.</w:t>
      </w:r>
    </w:p>
    <w:p>
      <w:pPr>
        <w:spacing w:after="120" w:line="264" w:lineRule="auto"/>
      </w:pPr>
      <w:r>
        <w:rPr>
          <w:rFonts w:ascii="Arial" w:hAnsi="Arial"/>
          <w:b/>
          <w:color w:val="000000"/>
          <w:sz w:val="21"/>
        </w:rPr>
        <w:t xml:space="preserve">How are duplicate requests handled  </w:t>
      </w:r>
      <w:r>
        <w:rPr>
          <w:rFonts w:ascii="Arial" w:hAnsi="Arial"/>
          <w:color w:val="000000"/>
          <w:sz w:val="21"/>
        </w:rPr>
        <w:t>Case-insensitive PostgreSQL unique constraints are authoritative and Prisma conflicts become HTTP 409.</w:t>
      </w:r>
    </w:p>
    <w:p>
      <w:pPr>
        <w:spacing w:after="120" w:line="264" w:lineRule="auto"/>
      </w:pPr>
      <w:r>
        <w:rPr>
          <w:rFonts w:ascii="Arial" w:hAnsi="Arial"/>
          <w:b/>
          <w:color w:val="000000"/>
          <w:sz w:val="21"/>
        </w:rPr>
        <w:t xml:space="preserve">What happens when an access token expires  </w:t>
      </w:r>
      <w:r>
        <w:rPr>
          <w:rFonts w:ascii="Arial" w:hAnsi="Arial"/>
          <w:color w:val="000000"/>
          <w:sz w:val="21"/>
        </w:rPr>
        <w:t>The frontend verifies the User Service session, rotates the refresh token once, replaces HttpOnly cookies, and retries the original request.</w:t>
      </w:r>
    </w:p>
    <w:p>
      <w:r>
        <w:br w:type="page"/>
      </w:r>
    </w:p>
    <w:p>
      <w:pPr>
        <w:pStyle w:val="Heading1"/>
        <w:keepNext/>
      </w:pPr>
      <w:r>
        <w:t>Implementation source map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880"/>
            <w:shd w:fill="17365D"/>
            <w:tcMar>
              <w:top w:w="110" w:type="dxa"/>
              <w:start w:w="120" w:type="dxa"/>
              <w:bottom w:w="110" w:type="dxa"/>
              <w:end w:w="120" w:type="dxa"/>
            </w:tcMar>
            <w:vAlign w:val="center"/>
          </w:tcPr>
          <w:p>
            <w:pPr>
              <w:spacing w:after="0"/>
              <w:jc w:val="left"/>
            </w:pPr>
            <w:r/>
            <w:r>
              <w:rPr>
                <w:rFonts w:ascii="Arial" w:hAnsi="Arial"/>
                <w:b/>
                <w:color w:val="FFFFFF"/>
                <w:sz w:val="19"/>
              </w:rPr>
              <w:t>Concern</w:t>
            </w:r>
          </w:p>
        </w:tc>
        <w:tc>
          <w:tcPr>
            <w:tcW w:type="dxa" w:w="7128"/>
            <w:shd w:fill="17365D"/>
            <w:tcMar>
              <w:top w:w="110" w:type="dxa"/>
              <w:start w:w="120" w:type="dxa"/>
              <w:bottom w:w="110" w:type="dxa"/>
              <w:end w:w="120" w:type="dxa"/>
            </w:tcMar>
            <w:vAlign w:val="center"/>
          </w:tcPr>
          <w:p>
            <w:pPr>
              <w:spacing w:after="0"/>
              <w:jc w:val="left"/>
            </w:pPr>
            <w:r/>
            <w:r>
              <w:rPr>
                <w:rFonts w:ascii="Arial" w:hAnsi="Arial"/>
                <w:b/>
                <w:color w:val="FFFFFF"/>
                <w:sz w:val="19"/>
              </w:rPr>
              <w:t>Primary files</w:t>
            </w:r>
          </w:p>
        </w:tc>
      </w:tr>
      <w:tr>
        <w:tc>
          <w:tcPr>
            <w:tcW w:type="dxa" w:w="2880"/>
            <w:tcMar>
              <w:top w:w="110" w:type="dxa"/>
              <w:start w:w="120" w:type="dxa"/>
              <w:bottom w:w="110" w:type="dxa"/>
              <w:end w:w="120" w:type="dxa"/>
            </w:tcMar>
            <w:vAlign w:val="center"/>
          </w:tcPr>
          <w:p>
            <w:pPr>
              <w:spacing w:after="0" w:line="252" w:lineRule="auto"/>
            </w:pPr>
            <w:r>
              <w:rPr>
                <w:rFonts w:ascii="Arial" w:hAnsi="Arial"/>
                <w:color w:val="000000"/>
                <w:sz w:val="18"/>
              </w:rPr>
              <w:t>Catalog UI</w:t>
            </w:r>
          </w:p>
        </w:tc>
        <w:tc>
          <w:tcPr>
            <w:tcW w:type="dxa" w:w="7128"/>
            <w:tcMar>
              <w:top w:w="110" w:type="dxa"/>
              <w:start w:w="120" w:type="dxa"/>
              <w:bottom w:w="110" w:type="dxa"/>
              <w:end w:w="120" w:type="dxa"/>
            </w:tcMar>
            <w:vAlign w:val="center"/>
          </w:tcPr>
          <w:p>
            <w:pPr>
              <w:spacing w:after="0" w:line="252" w:lineRule="auto"/>
            </w:pPr>
            <w:r>
              <w:rPr>
                <w:rFonts w:ascii="Arial" w:hAnsi="Arial"/>
                <w:color w:val="000000"/>
                <w:sz w:val="18"/>
              </w:rPr>
              <w:t>web-app/src/features/suppliers/supplier-catalog.tsx</w:t>
            </w:r>
          </w:p>
        </w:tc>
      </w:tr>
      <w:tr>
        <w:tc>
          <w:tcPr>
            <w:tcW w:type="dxa" w:w="2880"/>
            <w:shd w:fill="EDF3F8"/>
            <w:tcMar>
              <w:top w:w="110" w:type="dxa"/>
              <w:start w:w="120" w:type="dxa"/>
              <w:bottom w:w="110" w:type="dxa"/>
              <w:end w:w="120" w:type="dxa"/>
            </w:tcMar>
            <w:vAlign w:val="center"/>
          </w:tcPr>
          <w:p>
            <w:pPr>
              <w:spacing w:after="0" w:line="252" w:lineRule="auto"/>
            </w:pPr>
            <w:r>
              <w:rPr>
                <w:rFonts w:ascii="Arial" w:hAnsi="Arial"/>
                <w:color w:val="000000"/>
                <w:sz w:val="18"/>
              </w:rPr>
              <w:t>Administrator UI</w:t>
            </w:r>
          </w:p>
        </w:tc>
        <w:tc>
          <w:tcPr>
            <w:tcW w:type="dxa" w:w="7128"/>
            <w:shd w:fill="EDF3F8"/>
            <w:tcMar>
              <w:top w:w="110" w:type="dxa"/>
              <w:start w:w="120" w:type="dxa"/>
              <w:bottom w:w="110" w:type="dxa"/>
              <w:end w:w="120" w:type="dxa"/>
            </w:tcMar>
            <w:vAlign w:val="center"/>
          </w:tcPr>
          <w:p>
            <w:pPr>
              <w:spacing w:after="0" w:line="252" w:lineRule="auto"/>
            </w:pPr>
            <w:r>
              <w:rPr>
                <w:rFonts w:ascii="Arial" w:hAnsi="Arial"/>
                <w:color w:val="000000"/>
                <w:sz w:val="18"/>
              </w:rPr>
              <w:t>web-app/src/features/admin/admin-dashboard.tsx</w:t>
            </w:r>
          </w:p>
        </w:tc>
      </w:tr>
      <w:tr>
        <w:tc>
          <w:tcPr>
            <w:tcW w:type="dxa" w:w="2880"/>
            <w:tcMar>
              <w:top w:w="110" w:type="dxa"/>
              <w:start w:w="120" w:type="dxa"/>
              <w:bottom w:w="110" w:type="dxa"/>
              <w:end w:w="120" w:type="dxa"/>
            </w:tcMar>
            <w:vAlign w:val="center"/>
          </w:tcPr>
          <w:p>
            <w:pPr>
              <w:spacing w:after="0" w:line="252" w:lineRule="auto"/>
            </w:pPr>
            <w:r>
              <w:rPr>
                <w:rFonts w:ascii="Arial" w:hAnsi="Arial"/>
                <w:color w:val="000000"/>
                <w:sz w:val="18"/>
              </w:rPr>
              <w:t>Browser request and refresh</w:t>
            </w:r>
          </w:p>
        </w:tc>
        <w:tc>
          <w:tcPr>
            <w:tcW w:type="dxa" w:w="7128"/>
            <w:tcMar>
              <w:top w:w="110" w:type="dxa"/>
              <w:start w:w="120" w:type="dxa"/>
              <w:bottom w:w="110" w:type="dxa"/>
              <w:end w:w="120" w:type="dxa"/>
            </w:tcMar>
            <w:vAlign w:val="center"/>
          </w:tcPr>
          <w:p>
            <w:pPr>
              <w:spacing w:after="0" w:line="252" w:lineRule="auto"/>
            </w:pPr>
            <w:r>
              <w:rPr>
                <w:rFonts w:ascii="Arial" w:hAnsi="Arial"/>
                <w:color w:val="000000"/>
                <w:sz w:val="18"/>
              </w:rPr>
              <w:t>web-app/src/services/api.ts</w:t>
            </w:r>
          </w:p>
        </w:tc>
      </w:tr>
      <w:tr>
        <w:tc>
          <w:tcPr>
            <w:tcW w:type="dxa" w:w="2880"/>
            <w:shd w:fill="EDF3F8"/>
            <w:tcMar>
              <w:top w:w="110" w:type="dxa"/>
              <w:start w:w="120" w:type="dxa"/>
              <w:bottom w:w="110" w:type="dxa"/>
              <w:end w:w="120" w:type="dxa"/>
            </w:tcMar>
            <w:vAlign w:val="center"/>
          </w:tcPr>
          <w:p>
            <w:pPr>
              <w:spacing w:after="0" w:line="252" w:lineRule="auto"/>
            </w:pPr>
            <w:r>
              <w:rPr>
                <w:rFonts w:ascii="Arial" w:hAnsi="Arial"/>
                <w:color w:val="000000"/>
                <w:sz w:val="18"/>
              </w:rPr>
              <w:t>Cookies and upstream adapter</w:t>
            </w:r>
          </w:p>
        </w:tc>
        <w:tc>
          <w:tcPr>
            <w:tcW w:type="dxa" w:w="7128"/>
            <w:shd w:fill="EDF3F8"/>
            <w:tcMar>
              <w:top w:w="110" w:type="dxa"/>
              <w:start w:w="120" w:type="dxa"/>
              <w:bottom w:w="110" w:type="dxa"/>
              <w:end w:w="120" w:type="dxa"/>
            </w:tcMar>
            <w:vAlign w:val="center"/>
          </w:tcPr>
          <w:p>
            <w:pPr>
              <w:spacing w:after="0" w:line="252" w:lineRule="auto"/>
            </w:pPr>
            <w:r>
              <w:rPr>
                <w:rFonts w:ascii="Arial" w:hAnsi="Arial"/>
                <w:color w:val="000000"/>
                <w:sz w:val="18"/>
              </w:rPr>
              <w:t>web-app/src/services/backend.server.ts</w:t>
            </w:r>
          </w:p>
        </w:tc>
      </w:tr>
      <w:tr>
        <w:tc>
          <w:tcPr>
            <w:tcW w:type="dxa" w:w="2880"/>
            <w:tcMar>
              <w:top w:w="110" w:type="dxa"/>
              <w:start w:w="120" w:type="dxa"/>
              <w:bottom w:w="110" w:type="dxa"/>
              <w:end w:w="120" w:type="dxa"/>
            </w:tcMar>
            <w:vAlign w:val="center"/>
          </w:tcPr>
          <w:p>
            <w:pPr>
              <w:spacing w:after="0" w:line="252" w:lineRule="auto"/>
            </w:pPr>
            <w:r>
              <w:rPr>
                <w:rFonts w:ascii="Arial" w:hAnsi="Arial"/>
                <w:color w:val="000000"/>
                <w:sz w:val="18"/>
              </w:rPr>
              <w:t>Supplier Route Handler</w:t>
            </w:r>
          </w:p>
        </w:tc>
        <w:tc>
          <w:tcPr>
            <w:tcW w:type="dxa" w:w="7128"/>
            <w:tcMar>
              <w:top w:w="110" w:type="dxa"/>
              <w:start w:w="120" w:type="dxa"/>
              <w:bottom w:w="110" w:type="dxa"/>
              <w:end w:w="120" w:type="dxa"/>
            </w:tcMar>
            <w:vAlign w:val="center"/>
          </w:tcPr>
          <w:p>
            <w:pPr>
              <w:spacing w:after="0" w:line="252" w:lineRule="auto"/>
            </w:pPr>
            <w:r>
              <w:rPr>
                <w:rFonts w:ascii="Arial" w:hAnsi="Arial"/>
                <w:color w:val="000000"/>
                <w:sz w:val="18"/>
              </w:rPr>
              <w:t>web-app/src/app/api/suppliers/route.ts</w:t>
            </w:r>
          </w:p>
        </w:tc>
      </w:tr>
      <w:tr>
        <w:tc>
          <w:tcPr>
            <w:tcW w:type="dxa" w:w="2880"/>
            <w:shd w:fill="EDF3F8"/>
            <w:tcMar>
              <w:top w:w="110" w:type="dxa"/>
              <w:start w:w="120" w:type="dxa"/>
              <w:bottom w:w="110" w:type="dxa"/>
              <w:end w:w="120" w:type="dxa"/>
            </w:tcMar>
            <w:vAlign w:val="center"/>
          </w:tcPr>
          <w:p>
            <w:pPr>
              <w:spacing w:after="0" w:line="252" w:lineRule="auto"/>
            </w:pPr>
            <w:r>
              <w:rPr>
                <w:rFonts w:ascii="Arial" w:hAnsi="Arial"/>
                <w:color w:val="000000"/>
                <w:sz w:val="18"/>
              </w:rPr>
              <w:t>Admin Route Handler</w:t>
            </w:r>
          </w:p>
        </w:tc>
        <w:tc>
          <w:tcPr>
            <w:tcW w:type="dxa" w:w="7128"/>
            <w:shd w:fill="EDF3F8"/>
            <w:tcMar>
              <w:top w:w="110" w:type="dxa"/>
              <w:start w:w="120" w:type="dxa"/>
              <w:bottom w:w="110" w:type="dxa"/>
              <w:end w:w="120" w:type="dxa"/>
            </w:tcMar>
            <w:vAlign w:val="center"/>
          </w:tcPr>
          <w:p>
            <w:pPr>
              <w:spacing w:after="0" w:line="252" w:lineRule="auto"/>
            </w:pPr>
            <w:r>
              <w:rPr>
                <w:rFonts w:ascii="Arial" w:hAnsi="Arial"/>
                <w:color w:val="000000"/>
                <w:sz w:val="18"/>
              </w:rPr>
              <w:t>web-app/src/app/api/admin/[...path]/route.ts</w:t>
            </w:r>
          </w:p>
        </w:tc>
      </w:tr>
      <w:tr>
        <w:tc>
          <w:tcPr>
            <w:tcW w:type="dxa" w:w="2880"/>
            <w:tcMar>
              <w:top w:w="110" w:type="dxa"/>
              <w:start w:w="120" w:type="dxa"/>
              <w:bottom w:w="110" w:type="dxa"/>
              <w:end w:w="120" w:type="dxa"/>
            </w:tcMar>
            <w:vAlign w:val="center"/>
          </w:tcPr>
          <w:p>
            <w:pPr>
              <w:spacing w:after="0" w:line="252" w:lineRule="auto"/>
            </w:pPr>
            <w:r>
              <w:rPr>
                <w:rFonts w:ascii="Arial" w:hAnsi="Arial"/>
                <w:color w:val="000000"/>
                <w:sz w:val="18"/>
              </w:rPr>
              <w:t>Supplier HTTP controllers</w:t>
            </w:r>
          </w:p>
        </w:tc>
        <w:tc>
          <w:tcPr>
            <w:tcW w:type="dxa" w:w="7128"/>
            <w:tcMar>
              <w:top w:w="110" w:type="dxa"/>
              <w:start w:w="120" w:type="dxa"/>
              <w:bottom w:w="110" w:type="dxa"/>
              <w:end w:w="120" w:type="dxa"/>
            </w:tcMar>
            <w:vAlign w:val="center"/>
          </w:tcPr>
          <w:p>
            <w:pPr>
              <w:spacing w:after="0" w:line="252" w:lineRule="auto"/>
            </w:pPr>
            <w:r>
              <w:rPr>
                <w:rFonts w:ascii="Arial" w:hAnsi="Arial"/>
                <w:color w:val="000000"/>
                <w:sz w:val="18"/>
              </w:rPr>
              <w:t>supplier-service/src/api/http</w:t>
            </w:r>
          </w:p>
        </w:tc>
      </w:tr>
      <w:tr>
        <w:tc>
          <w:tcPr>
            <w:tcW w:type="dxa" w:w="2880"/>
            <w:shd w:fill="EDF3F8"/>
            <w:tcMar>
              <w:top w:w="110" w:type="dxa"/>
              <w:start w:w="120" w:type="dxa"/>
              <w:bottom w:w="110" w:type="dxa"/>
              <w:end w:w="120" w:type="dxa"/>
            </w:tcMar>
            <w:vAlign w:val="center"/>
          </w:tcPr>
          <w:p>
            <w:pPr>
              <w:spacing w:after="0" w:line="252" w:lineRule="auto"/>
            </w:pPr>
            <w:r>
              <w:rPr>
                <w:rFonts w:ascii="Arial" w:hAnsi="Arial"/>
                <w:color w:val="000000"/>
                <w:sz w:val="18"/>
              </w:rPr>
              <w:t>JWT and RBAC</w:t>
            </w:r>
          </w:p>
        </w:tc>
        <w:tc>
          <w:tcPr>
            <w:tcW w:type="dxa" w:w="7128"/>
            <w:shd w:fill="EDF3F8"/>
            <w:tcMar>
              <w:top w:w="110" w:type="dxa"/>
              <w:start w:w="120" w:type="dxa"/>
              <w:bottom w:w="110" w:type="dxa"/>
              <w:end w:w="120" w:type="dxa"/>
            </w:tcMar>
            <w:vAlign w:val="center"/>
          </w:tcPr>
          <w:p>
            <w:pPr>
              <w:spacing w:after="0" w:line="252" w:lineRule="auto"/>
            </w:pPr>
            <w:r>
              <w:rPr>
                <w:rFonts w:ascii="Arial" w:hAnsi="Arial"/>
                <w:color w:val="000000"/>
                <w:sz w:val="18"/>
              </w:rPr>
              <w:t>supplier-service/src/platform/auth</w:t>
            </w:r>
          </w:p>
        </w:tc>
      </w:tr>
      <w:tr>
        <w:tc>
          <w:tcPr>
            <w:tcW w:type="dxa" w:w="2880"/>
            <w:tcMar>
              <w:top w:w="110" w:type="dxa"/>
              <w:start w:w="120" w:type="dxa"/>
              <w:bottom w:w="110" w:type="dxa"/>
              <w:end w:w="120" w:type="dxa"/>
            </w:tcMar>
            <w:vAlign w:val="center"/>
          </w:tcPr>
          <w:p>
            <w:pPr>
              <w:spacing w:after="0" w:line="252" w:lineRule="auto"/>
            </w:pPr>
            <w:r>
              <w:rPr>
                <w:rFonts w:ascii="Arial" w:hAnsi="Arial"/>
                <w:color w:val="000000"/>
                <w:sz w:val="18"/>
              </w:rPr>
              <w:t>Application workflows</w:t>
            </w:r>
          </w:p>
        </w:tc>
        <w:tc>
          <w:tcPr>
            <w:tcW w:type="dxa" w:w="7128"/>
            <w:tcMar>
              <w:top w:w="110" w:type="dxa"/>
              <w:start w:w="120" w:type="dxa"/>
              <w:bottom w:w="110" w:type="dxa"/>
              <w:end w:w="120" w:type="dxa"/>
            </w:tcMar>
            <w:vAlign w:val="center"/>
          </w:tcPr>
          <w:p>
            <w:pPr>
              <w:spacing w:after="0" w:line="252" w:lineRule="auto"/>
            </w:pPr>
            <w:r>
              <w:rPr>
                <w:rFonts w:ascii="Arial" w:hAnsi="Arial"/>
                <w:color w:val="000000"/>
                <w:sz w:val="18"/>
              </w:rPr>
              <w:t>supplier-service/src/application/use-cases</w:t>
            </w:r>
          </w:p>
        </w:tc>
      </w:tr>
      <w:tr>
        <w:tc>
          <w:tcPr>
            <w:tcW w:type="dxa" w:w="2880"/>
            <w:shd w:fill="EDF3F8"/>
            <w:tcMar>
              <w:top w:w="110" w:type="dxa"/>
              <w:start w:w="120" w:type="dxa"/>
              <w:bottom w:w="110" w:type="dxa"/>
              <w:end w:w="120" w:type="dxa"/>
            </w:tcMar>
            <w:vAlign w:val="center"/>
          </w:tcPr>
          <w:p>
            <w:pPr>
              <w:spacing w:after="0" w:line="252" w:lineRule="auto"/>
            </w:pPr>
            <w:r>
              <w:rPr>
                <w:rFonts w:ascii="Arial" w:hAnsi="Arial"/>
                <w:color w:val="000000"/>
                <w:sz w:val="18"/>
              </w:rPr>
              <w:t>Persistence</w:t>
            </w:r>
          </w:p>
        </w:tc>
        <w:tc>
          <w:tcPr>
            <w:tcW w:type="dxa" w:w="7128"/>
            <w:shd w:fill="EDF3F8"/>
            <w:tcMar>
              <w:top w:w="110" w:type="dxa"/>
              <w:start w:w="120" w:type="dxa"/>
              <w:bottom w:w="110" w:type="dxa"/>
              <w:end w:w="120" w:type="dxa"/>
            </w:tcMar>
            <w:vAlign w:val="center"/>
          </w:tcPr>
          <w:p>
            <w:pPr>
              <w:spacing w:after="0" w:line="252" w:lineRule="auto"/>
            </w:pPr>
            <w:r>
              <w:rPr>
                <w:rFonts w:ascii="Arial" w:hAnsi="Arial"/>
                <w:color w:val="000000"/>
                <w:sz w:val="18"/>
              </w:rPr>
              <w:t>supplier-service/src/infrastructure/persistence/prisma-supplier-catalog.repository.ts</w:t>
            </w:r>
          </w:p>
        </w:tc>
      </w:tr>
      <w:tr>
        <w:tc>
          <w:tcPr>
            <w:tcW w:type="dxa" w:w="2880"/>
            <w:tcMar>
              <w:top w:w="110" w:type="dxa"/>
              <w:start w:w="120" w:type="dxa"/>
              <w:bottom w:w="110" w:type="dxa"/>
              <w:end w:w="120" w:type="dxa"/>
            </w:tcMar>
            <w:vAlign w:val="center"/>
          </w:tcPr>
          <w:p>
            <w:pPr>
              <w:spacing w:after="0" w:line="252" w:lineRule="auto"/>
            </w:pPr>
            <w:r>
              <w:rPr>
                <w:rFonts w:ascii="Arial" w:hAnsi="Arial"/>
                <w:color w:val="000000"/>
                <w:sz w:val="18"/>
              </w:rPr>
              <w:t>Database model</w:t>
            </w:r>
          </w:p>
        </w:tc>
        <w:tc>
          <w:tcPr>
            <w:tcW w:type="dxa" w:w="7128"/>
            <w:tcMar>
              <w:top w:w="110" w:type="dxa"/>
              <w:start w:w="120" w:type="dxa"/>
              <w:bottom w:w="110" w:type="dxa"/>
              <w:end w:w="120" w:type="dxa"/>
            </w:tcMar>
            <w:vAlign w:val="center"/>
          </w:tcPr>
          <w:p>
            <w:pPr>
              <w:spacing w:after="0" w:line="252" w:lineRule="auto"/>
            </w:pPr>
            <w:r>
              <w:rPr>
                <w:rFonts w:ascii="Arial" w:hAnsi="Arial"/>
                <w:color w:val="000000"/>
                <w:sz w:val="18"/>
              </w:rPr>
              <w:t>supplier-service/prisma/schema.prisma</w:t>
            </w:r>
          </w:p>
        </w:tc>
      </w:tr>
    </w:tbl>
    <w:p>
      <w:pPr>
        <w:spacing w:after="40"/>
      </w:pPr>
    </w:p>
    <w:p>
      <w:pPr>
        <w:pStyle w:val="Heading2"/>
        <w:keepNext/>
      </w:pPr>
      <w:r>
        <w:t>Review scope</w:t>
      </w:r>
    </w:p>
    <w:p>
      <w:pPr>
        <w:spacing w:after="140" w:line="271" w:lineRule="auto"/>
      </w:pPr>
      <w:r>
        <w:rPr>
          <w:rFonts w:ascii="Arial" w:hAnsi="Arial"/>
          <w:color w:val="000000"/>
          <w:sz w:val="21"/>
        </w:rPr>
        <w:t>This walkthrough describes the implementation present in the repository on 27 September 2026. It documents the active supplier browsing and administration paths. Account administration appears in the same dashboard but remains a User Service workflow and is outside the Supplier Service CRUD analysis.</w:t>
      </w:r>
    </w:p>
    <w:sectPr w:rsidR="00FC693F" w:rsidRPr="0006063C" w:rsidSect="00034616">
      <w:headerReference w:type="default" r:id="rId9"/>
      <w:footerReference w:type="default" r:id="rId10"/>
      <w:pgSz w:w="12240" w:h="15840"/>
      <w:pgMar w:top="1037" w:right="1123" w:bottom="979"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666666"/>
        <w:sz w:val="17"/>
      </w:rPr>
      <w:t>Friend on Campus  Supplier Service 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