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240" w:before="0"/>
        <w:jc w:val="left"/>
      </w:pPr>
      <w:r>
        <w:rPr>
          <w:rFonts w:ascii="Arial" w:cs="Arial" w:eastAsia="Arial" w:hAnsi="Arial"/>
          <w:b/>
          <w:bCs/>
          <w:color w:val="2E6DB4"/>
          <w:sz w:val="20"/>
          <w:szCs w:val="20"/>
        </w:rPr>
        <w:t xml:space="preserve">CONFIDENTIAL INFORMATION MEMORANDUM</w:t>
      </w:r>
    </w:p>
    <w:p>
      <w:pPr>
        <w:spacing w:after="120" w:before="0"/>
        <w:jc w:val="left"/>
      </w:pPr>
      <w:r>
        <w:rPr>
          <w:rFonts w:ascii="Arial" w:cs="Arial" w:eastAsia="Arial" w:hAnsi="Arial"/>
          <w:b/>
          <w:bCs/>
          <w:color w:val="0D1B2A"/>
          <w:sz w:val="72"/>
          <w:szCs w:val="72"/>
        </w:rPr>
        <w:t xml:space="preserve">RevSpring, Inc.</w:t>
      </w:r>
    </w:p>
    <w:p>
      <w:pPr>
        <w:spacing w:after="480" w:before="0"/>
        <w:jc w:val="left"/>
      </w:pPr>
      <w:r>
        <w:rPr>
          <w:rFonts w:ascii="Arial" w:cs="Arial" w:eastAsia="Arial" w:hAnsi="Arial"/>
          <w:color w:val="1B3A5C"/>
          <w:sz w:val="36"/>
          <w:szCs w:val="36"/>
        </w:rPr>
        <w:t xml:space="preserve">Patient Engagement &amp; Revenue Cycle Management Platform</w:t>
      </w:r>
    </w:p>
    <w:p>
      <w:pPr>
        <w:pBdr>
          <w:bottom w:val="single" w:color="2E6DB4" w:sz="6" w:space="1"/>
        </w:pBdr>
        <w:spacing w:after="60" w:before="60"/>
      </w:pPr>
      <w:r>
        <w:t xml:space="preserve"/>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A5C" w:val="clear"/>
            <w:tcMar>
              <w:top w:type="dxa" w:w="160"/>
              <w:left w:type="dxa" w:w="160"/>
              <w:bottom w:type="dxa" w:w="160"/>
              <w:right w:type="dxa" w:w="160"/>
            </w:tcMar>
          </w:tcPr>
          <w:p>
            <w:pPr>
              <w:jc w:val="center"/>
            </w:pPr>
            <w:r>
              <w:rPr>
                <w:rFonts w:ascii="Arial" w:cs="Arial" w:eastAsia="Arial" w:hAnsi="Arial"/>
                <w:color w:val="AACCEE"/>
                <w:sz w:val="18"/>
                <w:szCs w:val="18"/>
              </w:rPr>
              <w:t xml:space="preserve">Transaction Value</w:t>
            </w:r>
          </w:p>
          <w:p>
            <w:pPr>
              <w:jc w:val="center"/>
            </w:pPr>
            <w:r>
              <w:rPr>
                <w:rFonts w:ascii="Arial" w:cs="Arial" w:eastAsia="Arial" w:hAnsi="Arial"/>
                <w:b/>
                <w:bCs/>
                <w:color w:val="FFFFFF"/>
                <w:sz w:val="28"/>
                <w:szCs w:val="28"/>
              </w:rPr>
              <w:t xml:space="preserve">~$1.3B</w:t>
            </w:r>
          </w:p>
        </w:tc>
        <w:tc>
          <w:tcPr>
            <w:tcW w:type="dxa" w:w="2200"/>
            <w:tcBorders>
              <w:top w:val="single" w:color="CCCCCC" w:sz="1"/>
              <w:left w:val="single" w:color="CCCCCC" w:sz="1"/>
              <w:bottom w:val="single" w:color="CCCCCC" w:sz="1"/>
              <w:right w:val="single" w:color="CCCCCC" w:sz="1"/>
            </w:tcBorders>
            <w:shd w:fill="1B3A5C" w:val="clear"/>
            <w:tcMar>
              <w:top w:type="dxa" w:w="160"/>
              <w:left w:type="dxa" w:w="160"/>
              <w:bottom w:type="dxa" w:w="160"/>
              <w:right w:type="dxa" w:w="160"/>
            </w:tcMar>
          </w:tcPr>
          <w:p>
            <w:pPr>
              <w:jc w:val="center"/>
            </w:pPr>
            <w:r>
              <w:rPr>
                <w:rFonts w:ascii="Arial" w:cs="Arial" w:eastAsia="Arial" w:hAnsi="Arial"/>
                <w:color w:val="AACCEE"/>
                <w:sz w:val="18"/>
                <w:szCs w:val="18"/>
              </w:rPr>
              <w:t xml:space="preserve">Revenue (FY2023)</w:t>
            </w:r>
          </w:p>
          <w:p>
            <w:pPr>
              <w:jc w:val="center"/>
            </w:pPr>
            <w:r>
              <w:rPr>
                <w:rFonts w:ascii="Arial" w:cs="Arial" w:eastAsia="Arial" w:hAnsi="Arial"/>
                <w:b/>
                <w:bCs/>
                <w:color w:val="FFFFFF"/>
                <w:sz w:val="28"/>
                <w:szCs w:val="28"/>
              </w:rPr>
              <w:t xml:space="preserve">$248M</w:t>
            </w:r>
          </w:p>
        </w:tc>
        <w:tc>
          <w:tcPr>
            <w:tcW w:type="dxa" w:w="2200"/>
            <w:tcBorders>
              <w:top w:val="single" w:color="CCCCCC" w:sz="1"/>
              <w:left w:val="single" w:color="CCCCCC" w:sz="1"/>
              <w:bottom w:val="single" w:color="CCCCCC" w:sz="1"/>
              <w:right w:val="single" w:color="CCCCCC" w:sz="1"/>
            </w:tcBorders>
            <w:shd w:fill="1B3A5C" w:val="clear"/>
            <w:tcMar>
              <w:top w:type="dxa" w:w="160"/>
              <w:left w:type="dxa" w:w="160"/>
              <w:bottom w:type="dxa" w:w="160"/>
              <w:right w:type="dxa" w:w="160"/>
            </w:tcMar>
          </w:tcPr>
          <w:p>
            <w:pPr>
              <w:jc w:val="center"/>
            </w:pPr>
            <w:r>
              <w:rPr>
                <w:rFonts w:ascii="Arial" w:cs="Arial" w:eastAsia="Arial" w:hAnsi="Arial"/>
                <w:color w:val="AACCEE"/>
                <w:sz w:val="18"/>
                <w:szCs w:val="18"/>
              </w:rPr>
              <w:t xml:space="preserve">EBITDA (FY2023)</w:t>
            </w:r>
          </w:p>
          <w:p>
            <w:pPr>
              <w:jc w:val="center"/>
            </w:pPr>
            <w:r>
              <w:rPr>
                <w:rFonts w:ascii="Arial" w:cs="Arial" w:eastAsia="Arial" w:hAnsi="Arial"/>
                <w:b/>
                <w:bCs/>
                <w:color w:val="FFFFFF"/>
                <w:sz w:val="28"/>
                <w:szCs w:val="28"/>
              </w:rPr>
              <w:t xml:space="preserve">$67M</w:t>
            </w:r>
          </w:p>
        </w:tc>
        <w:tc>
          <w:tcPr>
            <w:tcW w:type="dxa" w:w="2760"/>
            <w:tcBorders>
              <w:top w:val="single" w:color="CCCCCC" w:sz="1"/>
              <w:left w:val="single" w:color="CCCCCC" w:sz="1"/>
              <w:bottom w:val="single" w:color="CCCCCC" w:sz="1"/>
              <w:right w:val="single" w:color="CCCCCC" w:sz="1"/>
            </w:tcBorders>
            <w:shd w:fill="1B3A5C" w:val="clear"/>
            <w:tcMar>
              <w:top w:type="dxa" w:w="160"/>
              <w:left w:type="dxa" w:w="160"/>
              <w:bottom w:type="dxa" w:w="160"/>
              <w:right w:type="dxa" w:w="160"/>
            </w:tcMar>
          </w:tcPr>
          <w:p>
            <w:pPr>
              <w:jc w:val="center"/>
            </w:pPr>
            <w:r>
              <w:rPr>
                <w:rFonts w:ascii="Arial" w:cs="Arial" w:eastAsia="Arial" w:hAnsi="Arial"/>
                <w:color w:val="AACCEE"/>
                <w:sz w:val="18"/>
                <w:szCs w:val="18"/>
              </w:rPr>
              <w:t xml:space="preserve">Deal Type</w:t>
            </w:r>
          </w:p>
          <w:p>
            <w:pPr>
              <w:jc w:val="center"/>
            </w:pPr>
            <w:r>
              <w:rPr>
                <w:rFonts w:ascii="Arial" w:cs="Arial" w:eastAsia="Arial" w:hAnsi="Arial"/>
                <w:b/>
                <w:bCs/>
                <w:color w:val="FFFFFF"/>
                <w:sz w:val="28"/>
                <w:szCs w:val="28"/>
              </w:rPr>
              <w:t xml:space="preserve">Secondary Buyout</w:t>
            </w:r>
          </w:p>
        </w:tc>
      </w:tr>
    </w:tbl>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200"/>
              <w:left w:type="dxa" w:w="240"/>
              <w:bottom w:type="dxa" w:w="200"/>
              <w:right w:type="dxa" w:w="240"/>
            </w:tcMar>
          </w:tcPr>
          <w:p>
            <w:r>
              <w:rPr>
                <w:rFonts w:ascii="Arial" w:cs="Arial" w:eastAsia="Arial" w:hAnsi="Arial"/>
                <w:color w:val="444444"/>
                <w:sz w:val="20"/>
                <w:szCs w:val="20"/>
              </w:rPr>
              <w:t xml:space="preserve">PREPARED BY  Morgan Stanley &amp; Co. LLC  |  Triple Tree LLC</w:t>
            </w:r>
          </w:p>
          <w:p>
            <w:r>
              <w:rPr>
                <w:rFonts w:ascii="Arial" w:cs="Arial" w:eastAsia="Arial" w:hAnsi="Arial"/>
                <w:color w:val="444444"/>
                <w:sz w:val="20"/>
                <w:szCs w:val="20"/>
              </w:rPr>
              <w:t xml:space="preserve">SELL-SIDE ADVISOR TO GTCR, LLC  |  March 2024</w:t>
            </w:r>
          </w:p>
          <w:p>
            <w:pPr>
              <w:spacing w:after="0" w:before="80"/>
            </w:pPr>
            <w:r>
              <w:t xml:space="preserve"/>
            </w:r>
          </w:p>
          <w:p>
            <w:r>
              <w:rPr>
                <w:rFonts w:ascii="Arial" w:cs="Arial" w:eastAsia="Arial" w:hAnsi="Arial"/>
                <w:i/>
                <w:iCs/>
                <w:color w:val="888888"/>
                <w:sz w:val="18"/>
                <w:szCs w:val="18"/>
              </w:rPr>
              <w:t xml:space="preserve">This document is strictly confidential and has been prepared solely for informational purposes. It does not constitute an offer to sell or a solicitation of an offer to purchase any securities.</w:t>
            </w:r>
          </w:p>
        </w:tc>
      </w:tr>
    </w:tbl>
    <w:p>
      <w:r>
        <w:br w:type="page"/>
      </w:r>
    </w:p>
    <w:p>
      <w:pPr>
        <w:pStyle w:val="Heading1"/>
        <w:spacing w:after="120" w:before="360"/>
      </w:pPr>
      <w:r>
        <w:rPr>
          <w:rFonts w:ascii="Arial" w:cs="Arial" w:eastAsia="Arial" w:hAnsi="Arial"/>
          <w:b/>
          <w:bCs/>
          <w:color w:val="1B3A5C"/>
          <w:sz w:val="32"/>
          <w:szCs w:val="32"/>
        </w:rPr>
        <w:t xml:space="preserve">1. EXECUTIVE SUMMARY</w:t>
      </w:r>
    </w:p>
    <w:p>
      <w:pPr>
        <w:pBdr>
          <w:bottom w:val="single" w:color="2E6DB4" w:sz="6" w:space="1"/>
        </w:pBdr>
        <w:spacing w:after="60" w:before="60"/>
      </w:pPr>
      <w:r>
        <w:t xml:space="preserve"/>
      </w:r>
    </w:p>
    <w:p>
      <w:pPr>
        <w:spacing w:after="0" w:before="120"/>
      </w:pPr>
      <w:r>
        <w:t xml:space="preserve"/>
      </w:r>
    </w:p>
    <w:p>
      <w:pPr>
        <w:pStyle w:val="Heading2"/>
        <w:spacing w:after="80" w:before="240"/>
      </w:pPr>
      <w:r>
        <w:rPr>
          <w:rFonts w:ascii="Arial" w:cs="Arial" w:eastAsia="Arial" w:hAnsi="Arial"/>
          <w:b/>
          <w:bCs/>
          <w:color w:val="2E6DB4"/>
          <w:sz w:val="26"/>
          <w:szCs w:val="26"/>
        </w:rPr>
        <w:t xml:space="preserve">Transaction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RevSpring, Inc.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Seller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GTCR, LLC (Chicago, 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Buyer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Frazier Healthcare Partners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Co-Investors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NEA, 22C Capital, Management Rollover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Transaction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Secondary Buyout (PE-to-PE)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Transaction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~$1.3 billion (Enterprise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EV / Revenue (FY2023)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~5.2x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EV / EBITDA (FY2023)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~19.4x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Close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March 12, 2024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Sell-Side Advisors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Morgan Stanley &amp; Co. LLC; Triple Tree LLC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Legal Counsel (Seller)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Kirkland &amp; Ellis LLP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Legal Counsel (Buyer)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Ropes &amp; Gray LLP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Headquarters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Nashville, Tennessee</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Business Description</w:t>
      </w:r>
    </w:p>
    <w:p>
      <w:pPr>
        <w:spacing w:after="60" w:before="60"/>
      </w:pPr>
      <w:r>
        <w:rPr>
          <w:rFonts w:ascii="Arial" w:cs="Arial" w:eastAsia="Arial" w:hAnsi="Arial"/>
          <w:color w:val="1A1A1A"/>
          <w:sz w:val="22"/>
          <w:szCs w:val="22"/>
        </w:rPr>
        <w:t xml:space="preserve">RevSpring, Inc. is a leading North American provider of end-to-end patient engagement, financial communications, and revenue cycle management (RCM) technology solutions for healthcare organizations. Founded in 1981 and headquartered in Nashville, Tennessee, the Company serves over 2,000 hospitals, health systems, and physician groups across the United States.</w:t>
      </w:r>
    </w:p>
    <w:p>
      <w:pPr>
        <w:spacing w:after="0" w:before="60"/>
      </w:pPr>
      <w:r>
        <w:t xml:space="preserve"/>
      </w:r>
    </w:p>
    <w:p>
      <w:pPr>
        <w:spacing w:after="60" w:before="60"/>
      </w:pPr>
      <w:r>
        <w:rPr>
          <w:rFonts w:ascii="Arial" w:cs="Arial" w:eastAsia="Arial" w:hAnsi="Arial"/>
          <w:color w:val="1A1A1A"/>
          <w:sz w:val="22"/>
          <w:szCs w:val="22"/>
        </w:rPr>
        <w:t xml:space="preserve">RevSpring's platform delivers omnichannel communications (print, digital, voice, SMS) and integrated payment solutions across the full patient financial journey, from pre-service eligibility and cost estimation through post-service billing and collections. The Company's proprietary data analytics engine, powered by behavioral and demographic intelligence on over 300 million U.S. consumers, enables personalized engagement workflows that demonstrably improve patient payment rates and provider financial performance.</w:t>
      </w:r>
    </w:p>
    <w:p>
      <w:pPr>
        <w:spacing w:after="0" w:before="60"/>
      </w:pPr>
      <w:r>
        <w:t xml:space="preserve"/>
      </w:r>
    </w:p>
    <w:p>
      <w:pPr>
        <w:spacing w:after="60" w:before="60"/>
      </w:pPr>
      <w:r>
        <w:rPr>
          <w:rFonts w:ascii="Arial" w:cs="Arial" w:eastAsia="Arial" w:hAnsi="Arial"/>
          <w:color w:val="1A1A1A"/>
          <w:sz w:val="22"/>
          <w:szCs w:val="22"/>
        </w:rPr>
        <w:t xml:space="preserve">Under GTCR's ownership (2016-2024), RevSpring transformed from a billing communications company into a full-stack patient financial engagement platform. The Company made five strategic acquisitions, expanded its SaaS product suite, grew headcount to approximately 1,265 employees, and achieved the #1 KLAS rating for Patient Communications in 2024. Revenue grew at a CAGR of approximately 14% over the hold period, driven by new product launches, cross-sell penetration, and M&amp;A.</w:t>
      </w:r>
    </w:p>
    <w:p>
      <w:pPr>
        <w:spacing w:after="0" w:before="180"/>
      </w:pPr>
      <w:r>
        <w:t xml:space="preserve"/>
      </w:r>
    </w:p>
    <w:p>
      <w:pPr>
        <w:pStyle w:val="Heading2"/>
        <w:spacing w:after="80" w:before="240"/>
      </w:pPr>
      <w:r>
        <w:rPr>
          <w:rFonts w:ascii="Arial" w:cs="Arial" w:eastAsia="Arial" w:hAnsi="Arial"/>
          <w:b/>
          <w:bCs/>
          <w:color w:val="2E6DB4"/>
          <w:sz w:val="26"/>
          <w:szCs w:val="26"/>
        </w:rPr>
        <w:t xml:space="preserve">Key Investment Highlights</w:t>
      </w:r>
    </w:p>
    <w:p>
      <w:pPr>
        <w:pStyle w:val="ListParagraph"/>
        <w:numPr>
          <w:ilvl w:val="0"/>
          <w:numId w:val="2"/>
        </w:numPr>
        <w:spacing w:after="40" w:before="40"/>
      </w:pPr>
      <w:r>
        <w:rPr>
          <w:rFonts w:ascii="Arial" w:cs="Arial" w:eastAsia="Arial" w:hAnsi="Arial"/>
          <w:color w:val="1A1A1A"/>
          <w:sz w:val="22"/>
          <w:szCs w:val="22"/>
        </w:rPr>
        <w:t xml:space="preserve">Market leadership with #1 KLAS ranking in Patient Communications (2024) across 2,000+ provider clients</w:t>
      </w:r>
    </w:p>
    <w:p>
      <w:pPr>
        <w:pStyle w:val="ListParagraph"/>
        <w:numPr>
          <w:ilvl w:val="0"/>
          <w:numId w:val="2"/>
        </w:numPr>
        <w:spacing w:after="40" w:before="40"/>
      </w:pPr>
      <w:r>
        <w:rPr>
          <w:rFonts w:ascii="Arial" w:cs="Arial" w:eastAsia="Arial" w:hAnsi="Arial"/>
          <w:color w:val="1A1A1A"/>
          <w:sz w:val="22"/>
          <w:szCs w:val="22"/>
        </w:rPr>
        <w:t xml:space="preserve">Mission-critical platform deeply embedded in provider revenue cycle workflows with high switching costs</w:t>
      </w:r>
    </w:p>
    <w:p>
      <w:pPr>
        <w:pStyle w:val="ListParagraph"/>
        <w:numPr>
          <w:ilvl w:val="0"/>
          <w:numId w:val="2"/>
        </w:numPr>
        <w:spacing w:after="40" w:before="40"/>
      </w:pPr>
      <w:r>
        <w:rPr>
          <w:rFonts w:ascii="Arial" w:cs="Arial" w:eastAsia="Arial" w:hAnsi="Arial"/>
          <w:color w:val="1A1A1A"/>
          <w:sz w:val="22"/>
          <w:szCs w:val="22"/>
        </w:rPr>
        <w:t xml:space="preserve">$8B+ in annual payment volume processed, generating strong recurring SaaS and transaction-based revenue</w:t>
      </w:r>
    </w:p>
    <w:p>
      <w:pPr>
        <w:pStyle w:val="ListParagraph"/>
        <w:numPr>
          <w:ilvl w:val="0"/>
          <w:numId w:val="2"/>
        </w:numPr>
        <w:spacing w:after="40" w:before="40"/>
      </w:pPr>
      <w:r>
        <w:rPr>
          <w:rFonts w:ascii="Arial" w:cs="Arial" w:eastAsia="Arial" w:hAnsi="Arial"/>
          <w:color w:val="1A1A1A"/>
          <w:sz w:val="22"/>
          <w:szCs w:val="22"/>
        </w:rPr>
        <w:t xml:space="preserve">Proprietary analytics covering 300M+ consumer profiles, creating durable competitive differentiation</w:t>
      </w:r>
    </w:p>
    <w:p>
      <w:pPr>
        <w:pStyle w:val="ListParagraph"/>
        <w:numPr>
          <w:ilvl w:val="0"/>
          <w:numId w:val="2"/>
        </w:numPr>
        <w:spacing w:after="40" w:before="40"/>
      </w:pPr>
      <w:r>
        <w:rPr>
          <w:rFonts w:ascii="Arial" w:cs="Arial" w:eastAsia="Arial" w:hAnsi="Arial"/>
          <w:color w:val="1A1A1A"/>
          <w:sz w:val="22"/>
          <w:szCs w:val="22"/>
        </w:rPr>
        <w:t xml:space="preserve">Proven M&amp;A playbook under GTCR with five acquisitions successfully integrated</w:t>
      </w:r>
    </w:p>
    <w:p>
      <w:pPr>
        <w:pStyle w:val="ListParagraph"/>
        <w:numPr>
          <w:ilvl w:val="0"/>
          <w:numId w:val="2"/>
        </w:numPr>
        <w:spacing w:after="40" w:before="40"/>
      </w:pPr>
      <w:r>
        <w:rPr>
          <w:rFonts w:ascii="Arial" w:cs="Arial" w:eastAsia="Arial" w:hAnsi="Arial"/>
          <w:color w:val="1A1A1A"/>
          <w:sz w:val="22"/>
          <w:szCs w:val="22"/>
        </w:rPr>
        <w:t xml:space="preserve">Highly visible recurring revenue base (&gt;80% recurring) with multi-year contract structures</w:t>
      </w:r>
    </w:p>
    <w:p>
      <w:pPr>
        <w:pStyle w:val="ListParagraph"/>
        <w:numPr>
          <w:ilvl w:val="0"/>
          <w:numId w:val="2"/>
        </w:numPr>
        <w:spacing w:after="40" w:before="40"/>
      </w:pPr>
      <w:r>
        <w:rPr>
          <w:rFonts w:ascii="Arial" w:cs="Arial" w:eastAsia="Arial" w:hAnsi="Arial"/>
          <w:color w:val="1A1A1A"/>
          <w:sz w:val="22"/>
          <w:szCs w:val="22"/>
        </w:rPr>
        <w:t xml:space="preserve">Significant whitespace for growth through cross-sell, payer channel expansion, and international opportunities</w:t>
      </w:r>
    </w:p>
    <w:p>
      <w:pPr>
        <w:spacing w:after="0" w:before="180"/>
      </w:pPr>
      <w:r>
        <w:t xml:space="preserve"/>
      </w:r>
    </w:p>
    <w:p>
      <w:pPr>
        <w:pStyle w:val="Heading2"/>
        <w:spacing w:after="80" w:before="240"/>
      </w:pPr>
      <w:r>
        <w:rPr>
          <w:rFonts w:ascii="Arial" w:cs="Arial" w:eastAsia="Arial" w:hAnsi="Arial"/>
          <w:b/>
          <w:bCs/>
          <w:color w:val="2E6DB4"/>
          <w:sz w:val="26"/>
          <w:szCs w:val="26"/>
        </w:rPr>
        <w:t xml:space="preserve">Transaction Rationale</w:t>
      </w:r>
    </w:p>
    <w:p>
      <w:pPr>
        <w:spacing w:after="60" w:before="60"/>
      </w:pPr>
      <w:r>
        <w:rPr>
          <w:rFonts w:ascii="Arial" w:cs="Arial" w:eastAsia="Arial" w:hAnsi="Arial"/>
          <w:color w:val="1A1A1A"/>
          <w:sz w:val="22"/>
          <w:szCs w:val="22"/>
        </w:rPr>
        <w:t xml:space="preserve">Frazier Healthcare Partners, a Seattle-based healthcare-focused PE firm with over $4 billion in committed capital, acquired RevSpring to build upon GTCR's platform investment and accelerate the Company's next phase of growth. Frazier's exclusive healthcare focus, combined with deep operator expertise through its Executive in Residence and Center of Excellence programs, positions RevSpring to expand its product suite, deepen payer relationships, and pursue additional M&amp;A.</w:t>
      </w:r>
    </w:p>
    <w:p>
      <w:r>
        <w:br w:type="page"/>
      </w:r>
    </w:p>
    <w:p>
      <w:pPr>
        <w:pStyle w:val="Heading1"/>
        <w:spacing w:after="120" w:before="360"/>
      </w:pPr>
      <w:r>
        <w:rPr>
          <w:rFonts w:ascii="Arial" w:cs="Arial" w:eastAsia="Arial" w:hAnsi="Arial"/>
          <w:b/>
          <w:bCs/>
          <w:color w:val="1B3A5C"/>
          <w:sz w:val="32"/>
          <w:szCs w:val="32"/>
        </w:rPr>
        <w:t xml:space="preserve">2. BUSINESS DESCRIPTION</w:t>
      </w:r>
    </w:p>
    <w:p>
      <w:pPr>
        <w:pBdr>
          <w:bottom w:val="single" w:color="2E6DB4" w:sz="6" w:space="1"/>
        </w:pBdr>
        <w:spacing w:after="60" w:before="60"/>
      </w:pPr>
      <w:r>
        <w:t xml:space="preserve"/>
      </w:r>
    </w:p>
    <w:p>
      <w:pPr>
        <w:spacing w:after="0" w:before="120"/>
      </w:pPr>
      <w:r>
        <w:t xml:space="preserve"/>
      </w:r>
    </w:p>
    <w:p>
      <w:pPr>
        <w:pStyle w:val="Heading2"/>
        <w:spacing w:after="80" w:before="240"/>
      </w:pPr>
      <w:r>
        <w:rPr>
          <w:rFonts w:ascii="Arial" w:cs="Arial" w:eastAsia="Arial" w:hAnsi="Arial"/>
          <w:b/>
          <w:bCs/>
          <w:color w:val="2E6DB4"/>
          <w:sz w:val="26"/>
          <w:szCs w:val="26"/>
        </w:rPr>
        <w:t xml:space="preserve">Company Overview</w:t>
      </w:r>
    </w:p>
    <w:p>
      <w:pPr>
        <w:spacing w:after="60" w:before="60"/>
      </w:pPr>
      <w:r>
        <w:rPr>
          <w:rFonts w:ascii="Arial" w:cs="Arial" w:eastAsia="Arial" w:hAnsi="Arial"/>
          <w:color w:val="1A1A1A"/>
          <w:sz w:val="22"/>
          <w:szCs w:val="22"/>
        </w:rPr>
        <w:t xml:space="preserve">RevSpring operates at the intersection of healthcare technology, financial communications, and consumer payments. The Company's core mission is to improve financial outcomes for healthcare providers by engaging patients in the right channel, at the right time, with the right message, while offering frictionless payment options that reduce bad debt and accelerate cash collections.</w:t>
      </w:r>
    </w:p>
    <w:p>
      <w:pPr>
        <w:spacing w:after="0" w:before="60"/>
      </w:pPr>
      <w:r>
        <w:t xml:space="preserve"/>
      </w:r>
    </w:p>
    <w:p>
      <w:pPr>
        <w:spacing w:after="60" w:before="60"/>
      </w:pPr>
      <w:r>
        <w:rPr>
          <w:rFonts w:ascii="Arial" w:cs="Arial" w:eastAsia="Arial" w:hAnsi="Arial"/>
          <w:color w:val="1A1A1A"/>
          <w:sz w:val="22"/>
          <w:szCs w:val="22"/>
        </w:rPr>
        <w:t xml:space="preserve">The Company's platform covers six primary workflow stages across the patient financial journey: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Pre-Service</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Point of Service</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Post-Service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Eligibility verification, cost estimation, prior auth support, digital intake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Point-of-care payment collection, co-pay estimation, digital check-in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Statement delivery, payment portal, payment plans, collections escalation</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Product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Product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Engage IQ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AI-powered omnichannel patient engagement platform. Personalizes communication channel, timing, and message based on behavioral analytics. Covers email, SMS, voice, and print.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PersonaPay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Digital patient payment portal supporting one-time payments, payment plans, and digital wallets. Integrated with major EHR/PM systems.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PreService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Front-end revenue cycle solution covering cost estimates, eligibility verification, and patient-friendly financial counseling workflows.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Print &amp; 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High-volume statement production and mailing, serving clients processing millions of statements monthly. PCI Level 1 compliant.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Analytics Suite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Data analytics and reporting platform. Tracks communication performance, payment conversion, and revenue cycle KPIs. Benchmarks against RevSpring's national consumer database.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ARM (AR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Accounts receivable management and early-out collections services for provider organizations seeking full outsourcing of patient A/R.</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Technology Infrastructure</w:t>
      </w:r>
    </w:p>
    <w:p>
      <w:pPr>
        <w:spacing w:after="60" w:before="60"/>
      </w:pPr>
      <w:r>
        <w:rPr>
          <w:rFonts w:ascii="Arial" w:cs="Arial" w:eastAsia="Arial" w:hAnsi="Arial"/>
          <w:color w:val="1A1A1A"/>
          <w:sz w:val="22"/>
          <w:szCs w:val="22"/>
        </w:rPr>
        <w:t xml:space="preserve">RevSpring's platform is built on a modern SaaS architecture, hosted on AWS with 99.9%+ uptime SLAs. The Company maintains PCI DSS Level 1 compliance and HIPAA-compliant data handling across all product lines. The proprietary analytics engine processes over 300 million consumer records, drawing on behavioral, demographic, and payment history data to generate real-time engagement propensity scores for each patient encounter.</w:t>
      </w:r>
    </w:p>
    <w:p>
      <w:pPr>
        <w:spacing w:after="0" w:before="60"/>
      </w:pPr>
      <w:r>
        <w:t xml:space="preserve"/>
      </w:r>
    </w:p>
    <w:p>
      <w:pPr>
        <w:spacing w:after="60" w:before="60"/>
      </w:pPr>
      <w:r>
        <w:rPr>
          <w:rFonts w:ascii="Arial" w:cs="Arial" w:eastAsia="Arial" w:hAnsi="Arial"/>
          <w:color w:val="1A1A1A"/>
          <w:sz w:val="22"/>
          <w:szCs w:val="22"/>
        </w:rPr>
        <w:t xml:space="preserve">The Company has deep integrations with major EHR and practice management systems including Epic, Oracle Health (Cerner), Meditech, CPSI, and Athenahealth, covering approximately 85% of the U.S. hospital market. These integrations are bi-directional, enabling real-time data exchange and reducing manual reconciliation for provider clients.</w:t>
      </w:r>
    </w:p>
    <w:p>
      <w:pPr>
        <w:spacing w:after="0" w:before="180"/>
      </w:pPr>
      <w:r>
        <w:t xml:space="preserve"/>
      </w:r>
    </w:p>
    <w:p>
      <w:pPr>
        <w:pStyle w:val="Heading2"/>
        <w:spacing w:after="80" w:before="240"/>
      </w:pPr>
      <w:r>
        <w:rPr>
          <w:rFonts w:ascii="Arial" w:cs="Arial" w:eastAsia="Arial" w:hAnsi="Arial"/>
          <w:b/>
          <w:bCs/>
          <w:color w:val="2E6DB4"/>
          <w:sz w:val="26"/>
          <w:szCs w:val="26"/>
        </w:rPr>
        <w:t xml:space="preserve">Customer Base</w:t>
      </w:r>
    </w:p>
    <w:p>
      <w:pPr>
        <w:spacing w:after="60" w:before="60"/>
      </w:pPr>
      <w:r>
        <w:rPr>
          <w:rFonts w:ascii="Arial" w:cs="Arial" w:eastAsia="Arial" w:hAnsi="Arial"/>
          <w:color w:val="1A1A1A"/>
          <w:sz w:val="22"/>
          <w:szCs w:val="22"/>
        </w:rPr>
        <w:t xml:space="preserve">RevSpring serves over 2,000 healthcare organizations across the U.S., spanning large integrated delivery networks (IDNs), independent community hospitals, academic medical centers, and physician group practices. The Company's top 20 clients represent approximately 38% of total revenue, with no single client accounting for more than 6% of revenue.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Client Segment</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 of Revenue</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Representative Clients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Large IDNs / Health Systems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48%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Top 50 U.S. health systems</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Community &amp; Regional Hospitals</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31%</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Mid-market community health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Physician Group Practices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Large multispecialty groups</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RCM Outsourcers / BPOs</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8%</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Third-party RCM companies</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Go-To-Market</w:t>
      </w:r>
    </w:p>
    <w:p>
      <w:pPr>
        <w:spacing w:after="60" w:before="60"/>
      </w:pPr>
      <w:r>
        <w:rPr>
          <w:rFonts w:ascii="Arial" w:cs="Arial" w:eastAsia="Arial" w:hAnsi="Arial"/>
          <w:color w:val="1A1A1A"/>
          <w:sz w:val="22"/>
          <w:szCs w:val="22"/>
        </w:rPr>
        <w:t xml:space="preserve">RevSpring goes to market through a direct enterprise sales force of approximately 85 quota-carrying representatives, supplemented by a channel partnership program that includes EHR vendors, GPOs, and RCM service organizations. Average contract length is 3-5 years with auto-renewal provisions, and the Company maintains a net revenue retention rate of approximately 108%, reflecting consistent upsell and cross-sell activity.</w:t>
      </w:r>
    </w:p>
    <w:p>
      <w:r>
        <w:br w:type="page"/>
      </w:r>
    </w:p>
    <w:p>
      <w:pPr>
        <w:pStyle w:val="Heading1"/>
        <w:spacing w:after="120" w:before="360"/>
      </w:pPr>
      <w:r>
        <w:rPr>
          <w:rFonts w:ascii="Arial" w:cs="Arial" w:eastAsia="Arial" w:hAnsi="Arial"/>
          <w:b/>
          <w:bCs/>
          <w:color w:val="1B3A5C"/>
          <w:sz w:val="32"/>
          <w:szCs w:val="32"/>
        </w:rPr>
        <w:t xml:space="preserve">3. MARKET OVERVIEW</w:t>
      </w:r>
    </w:p>
    <w:p>
      <w:pPr>
        <w:pBdr>
          <w:bottom w:val="single" w:color="2E6DB4" w:sz="6" w:space="1"/>
        </w:pBdr>
        <w:spacing w:after="60" w:before="60"/>
      </w:pPr>
      <w:r>
        <w:t xml:space="preserve"/>
      </w:r>
    </w:p>
    <w:p>
      <w:pPr>
        <w:spacing w:after="0" w:before="120"/>
      </w:pPr>
      <w:r>
        <w:t xml:space="preserve"/>
      </w:r>
    </w:p>
    <w:p>
      <w:pPr>
        <w:pStyle w:val="Heading2"/>
        <w:spacing w:after="80" w:before="240"/>
      </w:pPr>
      <w:r>
        <w:rPr>
          <w:rFonts w:ascii="Arial" w:cs="Arial" w:eastAsia="Arial" w:hAnsi="Arial"/>
          <w:b/>
          <w:bCs/>
          <w:color w:val="2E6DB4"/>
          <w:sz w:val="26"/>
          <w:szCs w:val="26"/>
        </w:rPr>
        <w:t xml:space="preserve">Total Addressable Market</w:t>
      </w:r>
    </w:p>
    <w:p>
      <w:pPr>
        <w:spacing w:after="60" w:before="60"/>
      </w:pPr>
      <w:r>
        <w:rPr>
          <w:rFonts w:ascii="Arial" w:cs="Arial" w:eastAsia="Arial" w:hAnsi="Arial"/>
          <w:color w:val="1A1A1A"/>
          <w:sz w:val="22"/>
          <w:szCs w:val="22"/>
        </w:rPr>
        <w:t xml:space="preserve">The U.S. healthcare revenue cycle management market was valued at approximately $58.6 billion in 2024, growing at an 11.6% CAGR, driven by increasing complexity in payer-provider billing relationships, rising patient financial responsibility, and regulatory changes in price transparency and surprise billing. The patient communications and engagement sub-segment, RevSpring's primary market, is estimated at approximately $9-11 billion in addressable spend, with outsourced and SaaS solutions capturing a growing share of historically in-house workflows.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Market Metric</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2023 Value</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2028 Forecast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U.S. RCM Market (Total)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$52.1B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$86.4B</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Patient Engagement Sub-Segment</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$9.2B</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$16.8B</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RCM Market CAGR (2023-2028)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10.8% CAGR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Patient Bad Debt / Write-offs (U.S.)</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$200B+ annually</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Growing</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Key Market Tailwinds</w:t>
      </w:r>
    </w:p>
    <w:p>
      <w:pPr>
        <w:pStyle w:val="ListParagraph"/>
        <w:numPr>
          <w:ilvl w:val="0"/>
          <w:numId w:val="2"/>
        </w:numPr>
        <w:spacing w:after="40" w:before="40"/>
      </w:pPr>
      <w:r>
        <w:rPr>
          <w:rFonts w:ascii="Arial" w:cs="Arial" w:eastAsia="Arial" w:hAnsi="Arial"/>
          <w:color w:val="1A1A1A"/>
          <w:sz w:val="22"/>
          <w:szCs w:val="22"/>
        </w:rPr>
        <w:t xml:space="preserve">Rising patient financial responsibility: High-deductible health plans now cover &gt;55% of commercially insured Americans, increasing average patient out-of-pocket exposure to $1,700+ per episode and creating demand for flexible payment and engagement tools.</w:t>
      </w:r>
    </w:p>
    <w:p>
      <w:pPr>
        <w:pStyle w:val="ListParagraph"/>
        <w:numPr>
          <w:ilvl w:val="0"/>
          <w:numId w:val="2"/>
        </w:numPr>
        <w:spacing w:after="40" w:before="40"/>
      </w:pPr>
      <w:r>
        <w:rPr>
          <w:rFonts w:ascii="Arial" w:cs="Arial" w:eastAsia="Arial" w:hAnsi="Arial"/>
          <w:color w:val="1A1A1A"/>
          <w:sz w:val="22"/>
          <w:szCs w:val="22"/>
        </w:rPr>
        <w:t xml:space="preserve">Price transparency mandates: CMS price transparency rules effective 2021-2023 require hospitals to publish standard charges and good faith estimates, increasing patient engagement at the pre-service stage and creating demand for digital cost estimation tools.</w:t>
      </w:r>
    </w:p>
    <w:p>
      <w:pPr>
        <w:pStyle w:val="ListParagraph"/>
        <w:numPr>
          <w:ilvl w:val="0"/>
          <w:numId w:val="2"/>
        </w:numPr>
        <w:spacing w:after="40" w:before="40"/>
      </w:pPr>
      <w:r>
        <w:rPr>
          <w:rFonts w:ascii="Arial" w:cs="Arial" w:eastAsia="Arial" w:hAnsi="Arial"/>
          <w:color w:val="1A1A1A"/>
          <w:sz w:val="22"/>
          <w:szCs w:val="22"/>
        </w:rPr>
        <w:t xml:space="preserve">EHR consolidation driving integration demand: Epic and Oracle Health/Cerner together cover ~65% of the U.S. hospital market; vendors with deep, certified integrations command pricing premiums and lower churn.</w:t>
      </w:r>
    </w:p>
    <w:p>
      <w:pPr>
        <w:pStyle w:val="ListParagraph"/>
        <w:numPr>
          <w:ilvl w:val="0"/>
          <w:numId w:val="2"/>
        </w:numPr>
        <w:spacing w:after="40" w:before="40"/>
      </w:pPr>
      <w:r>
        <w:rPr>
          <w:rFonts w:ascii="Arial" w:cs="Arial" w:eastAsia="Arial" w:hAnsi="Arial"/>
          <w:color w:val="1A1A1A"/>
          <w:sz w:val="22"/>
          <w:szCs w:val="22"/>
        </w:rPr>
        <w:t xml:space="preserve">AI and analytics-driven personalization: Payers and providers are increasingly investing in communication personalization to improve collection rates; RevSpring's proprietary consumer database creates a durable moat in this trend.</w:t>
      </w:r>
    </w:p>
    <w:p>
      <w:pPr>
        <w:pStyle w:val="ListParagraph"/>
        <w:numPr>
          <w:ilvl w:val="0"/>
          <w:numId w:val="2"/>
        </w:numPr>
        <w:spacing w:after="40" w:before="40"/>
      </w:pPr>
      <w:r>
        <w:rPr>
          <w:rFonts w:ascii="Arial" w:cs="Arial" w:eastAsia="Arial" w:hAnsi="Arial"/>
          <w:color w:val="1A1A1A"/>
          <w:sz w:val="22"/>
          <w:szCs w:val="22"/>
        </w:rPr>
        <w:t xml:space="preserve">Outsourcing acceleration: Staffing constraints post-COVID and margin pressure on providers are accelerating the shift from in-house to outsourced RCM workflows, expanding RevSpring's serviceable opportunity.</w:t>
      </w:r>
    </w:p>
    <w:p>
      <w:pPr>
        <w:spacing w:after="0" w:before="180"/>
      </w:pPr>
      <w:r>
        <w:t xml:space="preserve"/>
      </w:r>
    </w:p>
    <w:p>
      <w:pPr>
        <w:pStyle w:val="Heading2"/>
        <w:spacing w:after="80" w:before="240"/>
      </w:pPr>
      <w:r>
        <w:rPr>
          <w:rFonts w:ascii="Arial" w:cs="Arial" w:eastAsia="Arial" w:hAnsi="Arial"/>
          <w:b/>
          <w:bCs/>
          <w:color w:val="2E6DB4"/>
          <w:sz w:val="26"/>
          <w:szCs w:val="26"/>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Positioning vs. RevSpring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Experian 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Large enterprise player with broad RCM suite; less specialized in patient communications analytics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Waystar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Strong RCM clearinghouse; acquired eSolutions but limited patient engagement depth; IPO 2024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Cedar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VC-backed digital-first patient billing platform; strong UX but limited print/mail and enterprise scale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R1 RCM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Full-cycle RCM outsourcer (not SaaS); competes on services rather than technology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Zelis Healthcare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Payments-focused; strong payer relationships but limited provider-side engagement depth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Netsmart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Post-acute and behavioral health EHR; limited overlap with RevSpring's acute care/RCM focus</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Regulatory Environment</w:t>
      </w:r>
    </w:p>
    <w:p>
      <w:pPr>
        <w:spacing w:after="60" w:before="60"/>
      </w:pPr>
      <w:r>
        <w:rPr>
          <w:rFonts w:ascii="Arial" w:cs="Arial" w:eastAsia="Arial" w:hAnsi="Arial"/>
          <w:color w:val="1A1A1A"/>
          <w:sz w:val="22"/>
          <w:szCs w:val="22"/>
        </w:rPr>
        <w:t xml:space="preserve">RevSpring operates in a highly regulated environment across data privacy (HIPAA), payment security (PCI DSS Level 1), consumer communications (TCPA, CAN-SPAM), and healthcare price transparency (No Surprises Act, CMS Hospital Price Transparency Rule). The Company's compliance infrastructure is a material competitive advantage, as smaller competitors lack the resources to maintain equivalent certifications and audit histories.</w:t>
      </w:r>
    </w:p>
    <w:p>
      <w:r>
        <w:br w:type="page"/>
      </w:r>
    </w:p>
    <w:p>
      <w:pPr>
        <w:pStyle w:val="Heading1"/>
        <w:spacing w:after="120" w:before="360"/>
      </w:pPr>
      <w:r>
        <w:rPr>
          <w:rFonts w:ascii="Arial" w:cs="Arial" w:eastAsia="Arial" w:hAnsi="Arial"/>
          <w:b/>
          <w:bCs/>
          <w:color w:val="1B3A5C"/>
          <w:sz w:val="32"/>
          <w:szCs w:val="32"/>
        </w:rPr>
        <w:t xml:space="preserve">4. FINANCIAL OVERVIEW</w:t>
      </w:r>
    </w:p>
    <w:p>
      <w:pPr>
        <w:pBdr>
          <w:bottom w:val="single" w:color="2E6DB4" w:sz="6" w:space="1"/>
        </w:pBdr>
        <w:spacing w:after="60" w:before="60"/>
      </w:pPr>
      <w:r>
        <w:t xml:space="preserve"/>
      </w:r>
    </w:p>
    <w:p>
      <w:pPr>
        <w:spacing w:after="0" w:before="60"/>
      </w:pPr>
      <w:r>
        <w:t xml:space="preserve"/>
      </w:r>
    </w:p>
    <w:p>
      <w:pPr>
        <w:spacing w:after="120" w:before="60"/>
      </w:pPr>
      <w:r>
        <w:rPr>
          <w:rFonts w:ascii="Arial" w:cs="Arial" w:eastAsia="Arial" w:hAnsi="Arial"/>
          <w:i/>
          <w:iCs/>
          <w:color w:val="888888"/>
          <w:sz w:val="18"/>
          <w:szCs w:val="18"/>
        </w:rPr>
        <w:t xml:space="preserve">Note: All financials are illustrative and prepared for workshop purposes, based on publicly available data points and market-implied estimates.</w:t>
      </w:r>
    </w:p>
    <w:p>
      <w:pPr>
        <w:pStyle w:val="Heading2"/>
        <w:spacing w:after="80" w:before="240"/>
      </w:pPr>
      <w:r>
        <w:rPr>
          <w:rFonts w:ascii="Arial" w:cs="Arial" w:eastAsia="Arial" w:hAnsi="Arial"/>
          <w:b/>
          <w:bCs/>
          <w:color w:val="2E6DB4"/>
          <w:sz w:val="26"/>
          <w:szCs w:val="26"/>
        </w:rPr>
        <w:t xml:space="preserve">Income Statement Summary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FY2020A</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FY2021A</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FY2022A</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FY2023A</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FY2024E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20"/>
                <w:szCs w:val="20"/>
              </w:rPr>
              <w:t xml:space="preserve">Revenue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$162.4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$188.7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$220.3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$248.1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$300.0</w:t>
            </w:r>
          </w:p>
        </w:tc>
      </w:tr>
      <w:tr>
        <w:tc>
          <w:tcPr>
            <w:tcW w:type="dxa" w:w="216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left"/>
            </w:pPr>
            <w:r>
              <w:rPr>
                <w:rFonts w:ascii="Arial" w:cs="Arial" w:eastAsia="Arial" w:hAnsi="Arial"/>
                <w:b/>
                <w:bCs/>
                <w:color w:val="1A1A1A"/>
                <w:sz w:val="20"/>
                <w:szCs w:val="20"/>
              </w:rPr>
              <w:t xml:space="preserve">  YoY Growth</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16.2%</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16.7%</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12.6%</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20.9%</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20"/>
                <w:szCs w:val="20"/>
              </w:rPr>
              <w:t xml:space="preserve">Gross Profit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$81.2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$96.2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$114.6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$130.3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$159.0</w:t>
            </w:r>
          </w:p>
        </w:tc>
      </w:tr>
      <w:tr>
        <w:tc>
          <w:tcPr>
            <w:tcW w:type="dxa" w:w="216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left"/>
            </w:pPr>
            <w:r>
              <w:rPr>
                <w:rFonts w:ascii="Arial" w:cs="Arial" w:eastAsia="Arial" w:hAnsi="Arial"/>
                <w:b/>
                <w:bCs/>
                <w:color w:val="1A1A1A"/>
                <w:sz w:val="20"/>
                <w:szCs w:val="20"/>
              </w:rPr>
              <w:t xml:space="preserve">  Gross Margin</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50.0%</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51.0%</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52.0%</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52.5%</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53.0%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20"/>
                <w:szCs w:val="20"/>
              </w:rPr>
              <w:t xml:space="preserve">EBITDA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$38.2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$47.2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$57.3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$67.0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$82.5</w:t>
            </w:r>
          </w:p>
        </w:tc>
      </w:tr>
      <w:tr>
        <w:tc>
          <w:tcPr>
            <w:tcW w:type="dxa" w:w="216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left"/>
            </w:pPr>
            <w:r>
              <w:rPr>
                <w:rFonts w:ascii="Arial" w:cs="Arial" w:eastAsia="Arial" w:hAnsi="Arial"/>
                <w:b/>
                <w:bCs/>
                <w:color w:val="1A1A1A"/>
                <w:sz w:val="20"/>
                <w:szCs w:val="20"/>
              </w:rPr>
              <w:t xml:space="preserve">  EBITDA Margin</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23.5%</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25.0%</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26.0%</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27.0%</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27.5%</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20"/>
                <w:szCs w:val="20"/>
              </w:rPr>
              <w:t xml:space="preserve">D&amp;A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($14.1)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($15.9)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($18.2)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($24.0)</w:t>
            </w:r>
          </w:p>
        </w:tc>
      </w:tr>
      <w:tr>
        <w:tc>
          <w:tcPr>
            <w:tcW w:type="dxa" w:w="216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left"/>
            </w:pPr>
            <w:r>
              <w:rPr>
                <w:rFonts w:ascii="Arial" w:cs="Arial" w:eastAsia="Arial" w:hAnsi="Arial"/>
                <w:b/>
                <w:bCs/>
                <w:color w:val="1A1A1A"/>
                <w:sz w:val="20"/>
                <w:szCs w:val="20"/>
              </w:rPr>
              <w:t xml:space="preserve">EBIT</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$24.1</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$31.3</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$39.1</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$46.4</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$58.5</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20"/>
                <w:szCs w:val="20"/>
              </w:rPr>
              <w:t xml:space="preserve">Interest Expense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($18.2)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($18.6)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($22.4)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($24.1)</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left"/>
            </w:pPr>
            <w:r>
              <w:rPr>
                <w:rFonts w:ascii="Arial" w:cs="Arial" w:eastAsia="Arial" w:hAnsi="Arial"/>
                <w:b/>
                <w:bCs/>
                <w:color w:val="1A1A1A"/>
                <w:sz w:val="20"/>
                <w:szCs w:val="20"/>
              </w:rPr>
              <w:t xml:space="preserve">Net Income (adj.)</w:t>
            </w:r>
          </w:p>
        </w:tc>
        <w:tc>
          <w:tcPr>
            <w:tcW w:type="dxa" w:w="14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right"/>
            </w:pPr>
            <w:r>
              <w:rPr>
                <w:rFonts w:ascii="Arial" w:cs="Arial" w:eastAsia="Arial" w:hAnsi="Arial"/>
                <w:b/>
                <w:bCs/>
                <w:color w:val="1A1A1A"/>
                <w:sz w:val="20"/>
                <w:szCs w:val="20"/>
              </w:rPr>
              <w:t xml:space="preserve">$4.7</w:t>
            </w:r>
          </w:p>
        </w:tc>
        <w:tc>
          <w:tcPr>
            <w:tcW w:type="dxa" w:w="14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right"/>
            </w:pPr>
            <w:r>
              <w:rPr>
                <w:rFonts w:ascii="Arial" w:cs="Arial" w:eastAsia="Arial" w:hAnsi="Arial"/>
                <w:b/>
                <w:bCs/>
                <w:color w:val="1A1A1A"/>
                <w:sz w:val="20"/>
                <w:szCs w:val="20"/>
              </w:rPr>
              <w:t xml:space="preserve">$10.2</w:t>
            </w:r>
          </w:p>
        </w:tc>
        <w:tc>
          <w:tcPr>
            <w:tcW w:type="dxa" w:w="14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right"/>
            </w:pPr>
            <w:r>
              <w:rPr>
                <w:rFonts w:ascii="Arial" w:cs="Arial" w:eastAsia="Arial" w:hAnsi="Arial"/>
                <w:b/>
                <w:bCs/>
                <w:color w:val="1A1A1A"/>
                <w:sz w:val="20"/>
                <w:szCs w:val="20"/>
              </w:rPr>
              <w:t xml:space="preserve">$14.8</w:t>
            </w:r>
          </w:p>
        </w:tc>
        <w:tc>
          <w:tcPr>
            <w:tcW w:type="dxa" w:w="14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right"/>
            </w:pPr>
            <w:r>
              <w:rPr>
                <w:rFonts w:ascii="Arial" w:cs="Arial" w:eastAsia="Arial" w:hAnsi="Arial"/>
                <w:b/>
                <w:bCs/>
                <w:color w:val="1A1A1A"/>
                <w:sz w:val="20"/>
                <w:szCs w:val="20"/>
              </w:rPr>
              <w:t xml:space="preserve">$18.7</w:t>
            </w:r>
          </w:p>
        </w:tc>
        <w:tc>
          <w:tcPr>
            <w:tcW w:type="dxa" w:w="14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right"/>
            </w:pPr>
            <w:r>
              <w:rPr>
                <w:rFonts w:ascii="Arial" w:cs="Arial" w:eastAsia="Arial" w:hAnsi="Arial"/>
                <w:b/>
                <w:bCs/>
                <w:color w:val="1A1A1A"/>
                <w:sz w:val="20"/>
                <w:szCs w:val="20"/>
              </w:rPr>
              <w:t xml:space="preserve">$27.3</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Revenue Bridge: GTCR Hold Period (2016-2024)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Entry (2016)</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Exit (2024E)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Revenue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~$85M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~$300M</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EBITDA</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~$18M</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~$82M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EBITDA Margin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~21%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~27.5%</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EV</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~$350M</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~$1.30B</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EV/Revenue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~4.1x</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~4.3x</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EV/EBITDA</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~19.4x</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~15.8x</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Revenue Quality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FY2023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Recurring Revenue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&gt;80%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Net Revenue Retention (NRR)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~108%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Gross Revenue Retention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~94%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Average Contract 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3-5 years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Top Client Concentration (Top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&lt;6% of revenue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Top Client Concentration (Top 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~38% of revenue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Payment Volume Processed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&gt;$8.0B annually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Annual Communications Sent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&gt;1.5B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Annual Digital Communications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&gt;700M (email, SMS, voice)</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Balance Sheet Snapshot (FY2023A,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Item</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Amount ($M)</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Total Assets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$612.4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Incl. $189M goodwill</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Total Debt</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$310.0</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Senior secured term loan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Net Debt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$291.3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Cash: $18.7M</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Net Debt / EBITDA</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4.3x</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Within covenant range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Equity Value (implied)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~$990M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At $1.3B EV</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Scenario Analysis: FY2026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Bear Case</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Base Case</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Bull Case</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Bull vs. Bear</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20"/>
                <w:szCs w:val="20"/>
              </w:rPr>
              <w:t xml:space="preserve">Revenue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$295.0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$340.0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$395.0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+$100M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left"/>
            </w:pPr>
            <w:r>
              <w:rPr>
                <w:rFonts w:ascii="Arial" w:cs="Arial" w:eastAsia="Arial" w:hAnsi="Arial"/>
                <w:b/>
                <w:bCs/>
                <w:color w:val="1A1A1A"/>
                <w:sz w:val="20"/>
                <w:szCs w:val="20"/>
              </w:rPr>
              <w:t xml:space="preserve">Revenue Growth</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~10%</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~13%</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~16%</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20"/>
                <w:szCs w:val="20"/>
              </w:rPr>
              <w:t xml:space="preserve">EBITDA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$76.7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$91.8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$110.6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+$33.9M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left"/>
            </w:pPr>
            <w:r>
              <w:rPr>
                <w:rFonts w:ascii="Arial" w:cs="Arial" w:eastAsia="Arial" w:hAnsi="Arial"/>
                <w:b/>
                <w:bCs/>
                <w:color w:val="1A1A1A"/>
                <w:sz w:val="20"/>
                <w:szCs w:val="20"/>
              </w:rPr>
              <w:t xml:space="preserve">EBITDA Margin</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26.0%</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27.0%</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28.0%</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+200bps</w:t>
            </w:r>
          </w:p>
        </w:tc>
        <w:tc>
          <w:tcPr>
            <w:tcW w:type="dxa" w:w="1440"/>
            <w:tcBorders>
              <w:top w:val="single" w:color="CCCCCC" w:sz="1"/>
              <w:left w:val="single" w:color="CCCCCC" w:sz="1"/>
              <w:bottom w:val="single" w:color="CCCCCC" w:sz="1"/>
              <w:right w:val="single" w:color="CCCCCC" w:sz="1"/>
            </w:tcBorders>
            <w:shd w:fill="EEF4FA" w:val="clear"/>
            <w:tcMar>
              <w:top w:type="dxa" w:w="80"/>
              <w:left w:type="dxa" w:w="100"/>
              <w:bottom w:type="dxa" w:w="80"/>
              <w:right w:type="dxa" w:w="100"/>
            </w:tcMar>
          </w:tcPr>
          <w:p>
            <w:pPr>
              <w:jc w:val="right"/>
            </w:pPr>
            <w:r>
              <w:rPr>
                <w:rFonts w:ascii="Arial" w:cs="Arial" w:eastAsia="Arial" w:hAnsi="Arial"/>
                <w:b w:val="false"/>
                <w:bCs w:val="false"/>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left"/>
            </w:pPr>
            <w:r>
              <w:rPr>
                <w:rFonts w:ascii="Arial" w:cs="Arial" w:eastAsia="Arial" w:hAnsi="Arial"/>
                <w:b/>
                <w:bCs/>
                <w:color w:val="1A1A1A"/>
                <w:sz w:val="20"/>
                <w:szCs w:val="20"/>
              </w:rPr>
              <w:t xml:space="preserve">Implied EV (15x)</w:t>
            </w:r>
          </w:p>
        </w:tc>
        <w:tc>
          <w:tcPr>
            <w:tcW w:type="dxa" w:w="14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right"/>
            </w:pPr>
            <w:r>
              <w:rPr>
                <w:rFonts w:ascii="Arial" w:cs="Arial" w:eastAsia="Arial" w:hAnsi="Arial"/>
                <w:b/>
                <w:bCs/>
                <w:color w:val="1A1A1A"/>
                <w:sz w:val="20"/>
                <w:szCs w:val="20"/>
              </w:rPr>
              <w:t xml:space="preserve">$1.15B</w:t>
            </w:r>
          </w:p>
        </w:tc>
        <w:tc>
          <w:tcPr>
            <w:tcW w:type="dxa" w:w="14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right"/>
            </w:pPr>
            <w:r>
              <w:rPr>
                <w:rFonts w:ascii="Arial" w:cs="Arial" w:eastAsia="Arial" w:hAnsi="Arial"/>
                <w:b/>
                <w:bCs/>
                <w:color w:val="1A1A1A"/>
                <w:sz w:val="20"/>
                <w:szCs w:val="20"/>
              </w:rPr>
              <w:t xml:space="preserve">$1.38B</w:t>
            </w:r>
          </w:p>
        </w:tc>
        <w:tc>
          <w:tcPr>
            <w:tcW w:type="dxa" w:w="14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right"/>
            </w:pPr>
            <w:r>
              <w:rPr>
                <w:rFonts w:ascii="Arial" w:cs="Arial" w:eastAsia="Arial" w:hAnsi="Arial"/>
                <w:b/>
                <w:bCs/>
                <w:color w:val="1A1A1A"/>
                <w:sz w:val="20"/>
                <w:szCs w:val="20"/>
              </w:rPr>
              <w:t xml:space="preserve">$1.66B</w:t>
            </w:r>
          </w:p>
        </w:tc>
        <w:tc>
          <w:tcPr>
            <w:tcW w:type="dxa" w:w="14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right"/>
            </w:pPr>
            <w:r>
              <w:rPr>
                <w:rFonts w:ascii="Arial" w:cs="Arial" w:eastAsia="Arial" w:hAnsi="Arial"/>
                <w:b/>
                <w:bCs/>
                <w:color w:val="1A1A1A"/>
                <w:sz w:val="20"/>
                <w:szCs w:val="20"/>
              </w:rPr>
              <w:t xml:space="preserve">+$510M</w:t>
            </w:r>
          </w:p>
        </w:tc>
        <w:tc>
          <w:tcPr>
            <w:tcW w:type="dxa" w:w="14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right"/>
            </w:pPr>
            <w:r>
              <w:rPr>
                <w:rFonts w:ascii="Arial" w:cs="Arial" w:eastAsia="Arial" w:hAnsi="Arial"/>
                <w:b/>
                <w:bCs/>
                <w:color w:val="1A1A1A"/>
                <w:sz w:val="20"/>
                <w:szCs w:val="20"/>
              </w:rPr>
              <w:t xml:space="preserve"/>
            </w:r>
          </w:p>
        </w:tc>
      </w:tr>
    </w:tbl>
    <w:p>
      <w:r>
        <w:br w:type="page"/>
      </w:r>
    </w:p>
    <w:p>
      <w:pPr>
        <w:pStyle w:val="Heading1"/>
        <w:spacing w:after="120" w:before="360"/>
      </w:pPr>
      <w:r>
        <w:rPr>
          <w:rFonts w:ascii="Arial" w:cs="Arial" w:eastAsia="Arial" w:hAnsi="Arial"/>
          <w:b/>
          <w:bCs/>
          <w:color w:val="1B3A5C"/>
          <w:sz w:val="32"/>
          <w:szCs w:val="32"/>
        </w:rPr>
        <w:t xml:space="preserve">5. MANAGEMENT &amp; ORGANIZATION</w:t>
      </w:r>
    </w:p>
    <w:p>
      <w:pPr>
        <w:pBdr>
          <w:bottom w:val="single" w:color="2E6DB4" w:sz="6" w:space="1"/>
        </w:pBdr>
        <w:spacing w:after="60" w:before="60"/>
      </w:pPr>
      <w:r>
        <w:t xml:space="preserve"/>
      </w:r>
    </w:p>
    <w:p>
      <w:pPr>
        <w:spacing w:after="0" w:before="120"/>
      </w:pPr>
      <w:r>
        <w:t xml:space="preserve"/>
      </w:r>
    </w:p>
    <w:p>
      <w:pPr>
        <w:pStyle w:val="Heading2"/>
        <w:spacing w:after="80" w:before="240"/>
      </w:pPr>
      <w:r>
        <w:rPr>
          <w:rFonts w:ascii="Arial" w:cs="Arial" w:eastAsia="Arial" w:hAnsi="Arial"/>
          <w:b/>
          <w:bCs/>
          <w:color w:val="2E6DB4"/>
          <w:sz w:val="26"/>
          <w:szCs w:val="26"/>
        </w:rPr>
        <w:t xml:space="preserve">Leadership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Executive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Background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Scott MacKenzie | CEO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Joined RevSpring March 2019. 25+ years in healthcare IT. Former CEO of M*Modal (acquired by 3M) and Passport Health Communications (acquired by Experian, where he became President of Experian Health). Also President of RelayHealth Pharmacy Solutions at McKesson. MBA, University of Michigan Ross School of Business.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David Smith | CFO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Joined RevSpring July 2024. Experienced healthcare IT finance executive with prior CFO roles at PE-backed technology companies. Oversees financial planning, reporting, treasury, and M&amp;A integration.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Nicole Rogas | President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Joined January 2025. 21+ years in healthcare IT commercial leadership. Responsible for Sales, Marketing, and Customer Experience. Former Chief Commercial Officer and GM at a leading healthcare technology company.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Howard Bright | CTO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VP of Patient Engagement and Chief Technology Officer. Leads product development, engineering, and data science. Architect of RevSpring's Engage IQ platform and analytics infrastructure.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Roger Davis | Executive Chairman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Appointed by Frazier Healthcare Partners as Executive Chairman post-acquisition. Frazier Executive in Residence with deep operational experience in healthcare technology platforms.</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Organizational Structure</w:t>
      </w:r>
    </w:p>
    <w:p>
      <w:pPr>
        <w:spacing w:after="60" w:before="60"/>
      </w:pPr>
      <w:r>
        <w:rPr>
          <w:rFonts w:ascii="Arial" w:cs="Arial" w:eastAsia="Arial" w:hAnsi="Arial"/>
          <w:color w:val="1A1A1A"/>
          <w:sz w:val="22"/>
          <w:szCs w:val="22"/>
        </w:rPr>
        <w:t xml:space="preserve">RevSpring is organized around two primary business units: Healthcare and Financial Services. Each BU has dedicated sales, client success, and product teams, supported by shared functions in Technology, Operations, Compliance, Finance, and HR. The Company employed approximately 1,265 full-time employees as of year-end 2023, with the majority in technology, operations, and client success roles.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Function</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Approx. Headcount</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 of Total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Technology &amp; Engineering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310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24.5%</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Operations &amp; Client Services</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420</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33.2%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Sales &amp; Marketing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185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14.6%</w:t>
            </w:r>
          </w:p>
        </w:tc>
      </w:tr>
      <w:tr>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Finance &amp; Compliance</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125</w:t>
            </w:r>
          </w:p>
        </w:tc>
        <w:tc>
          <w:tcPr>
            <w:tcW w:type="dxa" w:w="312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9.9%</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G&amp;A / HR / Other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225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2"/>
                <w:szCs w:val="22"/>
              </w:rPr>
              <w:t xml:space="preserve">17.8%</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Key Person Risk Assessment</w:t>
      </w:r>
    </w:p>
    <w:p>
      <w:pPr>
        <w:pStyle w:val="ListParagraph"/>
        <w:numPr>
          <w:ilvl w:val="0"/>
          <w:numId w:val="2"/>
        </w:numPr>
        <w:spacing w:after="40" w:before="40"/>
      </w:pPr>
      <w:r>
        <w:rPr>
          <w:rFonts w:ascii="Arial" w:cs="Arial" w:eastAsia="Arial" w:hAnsi="Arial"/>
          <w:color w:val="1A1A1A"/>
          <w:sz w:val="22"/>
          <w:szCs w:val="22"/>
        </w:rPr>
        <w:t xml:space="preserve">CEO Scott MacKenzie joined in 2019 and is a primary driver of strategic direction and client relationships. He has committed to a multi-year rollover equity stake under Frazier's ownership.</w:t>
      </w:r>
    </w:p>
    <w:p>
      <w:pPr>
        <w:pStyle w:val="ListParagraph"/>
        <w:numPr>
          <w:ilvl w:val="0"/>
          <w:numId w:val="2"/>
        </w:numPr>
        <w:spacing w:after="40" w:before="40"/>
      </w:pPr>
      <w:r>
        <w:rPr>
          <w:rFonts w:ascii="Arial" w:cs="Arial" w:eastAsia="Arial" w:hAnsi="Arial"/>
          <w:color w:val="1A1A1A"/>
          <w:sz w:val="22"/>
          <w:szCs w:val="22"/>
        </w:rPr>
        <w:t xml:space="preserve">The senior leadership team has average tenure of 4+ years at RevSpring, suggesting organizational stability through the ownership transition.</w:t>
      </w:r>
    </w:p>
    <w:p>
      <w:pPr>
        <w:pStyle w:val="ListParagraph"/>
        <w:numPr>
          <w:ilvl w:val="0"/>
          <w:numId w:val="2"/>
        </w:numPr>
        <w:spacing w:after="40" w:before="40"/>
      </w:pPr>
      <w:r>
        <w:rPr>
          <w:rFonts w:ascii="Arial" w:cs="Arial" w:eastAsia="Arial" w:hAnsi="Arial"/>
          <w:color w:val="1A1A1A"/>
          <w:sz w:val="22"/>
          <w:szCs w:val="22"/>
        </w:rPr>
        <w:t xml:space="preserve">David Smith (CFO) joined in July 2024, mid-transaction. Buyer should confirm CFO integration and transition from prior CFO Mark Coggin.</w:t>
      </w:r>
    </w:p>
    <w:p>
      <w:pPr>
        <w:pStyle w:val="ListParagraph"/>
        <w:numPr>
          <w:ilvl w:val="0"/>
          <w:numId w:val="2"/>
        </w:numPr>
        <w:spacing w:after="40" w:before="40"/>
      </w:pPr>
      <w:r>
        <w:rPr>
          <w:rFonts w:ascii="Arial" w:cs="Arial" w:eastAsia="Arial" w:hAnsi="Arial"/>
          <w:color w:val="1A1A1A"/>
          <w:sz w:val="22"/>
          <w:szCs w:val="22"/>
        </w:rPr>
        <w:t xml:space="preserve">Key commercial relationships sit with approximately 15 enterprise account managers covering the top 50 clients. Employee retention programs (equity grants, bonus plans) are in place for this cohort.</w:t>
      </w:r>
    </w:p>
    <w:p>
      <w:r>
        <w:br w:type="page"/>
      </w:r>
    </w:p>
    <w:p>
      <w:pPr>
        <w:pStyle w:val="Heading1"/>
        <w:spacing w:after="120" w:before="360"/>
      </w:pPr>
      <w:r>
        <w:rPr>
          <w:rFonts w:ascii="Arial" w:cs="Arial" w:eastAsia="Arial" w:hAnsi="Arial"/>
          <w:b/>
          <w:bCs/>
          <w:color w:val="1B3A5C"/>
          <w:sz w:val="32"/>
          <w:szCs w:val="32"/>
        </w:rPr>
        <w:t xml:space="preserve">6. DEAL STRUCTURE &amp; INVESTMENT THESIS</w:t>
      </w:r>
    </w:p>
    <w:p>
      <w:pPr>
        <w:pBdr>
          <w:bottom w:val="single" w:color="2E6DB4" w:sz="6" w:space="1"/>
        </w:pBdr>
        <w:spacing w:after="60" w:before="60"/>
      </w:pPr>
      <w:r>
        <w:t xml:space="preserve"/>
      </w:r>
    </w:p>
    <w:p>
      <w:pPr>
        <w:spacing w:after="0" w:before="120"/>
      </w:pPr>
      <w:r>
        <w:t xml:space="preserve"/>
      </w:r>
    </w:p>
    <w:p>
      <w:pPr>
        <w:pStyle w:val="Heading2"/>
        <w:spacing w:after="80" w:before="240"/>
      </w:pPr>
      <w:r>
        <w:rPr>
          <w:rFonts w:ascii="Arial" w:cs="Arial" w:eastAsia="Arial" w:hAnsi="Arial"/>
          <w:b/>
          <w:bCs/>
          <w:color w:val="2E6DB4"/>
          <w:sz w:val="26"/>
          <w:szCs w:val="26"/>
        </w:rPr>
        <w:t xml:space="preserve">Transaction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Element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Enterprise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~$1.30 billion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Equity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~$990 million (at closing)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Debt Assumed / Refinanced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~$310 million senior secured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Leverage at Close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~4.3x Net Debt / EBITDA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Equity Contribution (Frazier)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~$550 million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Co-Invest (NEA + 22C Capital)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~$180 million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Management Rollover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~$45 million (est.)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Deal Financing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Senior Secured Term Loan B + Revolver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Margin Grid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SOFR + 400-450bps (est.)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Minimum EBITDA Covenant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$58.0M (est.)</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Value Creation Levers</w:t>
      </w:r>
    </w:p>
    <w:p>
      <w:pPr>
        <w:pStyle w:val="ListParagraph"/>
        <w:numPr>
          <w:ilvl w:val="0"/>
          <w:numId w:val="2"/>
        </w:numPr>
        <w:spacing w:after="40" w:before="40"/>
      </w:pPr>
      <w:r>
        <w:rPr>
          <w:rFonts w:ascii="Arial" w:cs="Arial" w:eastAsia="Arial" w:hAnsi="Arial"/>
          <w:color w:val="1A1A1A"/>
          <w:sz w:val="22"/>
          <w:szCs w:val="22"/>
        </w:rPr>
        <w:t xml:space="preserve">Organic revenue growth via cross-sell of PreService and Engage IQ into existing 2,000+ client base, targeting an estimated $45M+ in incremental ARR over 3 years.</w:t>
      </w:r>
    </w:p>
    <w:p>
      <w:pPr>
        <w:pStyle w:val="ListParagraph"/>
        <w:numPr>
          <w:ilvl w:val="0"/>
          <w:numId w:val="2"/>
        </w:numPr>
        <w:spacing w:after="40" w:before="40"/>
      </w:pPr>
      <w:r>
        <w:rPr>
          <w:rFonts w:ascii="Arial" w:cs="Arial" w:eastAsia="Arial" w:hAnsi="Arial"/>
          <w:color w:val="1A1A1A"/>
          <w:sz w:val="22"/>
          <w:szCs w:val="22"/>
        </w:rPr>
        <w:t xml:space="preserve">SaaS mix shift: increase SaaS revenue from ~52% to ~65% of total revenue, compressing transaction-based and print revenue as a share of mix, supporting margin expansion.</w:t>
      </w:r>
    </w:p>
    <w:p>
      <w:pPr>
        <w:pStyle w:val="ListParagraph"/>
        <w:numPr>
          <w:ilvl w:val="0"/>
          <w:numId w:val="2"/>
        </w:numPr>
        <w:spacing w:after="40" w:before="40"/>
      </w:pPr>
      <w:r>
        <w:rPr>
          <w:rFonts w:ascii="Arial" w:cs="Arial" w:eastAsia="Arial" w:hAnsi="Arial"/>
          <w:color w:val="1A1A1A"/>
          <w:sz w:val="22"/>
          <w:szCs w:val="22"/>
        </w:rPr>
        <w:t xml:space="preserve">M&amp;A: Frazier's healthcare-exclusive mandate and deep sector network support additional tuck-in acquisitions in patient access, price transparency, and payer engagement. Target 2-3 acquisitions over the hold period.</w:t>
      </w:r>
    </w:p>
    <w:p>
      <w:pPr>
        <w:pStyle w:val="ListParagraph"/>
        <w:numPr>
          <w:ilvl w:val="0"/>
          <w:numId w:val="2"/>
        </w:numPr>
        <w:spacing w:after="40" w:before="40"/>
      </w:pPr>
      <w:r>
        <w:rPr>
          <w:rFonts w:ascii="Arial" w:cs="Arial" w:eastAsia="Arial" w:hAnsi="Arial"/>
          <w:color w:val="1A1A1A"/>
          <w:sz w:val="22"/>
          <w:szCs w:val="22"/>
        </w:rPr>
        <w:t xml:space="preserve">Payer market expansion: RevSpring has historically focused on providers; payer market (health plans, managed care) represents a $2-3B incremental opportunity using the same communications and payments infrastructure.</w:t>
      </w:r>
    </w:p>
    <w:p>
      <w:pPr>
        <w:pStyle w:val="ListParagraph"/>
        <w:numPr>
          <w:ilvl w:val="0"/>
          <w:numId w:val="2"/>
        </w:numPr>
        <w:spacing w:after="40" w:before="40"/>
      </w:pPr>
      <w:r>
        <w:rPr>
          <w:rFonts w:ascii="Arial" w:cs="Arial" w:eastAsia="Arial" w:hAnsi="Arial"/>
          <w:color w:val="1A1A1A"/>
          <w:sz w:val="22"/>
          <w:szCs w:val="22"/>
        </w:rPr>
        <w:t xml:space="preserve">AI and automation: integration of LLM-based automation into the Engage IQ workflow engine to reduce manual touchpoints, improving margins and enabling headcount efficiency.</w:t>
      </w:r>
    </w:p>
    <w:p>
      <w:pPr>
        <w:spacing w:after="0" w:before="180"/>
      </w:pPr>
      <w:r>
        <w:t xml:space="preserve"/>
      </w:r>
    </w:p>
    <w:p>
      <w:pPr>
        <w:pStyle w:val="Heading2"/>
        <w:spacing w:after="80" w:before="240"/>
      </w:pPr>
      <w:r>
        <w:rPr>
          <w:rFonts w:ascii="Arial" w:cs="Arial" w:eastAsia="Arial" w:hAnsi="Arial"/>
          <w:b/>
          <w:bCs/>
          <w:color w:val="2E6DB4"/>
          <w:sz w:val="26"/>
          <w:szCs w:val="26"/>
        </w:rPr>
        <w:t xml:space="preserve">Exit Considerations</w:t>
      </w:r>
    </w:p>
    <w:p>
      <w:pPr>
        <w:pStyle w:val="ListParagraph"/>
        <w:numPr>
          <w:ilvl w:val="0"/>
          <w:numId w:val="2"/>
        </w:numPr>
        <w:spacing w:after="40" w:before="40"/>
      </w:pPr>
      <w:r>
        <w:rPr>
          <w:rFonts w:ascii="Arial" w:cs="Arial" w:eastAsia="Arial" w:hAnsi="Arial"/>
          <w:color w:val="1A1A1A"/>
          <w:sz w:val="22"/>
          <w:szCs w:val="22"/>
        </w:rPr>
        <w:t xml:space="preserve">Strategic acquirers: Large RCM platforms (Waystar, R1 RCM, Experian Health), EHR vendors (Epic, Oracle), or health system GPOs seeking to own the patient financial engagement layer.</w:t>
      </w:r>
    </w:p>
    <w:p>
      <w:pPr>
        <w:pStyle w:val="ListParagraph"/>
        <w:numPr>
          <w:ilvl w:val="0"/>
          <w:numId w:val="2"/>
        </w:numPr>
        <w:spacing w:after="40" w:before="40"/>
      </w:pPr>
      <w:r>
        <w:rPr>
          <w:rFonts w:ascii="Arial" w:cs="Arial" w:eastAsia="Arial" w:hAnsi="Arial"/>
          <w:color w:val="1A1A1A"/>
          <w:sz w:val="22"/>
          <w:szCs w:val="22"/>
        </w:rPr>
        <w:t xml:space="preserve">IPO pathway: If SaaS mix exceeds 65% and NRR sustains above 110%, a public markets exit at 6-8x revenue is achievable in a normalizing rate environment.</w:t>
      </w:r>
    </w:p>
    <w:p>
      <w:pPr>
        <w:pStyle w:val="ListParagraph"/>
        <w:numPr>
          <w:ilvl w:val="0"/>
          <w:numId w:val="2"/>
        </w:numPr>
        <w:spacing w:after="40" w:before="40"/>
      </w:pPr>
      <w:r>
        <w:rPr>
          <w:rFonts w:ascii="Arial" w:cs="Arial" w:eastAsia="Arial" w:hAnsi="Arial"/>
          <w:color w:val="1A1A1A"/>
          <w:sz w:val="22"/>
          <w:szCs w:val="22"/>
        </w:rPr>
        <w:t xml:space="preserve">PE secondary: Given Frazier's track record and RevSpring's continued growth trajectory, a 5-7 year hold with a secondary sale to a larger healthcare PE platform remains the most likely outcome.</w:t>
      </w:r>
    </w:p>
    <w:p>
      <w:pPr>
        <w:spacing w:after="0" w:before="180"/>
      </w:pPr>
      <w:r>
        <w:t xml:space="preserve"/>
      </w:r>
    </w:p>
    <w:p>
      <w:pPr>
        <w:pStyle w:val="Heading2"/>
        <w:spacing w:after="80" w:before="240"/>
      </w:pPr>
      <w:r>
        <w:rPr>
          <w:rFonts w:ascii="Arial" w:cs="Arial" w:eastAsia="Arial" w:hAnsi="Arial"/>
          <w:b/>
          <w:bCs/>
          <w:color w:val="2E6DB4"/>
          <w:sz w:val="26"/>
          <w:szCs w:val="26"/>
        </w:rPr>
        <w:t xml:space="preserve">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Risk Factor</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Client concentration: Top 20 = 38% of 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 single client &gt; 6%; multi-year contracts; high switching cost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EHR direct competition: Epic Resolute billing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RevSpring integrates with rather than replaces EHR billing; distinct analytics differentiation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TCPA / regulatory communication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Compliance team of 40+; legal counsel on retainer; consent management built into platform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Macro / bad debt cycle sensitivity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Counter-cyclical: rising patient debt = more demand for RevSpring solutions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M&amp;A integration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 acquisitions completed without material client churn; established PMO function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Interest rate / leverage sensitivity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4.3x net leverage is manageable; variable rate exposure partially hedged</w:t>
            </w:r>
          </w:p>
        </w:tc>
      </w:tr>
    </w:tbl>
    <w:p>
      <w:r>
        <w:br w:type="page"/>
      </w:r>
    </w:p>
    <w:p>
      <w:pPr>
        <w:pStyle w:val="Heading1"/>
        <w:spacing w:after="120" w:before="360"/>
      </w:pPr>
      <w:r>
        <w:rPr>
          <w:rFonts w:ascii="Arial" w:cs="Arial" w:eastAsia="Arial" w:hAnsi="Arial"/>
          <w:b/>
          <w:bCs/>
          <w:color w:val="1B3A5C"/>
          <w:sz w:val="32"/>
          <w:szCs w:val="32"/>
        </w:rPr>
        <w:t xml:space="preserve">7. M&amp;A HISTORY &amp; PLATFORM STRATEGY</w:t>
      </w:r>
    </w:p>
    <w:p>
      <w:pPr>
        <w:pBdr>
          <w:bottom w:val="single" w:color="2E6DB4" w:sz="6" w:space="1"/>
        </w:pBdr>
        <w:spacing w:after="60" w:before="60"/>
      </w:pPr>
      <w:r>
        <w:t xml:space="preserve"/>
      </w:r>
    </w:p>
    <w:p>
      <w:pPr>
        <w:spacing w:after="0" w:before="120"/>
      </w:pPr>
      <w:r>
        <w:t xml:space="preserve"/>
      </w:r>
    </w:p>
    <w:p>
      <w:pPr>
        <w:pStyle w:val="Heading2"/>
        <w:spacing w:after="80" w:before="240"/>
      </w:pPr>
      <w:r>
        <w:rPr>
          <w:rFonts w:ascii="Arial" w:cs="Arial" w:eastAsia="Arial" w:hAnsi="Arial"/>
          <w:b/>
          <w:bCs/>
          <w:color w:val="2E6DB4"/>
          <w:sz w:val="26"/>
          <w:szCs w:val="26"/>
        </w:rPr>
        <w:t xml:space="preserve">Acquisitions Under GTCR (2016-2024)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Company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Year | Rationale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Healthcare Revenue Strategies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2015 (pre-GTCR) | Hospital denial management and contract profitability platform; added RemitWeb for denied claims recovery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CarePayment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2017 | Patient financing platform; added flexible payment plan capabilities and BNPL-style patient lending options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TrustCommerce (Verifone subsidiary)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2019 | Healthcare payments processing; added PCI-certified payment gateway and tokenization capabilities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Loyale Healthcare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2020 | Patient financial engagement and loyalty platform; deepened analytics and patient access functionality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1"/>
                <w:szCs w:val="21"/>
              </w:rPr>
              <w:t xml:space="preserve">Kyruus Health (announced)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2025 (post-Frazier) | Provider data, search, and scheduling; creates unified care access + payment platform</w:t>
            </w:r>
          </w:p>
        </w:tc>
      </w:tr>
    </w:tbl>
    <w:p>
      <w:pPr>
        <w:spacing w:after="0" w:before="180"/>
      </w:pPr>
      <w:r>
        <w:t xml:space="preserve"/>
      </w:r>
    </w:p>
    <w:p>
      <w:pPr>
        <w:pStyle w:val="Heading2"/>
        <w:spacing w:after="80" w:before="240"/>
      </w:pPr>
      <w:r>
        <w:rPr>
          <w:rFonts w:ascii="Arial" w:cs="Arial" w:eastAsia="Arial" w:hAnsi="Arial"/>
          <w:b/>
          <w:bCs/>
          <w:color w:val="2E6DB4"/>
          <w:sz w:val="26"/>
          <w:szCs w:val="26"/>
        </w:rPr>
        <w:t xml:space="preserve">Build-and-Buy Strategy Assessment</w:t>
      </w:r>
    </w:p>
    <w:p>
      <w:pPr>
        <w:spacing w:after="60" w:before="60"/>
      </w:pPr>
      <w:r>
        <w:rPr>
          <w:rFonts w:ascii="Arial" w:cs="Arial" w:eastAsia="Arial" w:hAnsi="Arial"/>
          <w:color w:val="1A1A1A"/>
          <w:sz w:val="22"/>
          <w:szCs w:val="22"/>
        </w:rPr>
        <w:t xml:space="preserve">GTCR's investment thesis was explicitly a build-and-buy strategy, with up to $400M in committed equity at entry specifically earmarked for acquisitions. RevSpring executed five transactions over the hold period, each adding distinct capabilities (financing, payments infrastructure, analytics, access) that individually would have taken 3-5 years to build organically. The integration track record is strong, with no material client churn attributable to any acquisition.</w:t>
      </w:r>
    </w:p>
    <w:p>
      <w:pPr>
        <w:spacing w:after="0" w:before="60"/>
      </w:pPr>
      <w:r>
        <w:t xml:space="preserve"/>
      </w:r>
    </w:p>
    <w:p>
      <w:pPr>
        <w:spacing w:after="60" w:before="60"/>
      </w:pPr>
      <w:r>
        <w:rPr>
          <w:rFonts w:ascii="Arial" w:cs="Arial" w:eastAsia="Arial" w:hAnsi="Arial"/>
          <w:color w:val="1A1A1A"/>
          <w:sz w:val="22"/>
          <w:szCs w:val="22"/>
        </w:rPr>
        <w:t xml:space="preserve">Under Frazier, the strategy continues with the Kyruus Health acquisition announced in September 2025, extending RevSpring's platform upstream into the care access and provider search layer. This positions RevSpring as a single-vendor solution covering the full patient journey from search to final payment, a positioning no competitor currently occupies at scale.</w:t>
      </w:r>
    </w:p>
    <w:p>
      <w:r>
        <w:br w:type="page"/>
      </w:r>
    </w:p>
    <w:p>
      <w:pPr>
        <w:pStyle w:val="Heading1"/>
        <w:spacing w:after="120" w:before="360"/>
      </w:pPr>
      <w:r>
        <w:rPr>
          <w:rFonts w:ascii="Arial" w:cs="Arial" w:eastAsia="Arial" w:hAnsi="Arial"/>
          <w:b/>
          <w:bCs/>
          <w:color w:val="1B3A5C"/>
          <w:sz w:val="32"/>
          <w:szCs w:val="32"/>
        </w:rPr>
        <w:t xml:space="preserve">APPENDIX: KEY DATA SOURCES &amp; ASSUMPTIONS</w:t>
      </w:r>
    </w:p>
    <w:p>
      <w:pPr>
        <w:pBdr>
          <w:bottom w:val="single" w:color="2E6DB4" w:sz="6" w:space="1"/>
        </w:pBdr>
        <w:spacing w:after="60" w:before="60"/>
      </w:pPr>
      <w:r>
        <w:t xml:space="preserve"/>
      </w:r>
    </w:p>
    <w:p>
      <w:pPr>
        <w:spacing w:after="0" w:before="120"/>
      </w:pPr>
      <w:r>
        <w:t xml:space="preserve"/>
      </w:r>
    </w:p>
    <w:p>
      <w:pPr>
        <w:pStyle w:val="Heading2"/>
        <w:spacing w:after="80" w:before="240"/>
      </w:pPr>
      <w:r>
        <w:rPr>
          <w:rFonts w:ascii="Arial" w:cs="Arial" w:eastAsia="Arial" w:hAnsi="Arial"/>
          <w:b/>
          <w:bCs/>
          <w:color w:val="2E6DB4"/>
          <w:sz w:val="26"/>
          <w:szCs w:val="26"/>
        </w:rPr>
        <w:t xml:space="preserve">Data Sources</w:t>
      </w:r>
    </w:p>
    <w:p>
      <w:pPr>
        <w:pStyle w:val="ListParagraph"/>
        <w:numPr>
          <w:ilvl w:val="0"/>
          <w:numId w:val="2"/>
        </w:numPr>
        <w:spacing w:after="40" w:before="40"/>
      </w:pPr>
      <w:r>
        <w:rPr>
          <w:rFonts w:ascii="Arial" w:cs="Arial" w:eastAsia="Arial" w:hAnsi="Arial"/>
          <w:color w:val="1A1A1A"/>
          <w:sz w:val="22"/>
          <w:szCs w:val="22"/>
        </w:rPr>
        <w:t xml:space="preserve">GTCR press releases: November 2016 (acquisition) and March 2024 (sale)</w:t>
      </w:r>
    </w:p>
    <w:p>
      <w:pPr>
        <w:pStyle w:val="ListParagraph"/>
        <w:numPr>
          <w:ilvl w:val="0"/>
          <w:numId w:val="2"/>
        </w:numPr>
        <w:spacing w:after="40" w:before="40"/>
      </w:pPr>
      <w:r>
        <w:rPr>
          <w:rFonts w:ascii="Arial" w:cs="Arial" w:eastAsia="Arial" w:hAnsi="Arial"/>
          <w:color w:val="1A1A1A"/>
          <w:sz w:val="22"/>
          <w:szCs w:val="22"/>
        </w:rPr>
        <w:t xml:space="preserve">Frazier Healthcare Partners press release: March 2024 (acquisition)</w:t>
      </w:r>
    </w:p>
    <w:p>
      <w:pPr>
        <w:pStyle w:val="ListParagraph"/>
        <w:numPr>
          <w:ilvl w:val="0"/>
          <w:numId w:val="2"/>
        </w:numPr>
        <w:spacing w:after="40" w:before="40"/>
      </w:pPr>
      <w:r>
        <w:rPr>
          <w:rFonts w:ascii="Arial" w:cs="Arial" w:eastAsia="Arial" w:hAnsi="Arial"/>
          <w:color w:val="1A1A1A"/>
          <w:sz w:val="22"/>
          <w:szCs w:val="22"/>
        </w:rPr>
        <w:t xml:space="preserve">KLAS Research: 2024 Best in KLAS Patient Communications ranking</w:t>
      </w:r>
    </w:p>
    <w:p>
      <w:pPr>
        <w:pStyle w:val="ListParagraph"/>
        <w:numPr>
          <w:ilvl w:val="0"/>
          <w:numId w:val="2"/>
        </w:numPr>
        <w:spacing w:after="40" w:before="40"/>
      </w:pPr>
      <w:r>
        <w:rPr>
          <w:rFonts w:ascii="Arial" w:cs="Arial" w:eastAsia="Arial" w:hAnsi="Arial"/>
          <w:color w:val="1A1A1A"/>
          <w:sz w:val="22"/>
          <w:szCs w:val="22"/>
        </w:rPr>
        <w:t xml:space="preserve">Revelio Labs: Employee headcount data (1,265-1,281 FY2023-FY2024)</w:t>
      </w:r>
    </w:p>
    <w:p>
      <w:pPr>
        <w:pStyle w:val="ListParagraph"/>
        <w:numPr>
          <w:ilvl w:val="0"/>
          <w:numId w:val="2"/>
        </w:numPr>
        <w:spacing w:after="40" w:before="40"/>
      </w:pPr>
      <w:r>
        <w:rPr>
          <w:rFonts w:ascii="Arial" w:cs="Arial" w:eastAsia="Arial" w:hAnsi="Arial"/>
          <w:color w:val="1A1A1A"/>
          <w:sz w:val="22"/>
          <w:szCs w:val="22"/>
        </w:rPr>
        <w:t xml:space="preserve">Zippia / RocketReach: Revenue estimates ($300M peak, FY2024)</w:t>
      </w:r>
    </w:p>
    <w:p>
      <w:pPr>
        <w:pStyle w:val="ListParagraph"/>
        <w:numPr>
          <w:ilvl w:val="0"/>
          <w:numId w:val="2"/>
        </w:numPr>
        <w:spacing w:after="40" w:before="40"/>
      </w:pPr>
      <w:r>
        <w:rPr>
          <w:rFonts w:ascii="Arial" w:cs="Arial" w:eastAsia="Arial" w:hAnsi="Arial"/>
          <w:color w:val="1A1A1A"/>
          <w:sz w:val="22"/>
          <w:szCs w:val="22"/>
        </w:rPr>
        <w:t xml:space="preserve">Tracxn / CBInsights: M&amp;A history and investor data</w:t>
      </w:r>
    </w:p>
    <w:p>
      <w:pPr>
        <w:pStyle w:val="ListParagraph"/>
        <w:numPr>
          <w:ilvl w:val="0"/>
          <w:numId w:val="2"/>
        </w:numPr>
        <w:spacing w:after="40" w:before="40"/>
      </w:pPr>
      <w:r>
        <w:rPr>
          <w:rFonts w:ascii="Arial" w:cs="Arial" w:eastAsia="Arial" w:hAnsi="Arial"/>
          <w:color w:val="1A1A1A"/>
          <w:sz w:val="22"/>
          <w:szCs w:val="22"/>
        </w:rPr>
        <w:t xml:space="preserve">Market.us / Towards Healthcare: RCM market sizing data</w:t>
      </w:r>
    </w:p>
    <w:p>
      <w:pPr>
        <w:pStyle w:val="ListParagraph"/>
        <w:numPr>
          <w:ilvl w:val="0"/>
          <w:numId w:val="2"/>
        </w:numPr>
        <w:spacing w:after="40" w:before="40"/>
      </w:pPr>
      <w:r>
        <w:rPr>
          <w:rFonts w:ascii="Arial" w:cs="Arial" w:eastAsia="Arial" w:hAnsi="Arial"/>
          <w:color w:val="1A1A1A"/>
          <w:sz w:val="22"/>
          <w:szCs w:val="22"/>
        </w:rPr>
        <w:t xml:space="preserve">RevSpring.com: Product descriptions, leadership bios, press releases</w:t>
      </w:r>
    </w:p>
    <w:p>
      <w:pPr>
        <w:spacing w:after="0" w:before="120"/>
      </w:pPr>
      <w:r>
        <w:t xml:space="preserve"/>
      </w:r>
    </w:p>
    <w:p>
      <w:pPr>
        <w:pStyle w:val="Heading2"/>
        <w:spacing w:after="80" w:before="240"/>
      </w:pPr>
      <w:r>
        <w:rPr>
          <w:rFonts w:ascii="Arial" w:cs="Arial" w:eastAsia="Arial" w:hAnsi="Arial"/>
          <w:b/>
          <w:bCs/>
          <w:color w:val="2E6DB4"/>
          <w:sz w:val="26"/>
          <w:szCs w:val="26"/>
        </w:rPr>
        <w:t xml:space="preserve">Financial Assumptions (Illustrative)</w:t>
      </w:r>
    </w:p>
    <w:p>
      <w:pPr>
        <w:spacing w:after="60" w:before="60"/>
      </w:pPr>
      <w:r>
        <w:rPr>
          <w:rFonts w:ascii="Arial" w:cs="Arial" w:eastAsia="Arial" w:hAnsi="Arial"/>
          <w:color w:val="1A1A1A"/>
          <w:sz w:val="22"/>
          <w:szCs w:val="22"/>
        </w:rPr>
        <w:t xml:space="preserve">The financial statements presented in Section 4 are illustrative figures prepared for workshop purposes. They are constructed using the following methodology:</w:t>
      </w:r>
    </w:p>
    <w:p>
      <w:pPr>
        <w:pStyle w:val="ListParagraph"/>
        <w:numPr>
          <w:ilvl w:val="0"/>
          <w:numId w:val="2"/>
        </w:numPr>
        <w:spacing w:after="40" w:before="40"/>
      </w:pPr>
      <w:r>
        <w:rPr>
          <w:rFonts w:ascii="Arial" w:cs="Arial" w:eastAsia="Arial" w:hAnsi="Arial"/>
          <w:color w:val="1A1A1A"/>
          <w:sz w:val="22"/>
          <w:szCs w:val="22"/>
        </w:rPr>
        <w:t xml:space="preserve">FY2024 revenue anchored to Zippia/Revelio estimate of ~$300M</w:t>
      </w:r>
    </w:p>
    <w:p>
      <w:pPr>
        <w:pStyle w:val="ListParagraph"/>
        <w:numPr>
          <w:ilvl w:val="0"/>
          <w:numId w:val="2"/>
        </w:numPr>
        <w:spacing w:after="40" w:before="40"/>
      </w:pPr>
      <w:r>
        <w:rPr>
          <w:rFonts w:ascii="Arial" w:cs="Arial" w:eastAsia="Arial" w:hAnsi="Arial"/>
          <w:color w:val="1A1A1A"/>
          <w:sz w:val="22"/>
          <w:szCs w:val="22"/>
        </w:rPr>
        <w:t xml:space="preserve">FY2023 revenue back-calculated at ~17% growth from $248M, consistent with GTCR's stated growth trajectory</w:t>
      </w:r>
    </w:p>
    <w:p>
      <w:pPr>
        <w:pStyle w:val="ListParagraph"/>
        <w:numPr>
          <w:ilvl w:val="0"/>
          <w:numId w:val="2"/>
        </w:numPr>
        <w:spacing w:after="40" w:before="40"/>
      </w:pPr>
      <w:r>
        <w:rPr>
          <w:rFonts w:ascii="Arial" w:cs="Arial" w:eastAsia="Arial" w:hAnsi="Arial"/>
          <w:color w:val="1A1A1A"/>
          <w:sz w:val="22"/>
          <w:szCs w:val="22"/>
        </w:rPr>
        <w:t xml:space="preserve">EBITDA margins of 23-27% are consistent with PE-backed SaaS/services platforms of similar scale and comparable public company benchmarks (Waystar: 28-30%, Inovalon: 24-26%)</w:t>
      </w:r>
    </w:p>
    <w:p>
      <w:pPr>
        <w:pStyle w:val="ListParagraph"/>
        <w:numPr>
          <w:ilvl w:val="0"/>
          <w:numId w:val="2"/>
        </w:numPr>
        <w:spacing w:after="40" w:before="40"/>
      </w:pPr>
      <w:r>
        <w:rPr>
          <w:rFonts w:ascii="Arial" w:cs="Arial" w:eastAsia="Arial" w:hAnsi="Arial"/>
          <w:color w:val="1A1A1A"/>
          <w:sz w:val="22"/>
          <w:szCs w:val="22"/>
        </w:rPr>
        <w:t xml:space="preserve">EV/Revenue multiple of ~4.3x and EV/EBITDA of ~19.4x at $1.3B EV are consistent with Healthcare IT platform transactions in the 2022-2024 period</w:t>
      </w:r>
    </w:p>
    <w:p>
      <w:pPr>
        <w:pStyle w:val="ListParagraph"/>
        <w:numPr>
          <w:ilvl w:val="0"/>
          <w:numId w:val="2"/>
        </w:numPr>
        <w:spacing w:after="40" w:before="40"/>
      </w:pPr>
      <w:r>
        <w:rPr>
          <w:rFonts w:ascii="Arial" w:cs="Arial" w:eastAsia="Arial" w:hAnsi="Arial"/>
          <w:color w:val="1A1A1A"/>
          <w:sz w:val="22"/>
          <w:szCs w:val="22"/>
        </w:rPr>
        <w:t xml:space="preserve">Leverage of 4.3x Net Debt/EBITDA is consistent with private credit market norms for healthcare SaaS at this entry point</w:t>
      </w:r>
    </w:p>
    <w:p>
      <w:pPr>
        <w:spacing w:after="0" w:before="120"/>
      </w:pPr>
      <w:r>
        <w:t xml:space="preserve"/>
      </w:r>
    </w:p>
    <w:p>
      <w:pPr>
        <w:pStyle w:val="Heading2"/>
        <w:spacing w:after="80" w:before="240"/>
      </w:pPr>
      <w:r>
        <w:rPr>
          <w:rFonts w:ascii="Arial" w:cs="Arial" w:eastAsia="Arial" w:hAnsi="Arial"/>
          <w:b/>
          <w:bCs/>
          <w:color w:val="2E6DB4"/>
          <w:sz w:val="26"/>
          <w:szCs w:val="26"/>
        </w:rPr>
        <w:t xml:space="preserve">Disclaimers</w:t>
      </w:r>
    </w:p>
    <w:p>
      <w:pPr>
        <w:spacing w:after="60" w:before="60"/>
      </w:pPr>
      <w:r>
        <w:rPr>
          <w:rFonts w:ascii="Arial" w:cs="Arial" w:eastAsia="Arial" w:hAnsi="Arial"/>
          <w:color w:val="1A1A1A"/>
          <w:sz w:val="22"/>
          <w:szCs w:val="22"/>
        </w:rPr>
        <w:t xml:space="preserve">This Confidential Information Memorandum has been prepared for use in the Morsebridge Intelligence Healthcare PE Deal Flow Automation workshop (June 30, 2024). All financial figures are illustrative and do not represent actual audited financials of RevSpring, Inc. This document is not an offering document and does not constitute investment advice. RevSpring, Inc. is a registered trademark of its respective owner.</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1"/>
      </w:pBdr>
      <w:spacing w:before="60"/>
    </w:pPr>
    <w:r>
      <w:rPr>
        <w:rFonts w:ascii="Arial" w:cs="Arial" w:eastAsia="Arial" w:hAnsi="Arial"/>
        <w:color w:val="888888"/>
        <w:sz w:val="16"/>
        <w:szCs w:val="16"/>
      </w:rPr>
      <w:t xml:space="preserve">Morsebridge Intelligence | Healthcare PE Workshop | For Workshop Use Only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1"/>
      </w:pBdr>
      <w:spacing w:after="60"/>
    </w:pPr>
    <w:r>
      <w:rPr>
        <w:rFonts w:ascii="Arial" w:cs="Arial" w:eastAsia="Arial" w:hAnsi="Arial"/>
        <w:color w:val="888888"/>
        <w:sz w:val="16"/>
        <w:szCs w:val="16"/>
      </w:rPr>
      <w:t xml:space="preserve">CONFIDENTIAL | RevSpring, Inc. | Confidential Information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2026-06-04T09:14:33.150Z</dcterms:created>
  <dcterms:modified xsi:type="dcterms:W3CDTF">2026-06-04T09:14:33.151Z</dcterms:modified>
</cp:coreProperties>
</file>

<file path=docProps/custom.xml><?xml version="1.0" encoding="utf-8"?>
<Properties xmlns="http://schemas.openxmlformats.org/officeDocument/2006/custom-properties" xmlns:vt="http://schemas.openxmlformats.org/officeDocument/2006/docPropsVTypes"/>
</file>