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Arial" w:cs="Arial" w:eastAsia="Arial" w:hAnsi="Arial"/>
          <w:b/>
          <w:bCs/>
          <w:color w:val="1B3A5C"/>
          <w:sz w:val="28"/>
          <w:szCs w:val="28"/>
        </w:rPr>
        <w:t xml:space="preserve">EMAIL DRAFT — FOR REVIEW BEFORE SENDING</w:t>
      </w:r>
    </w:p>
    <w:p>
      <w:pPr>
        <w:pBdr>
          <w:bottom w:val="single" w:color="1B3A5C" w:sz="6"/>
        </w:pBdr>
        <w:spacing w:after="160"/>
      </w:pPr>
      <w:r>
        <w:rPr>
          <w:rFonts w:ascii="Arial" w:cs="Arial" w:eastAsia="Arial" w:hAnsi="Arial"/>
          <w:i/>
          <w:iCs/>
          <w:color w:val="888888"/>
          <w:sz w:val="20"/>
          <w:szCs w:val="20"/>
        </w:rPr>
        <w:t xml:space="preserve">Not sent. Review and confirm before dispatching.</w:t>
      </w:r>
    </w:p>
    <w:p>
      <w:pPr>
        <w:spacing w:after="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600"/>
        <w:gridCol w:w="7600"/>
      </w:tblGrid>
      <w:tr>
        <w:tc>
          <w:tcPr>
            <w:tcW w:type="dxa" w:w="1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000000"/>
                <w:sz w:val="20"/>
                <w:szCs w:val="20"/>
              </w:rPr>
              <w:t xml:space="preserve">To</w:t>
            </w:r>
          </w:p>
        </w:tc>
        <w:tc>
          <w:tcPr>
            <w:tcW w:type="dxa" w:w="7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Ayub — ayub@morsebridge.com</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From</w:t>
            </w:r>
          </w:p>
        </w:tc>
        <w:tc>
          <w:tcPr>
            <w:tcW w:type="dxa" w:w="7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000000"/>
                <w:sz w:val="20"/>
                <w:szCs w:val="20"/>
              </w:rPr>
              <w:t xml:space="preserve">Abdullah — abdullah@morsebridge.com</w:t>
            </w:r>
          </w:p>
        </w:tc>
      </w:tr>
      <w:tr>
        <w:tc>
          <w:tcPr>
            <w:tcW w:type="dxa" w:w="1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000000"/>
                <w:sz w:val="20"/>
                <w:szCs w:val="20"/>
              </w:rPr>
              <w:t xml:space="preserve">Date</w:t>
            </w:r>
          </w:p>
        </w:tc>
        <w:tc>
          <w:tcPr>
            <w:tcW w:type="dxa" w:w="7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June 5, 2026</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Subject</w:t>
            </w:r>
          </w:p>
        </w:tc>
        <w:tc>
          <w:tcPr>
            <w:tcW w:type="dxa" w:w="7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bCs/>
                <w:color w:val="000000"/>
                <w:sz w:val="20"/>
                <w:szCs w:val="20"/>
              </w:rPr>
              <w:t xml:space="preserve">RevSpring — Commercial DD Findings — June 5, 2026</w:t>
            </w:r>
          </w:p>
        </w:tc>
      </w:tr>
    </w:tbl>
    <w:p>
      <w:pPr>
        <w:spacing w:after="80"/>
      </w:pPr>
      <w:r>
        <w:t xml:space="preserve"/>
      </w:r>
    </w:p>
    <w:p>
      <w:pPr>
        <w:spacing w:after="80"/>
      </w:pPr>
      <w:r>
        <w:t xml:space="preserve"/>
      </w:r>
    </w:p>
    <w:p>
      <w:pPr>
        <w:spacing w:after="120"/>
      </w:pPr>
      <w:r>
        <w:rPr>
          <w:rFonts w:ascii="Arial" w:cs="Arial" w:eastAsia="Arial" w:hAnsi="Arial"/>
          <w:sz w:val="20"/>
          <w:szCs w:val="20"/>
        </w:rPr>
        <w:t xml:space="preserve">Ayub,</w:t>
      </w:r>
    </w:p>
    <w:p>
      <w:pPr>
        <w:spacing w:after="120"/>
      </w:pPr>
      <w:r>
        <w:rPr>
          <w:rFonts w:ascii="Arial" w:cs="Arial" w:eastAsia="Arial" w:hAnsi="Arial"/>
          <w:b w:val="false"/>
          <w:bCs w:val="false"/>
          <w:color w:val="000000"/>
          <w:sz w:val="20"/>
          <w:szCs w:val="20"/>
        </w:rPr>
        <w:t xml:space="preserve">This email summarises the Commercial Due Diligence findings for RevSpring, Inc. following completion of the Market Analysis and Competitive Analysis reports prepared today.</w:t>
      </w:r>
    </w:p>
    <w:p>
      <w:pPr>
        <w:spacing w:after="80"/>
      </w:pPr>
      <w:r>
        <w:t xml:space="preserve"/>
      </w:r>
    </w:p>
    <w:p>
      <w:pPr>
        <w:spacing w:after="40"/>
      </w:pPr>
      <w:r>
        <w:rPr>
          <w:rFonts w:ascii="Arial" w:cs="Arial" w:eastAsia="Arial" w:hAnsi="Arial"/>
          <w:b/>
          <w:bCs/>
          <w:color w:val="1B3A5C"/>
          <w:sz w:val="20"/>
          <w:szCs w:val="20"/>
        </w:rPr>
        <w:t xml:space="preserve">Commercial DD Score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400"/>
      </w:tblGrid>
      <w:tr>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Score</w:t>
            </w:r>
          </w:p>
        </w:tc>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Band</w:t>
            </w:r>
          </w:p>
        </w:tc>
        <w:tc>
          <w:tcPr>
            <w:tcW w:type="dxa" w:w="4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Interpretation</w:t>
            </w:r>
          </w:p>
        </w:tc>
      </w:tr>
      <w:tr>
        <w:tc>
          <w:tcPr>
            <w:tcW w:type="dxa" w:w="2400"/>
            <w:tcBorders>
              <w:top w:val="single" w:color="CCCCCC" w:sz="1"/>
              <w:left w:val="single" w:color="CCCCCC" w:sz="1"/>
              <w:bottom w:val="single" w:color="CCCCCC" w:sz="1"/>
              <w:right w:val="single" w:color="CCCCCC" w:sz="1"/>
            </w:tcBorders>
            <w:shd w:fill="1A7A2E"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85.8 / 100</w:t>
            </w:r>
          </w:p>
        </w:tc>
        <w:tc>
          <w:tcPr>
            <w:tcW w:type="dxa" w:w="2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A5C2A"/>
                <w:sz w:val="20"/>
                <w:szCs w:val="20"/>
              </w:rPr>
              <w:t xml:space="preserve">STRONG PROCEED</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High conviction on commercial fundamentals. Recommended to proceed to IC memo stage.</w:t>
            </w:r>
          </w:p>
        </w:tc>
      </w:tr>
    </w:tbl>
    <w:p>
      <w:pPr>
        <w:spacing w:after="80"/>
      </w:pPr>
      <w:r>
        <w:t xml:space="preserve"/>
      </w:r>
    </w:p>
    <w:p>
      <w:pPr>
        <w:spacing w:after="80"/>
      </w:pPr>
      <w:r>
        <w:t xml:space="preserve"/>
      </w:r>
    </w:p>
    <w:p>
      <w:pPr>
        <w:spacing w:after="40"/>
      </w:pPr>
      <w:r>
        <w:rPr>
          <w:rFonts w:ascii="Arial" w:cs="Arial" w:eastAsia="Arial" w:hAnsi="Arial"/>
          <w:b/>
          <w:bCs/>
          <w:color w:val="1B3A5C"/>
          <w:sz w:val="20"/>
          <w:szCs w:val="20"/>
        </w:rPr>
        <w:t xml:space="preserve">Investment Thesis Assessment — Market and Timing</w:t>
      </w:r>
    </w:p>
    <w:p>
      <w:pPr>
        <w:spacing w:after="120"/>
      </w:pPr>
      <w:r>
        <w:rPr>
          <w:rFonts w:ascii="Arial" w:cs="Arial" w:eastAsia="Arial" w:hAnsi="Arial"/>
          <w:b w:val="false"/>
          <w:bCs w:val="false"/>
          <w:color w:val="000000"/>
          <w:sz w:val="20"/>
          <w:szCs w:val="20"/>
        </w:rPr>
        <w:t xml:space="preserve">The market fundamentals for this deal are exceptional. The U.S. RCM market stands at $73.0 billion in 2026 growing at 11.6% CAGR, with RevSpring's primary addressable segment — patient financial engagement — at $9.2 billion growing at approximately 12.7% CAGR through 2028. The regulatory backdrop is unusually favourable: the February 2025 Executive Order on price transparency, the November 2025 CMS Hospital Price Transparency Final Rule effective April 2026, and sustained No Surprises Act enforcement together mandate workflows that RevSpring's PreService, PersonaPay, and Engage IQ products deliver. This regulatory tailwind is durable, creating a compliance-driven demand pull that is not dependent on discretionary IT budget cycles.</w:t>
      </w:r>
    </w:p>
    <w:p>
      <w:pPr>
        <w:spacing w:after="120"/>
      </w:pPr>
      <w:r>
        <w:rPr>
          <w:rFonts w:ascii="Arial" w:cs="Arial" w:eastAsia="Arial" w:hAnsi="Arial"/>
          <w:b w:val="false"/>
          <w:bCs w:val="false"/>
          <w:color w:val="000000"/>
          <w:sz w:val="20"/>
          <w:szCs w:val="20"/>
        </w:rPr>
        <w:t xml:space="preserve">Market timing is strong. The consolidation cycle in patient financial engagement is accelerating, and RevSpring's two 2025-2026 acquisitions — Kyruus Health (provider search and scheduling) and TrustCommerce (integrated payments gateway) — position the Company as the only full-stack patient financial journey platform at enterprise scale. The window to acquire this position before a competitor assembles a comparable platform is closing.</w:t>
      </w:r>
    </w:p>
    <w:p>
      <w:pPr>
        <w:spacing w:after="80"/>
      </w:pPr>
      <w:r>
        <w:t xml:space="preserve"/>
      </w:r>
    </w:p>
    <w:p>
      <w:pPr>
        <w:spacing w:after="40"/>
      </w:pPr>
      <w:r>
        <w:rPr>
          <w:rFonts w:ascii="Arial" w:cs="Arial" w:eastAsia="Arial" w:hAnsi="Arial"/>
          <w:b/>
          <w:bCs/>
          <w:color w:val="1B3A5C"/>
          <w:sz w:val="20"/>
          <w:szCs w:val="20"/>
        </w:rPr>
        <w:t xml:space="preserve">Competitive Position</w:t>
      </w:r>
    </w:p>
    <w:p>
      <w:pPr>
        <w:spacing w:after="120"/>
      </w:pPr>
      <w:r>
        <w:rPr>
          <w:rFonts w:ascii="Arial" w:cs="Arial" w:eastAsia="Arial" w:hAnsi="Arial"/>
          <w:b w:val="false"/>
          <w:bCs w:val="false"/>
          <w:color w:val="000000"/>
          <w:sz w:val="20"/>
          <w:szCs w:val="20"/>
        </w:rPr>
        <w:t xml:space="preserve">RevSpring is the #1 KLAS-rated vendor in Patient Financial Engagement for the second consecutive year, scoring 90.3 points against Waystar at 88.8 and Flywire at 88.4. All PersonaPay customers surveyed by KLAS stated they would repurchase. The Company's competitive moat rests on three non-replicable elements: a proprietary 300M-consumer behavioral analytics database, bidirectional EHR integrations covering approximately 85% of the U.S. hospital market, and PCI DSS Level 1 and HIPAA compliance infrastructure that represents a material barrier to entry for smaller competitors.</w:t>
      </w:r>
    </w:p>
    <w:p>
      <w:pPr>
        <w:spacing w:after="120"/>
      </w:pPr>
      <w:r>
        <w:rPr>
          <w:rFonts w:ascii="Arial" w:cs="Arial" w:eastAsia="Arial" w:hAnsi="Arial"/>
          <w:b w:val="false"/>
          <w:bCs w:val="false"/>
          <w:color w:val="000000"/>
          <w:sz w:val="20"/>
          <w:szCs w:val="20"/>
        </w:rPr>
        <w:t xml:space="preserve">The principal competitive risk is Epic MyChart's gradual expansion of native patient portal and billing capabilities into overlapping workflows. RevSpring's analytics depth is the most credible near-term differentiator, but this risk requires ongoing product investment to sustain. Cedar (Tiger Global-backed, processing $10B+ annually) is the most credible pure-play competitor and has now marginally exceeded RevSpring's disclosed payment volume — worth monitoring for KLAS score convergence.</w:t>
      </w:r>
    </w:p>
    <w:p>
      <w:pPr>
        <w:spacing w:after="80"/>
      </w:pPr>
      <w:r>
        <w:t xml:space="preserve"/>
      </w:r>
    </w:p>
    <w:p>
      <w:pPr>
        <w:spacing w:after="40"/>
      </w:pPr>
      <w:r>
        <w:rPr>
          <w:rFonts w:ascii="Arial" w:cs="Arial" w:eastAsia="Arial" w:hAnsi="Arial"/>
          <w:b/>
          <w:bCs/>
          <w:color w:val="1B3A5C"/>
          <w:sz w:val="20"/>
          <w:szCs w:val="20"/>
        </w:rPr>
        <w:t xml:space="preserve">DD Flags Raised</w:t>
      </w:r>
    </w:p>
    <w:p>
      <w:pPr>
        <w:spacing w:after="120"/>
      </w:pPr>
      <w:r>
        <w:rPr>
          <w:rFonts w:ascii="Arial" w:cs="Arial" w:eastAsia="Arial" w:hAnsi="Arial"/>
          <w:b w:val="false"/>
          <w:bCs w:val="false"/>
          <w:color w:val="000000"/>
          <w:sz w:val="20"/>
          <w:szCs w:val="20"/>
        </w:rPr>
        <w:t xml:space="preserve">Four DD flags were raised in the reports. Two are material to the return model:</w:t>
      </w:r>
    </w:p>
    <w:p>
      <w:pPr>
        <w:spacing w:after="120"/>
      </w:pPr>
      <w:r>
        <w:rPr>
          <w:rFonts w:ascii="Arial" w:cs="Arial" w:eastAsia="Arial" w:hAnsi="Arial"/>
          <w:b w:val="false"/>
          <w:bCs w:val="false"/>
          <w:color w:val="000000"/>
          <w:sz w:val="20"/>
          <w:szCs w:val="20"/>
        </w:rPr>
        <w:t xml:space="preserve">(1) Print &amp; Mail revenue undisclosed: The CIM does not disclose Print &amp; Mail as a standalone revenue line item, contribution margin, or year-over-year growth/decline rate. This is the primary data gap for EBITDA margin modeling. If Print &amp; Mail represents 20%+ of revenue and is declining at 10-15% annually, the EBITDA expansion case is materially impacted. A revenue bridge by product line for FY2021-FY2024 is the single most important data request from management.</w:t>
      </w:r>
    </w:p>
    <w:p>
      <w:pPr>
        <w:spacing w:after="120"/>
      </w:pPr>
      <w:r>
        <w:rPr>
          <w:rFonts w:ascii="Arial" w:cs="Arial" w:eastAsia="Arial" w:hAnsi="Arial"/>
          <w:b w:val="false"/>
          <w:bCs w:val="false"/>
          <w:color w:val="000000"/>
          <w:sz w:val="20"/>
          <w:szCs w:val="20"/>
        </w:rPr>
        <w:t xml:space="preserve">(2) Win/loss data not disclosed: RevSpring does not disclose win/loss analysis against Epic MyChart, Cedar, or Waystar. Without this, the pace of competitive encroachment cannot be validated. Morsebridge should request disaggregated win/loss data before finalising commercial DD conclusions.</w:t>
      </w:r>
    </w:p>
    <w:p>
      <w:pPr>
        <w:spacing w:after="120"/>
      </w:pPr>
      <w:r>
        <w:rPr>
          <w:rFonts w:ascii="Arial" w:cs="Arial" w:eastAsia="Arial" w:hAnsi="Arial"/>
          <w:b w:val="false"/>
          <w:bCs w:val="false"/>
          <w:color w:val="000000"/>
          <w:sz w:val="20"/>
          <w:szCs w:val="20"/>
        </w:rPr>
        <w:t xml:space="preserve">Two additional flags are lower severity: the CIM's TAM definition needs reconciliation against third-party market sizing (definitional differences may explain the apparent gap), and international expansion is cited as a growth opportunity but has no quantification or plan behind it and should be excluded from the base case return model.</w:t>
      </w:r>
    </w:p>
    <w:p>
      <w:pPr>
        <w:spacing w:after="80"/>
      </w:pPr>
      <w:r>
        <w:t xml:space="preserve"/>
      </w:r>
    </w:p>
    <w:p>
      <w:pPr>
        <w:spacing w:after="40"/>
      </w:pPr>
      <w:r>
        <w:rPr>
          <w:rFonts w:ascii="Arial" w:cs="Arial" w:eastAsia="Arial" w:hAnsi="Arial"/>
          <w:b/>
          <w:bCs/>
          <w:color w:val="1B3A5C"/>
          <w:sz w:val="20"/>
          <w:szCs w:val="20"/>
        </w:rPr>
        <w:t xml:space="preserve">Recommended Next Steps</w:t>
      </w:r>
    </w:p>
    <w:p>
      <w:pPr>
        <w:spacing w:after="120"/>
      </w:pPr>
      <w:r>
        <w:rPr>
          <w:rFonts w:ascii="Arial" w:cs="Arial" w:eastAsia="Arial" w:hAnsi="Arial"/>
          <w:b w:val="false"/>
          <w:bCs w:val="false"/>
          <w:color w:val="000000"/>
          <w:sz w:val="20"/>
          <w:szCs w:val="20"/>
        </w:rPr>
        <w:t xml:space="preserve">First, request the following from Frazier/RevSpring management: (a) revenue bridge by product line (SaaS, transaction, Print &amp; Mail, ARM) for FY2021-FY2024; (b) win/loss analysis disaggregated by competitor; (c) post-close financials for Kyruus Health and TrustCommerce. These three data requests will resolve the material gaps in the commercial DD and allow us to finalise the base case return model.</w:t>
      </w:r>
    </w:p>
    <w:p>
      <w:pPr>
        <w:spacing w:after="120"/>
      </w:pPr>
      <w:r>
        <w:rPr>
          <w:rFonts w:ascii="Arial" w:cs="Arial" w:eastAsia="Arial" w:hAnsi="Arial"/>
          <w:b w:val="false"/>
          <w:bCs w:val="false"/>
          <w:color w:val="000000"/>
          <w:sz w:val="20"/>
          <w:szCs w:val="20"/>
        </w:rPr>
        <w:t xml:space="preserve">Second, initiate financial DD in parallel. The commercial score of 85.8 supports proceeding to financial DD without conditions. The CIM screening report issued earlier this week flagged the 19.4x EBITDA entry multiple and CFO transition as conditional items; these remain open and should be addressed in the financial DD workstream.</w:t>
      </w:r>
    </w:p>
    <w:p>
      <w:pPr>
        <w:spacing w:after="120"/>
      </w:pPr>
      <w:r>
        <w:rPr>
          <w:rFonts w:ascii="Arial" w:cs="Arial" w:eastAsia="Arial" w:hAnsi="Arial"/>
          <w:b w:val="false"/>
          <w:bCs w:val="false"/>
          <w:color w:val="000000"/>
          <w:sz w:val="20"/>
          <w:szCs w:val="20"/>
        </w:rPr>
        <w:t xml:space="preserve">Third, schedule a management Q&amp;A session with Scott MacKenzie (CEO) and Nicole Rogas (President, January 2025) to probe cross-sell pipeline quality, Kyruus integration status, and the payer market expansion timeline.</w:t>
      </w:r>
    </w:p>
    <w:p>
      <w:pPr>
        <w:spacing w:after="80"/>
      </w:pPr>
      <w:r>
        <w:t xml:space="preserve"/>
      </w:r>
    </w:p>
    <w:p>
      <w:pPr>
        <w:spacing w:after="120"/>
      </w:pPr>
      <w:r>
        <w:rPr>
          <w:rFonts w:ascii="Arial" w:cs="Arial" w:eastAsia="Arial" w:hAnsi="Arial"/>
          <w:b w:val="false"/>
          <w:bCs w:val="false"/>
          <w:color w:val="000000"/>
          <w:sz w:val="20"/>
          <w:szCs w:val="20"/>
        </w:rPr>
        <w:t xml:space="preserve">One question for your input before we move to IC memo prep: given the 19.4x EBITDA entry multiple and the back-loaded return profile, would you like me to run a sensitivity analysis on the exit multiple assumption (15x vs. 13x vs. 17x) as part of the financial DD output, so we can frame the IC recommendation around a return range rather than a point estimate? Let me know how you would like to proceed.</w:t>
      </w:r>
    </w:p>
    <w:p>
      <w:pPr>
        <w:spacing w:after="80"/>
      </w:pPr>
      <w:r>
        <w:t xml:space="preserve"/>
      </w:r>
    </w:p>
    <w:p>
      <w:pPr>
        <w:spacing w:after="40"/>
      </w:pPr>
      <w:r>
        <w:rPr>
          <w:rFonts w:ascii="Arial" w:cs="Arial" w:eastAsia="Arial" w:hAnsi="Arial"/>
          <w:sz w:val="20"/>
          <w:szCs w:val="20"/>
        </w:rPr>
        <w:t xml:space="preserve">Abdullah</w:t>
      </w:r>
    </w:p>
    <w:p>
      <w:pPr>
        <w:spacing w:after="40"/>
      </w:pPr>
      <w:r>
        <w:rPr>
          <w:rFonts w:ascii="Arial" w:cs="Arial" w:eastAsia="Arial" w:hAnsi="Arial"/>
          <w:color w:val="555555"/>
          <w:sz w:val="20"/>
          <w:szCs w:val="20"/>
        </w:rPr>
        <w:t xml:space="preserve">Morsebridge Healthcare</w:t>
      </w:r>
    </w:p>
    <w:p>
      <w:r>
        <w:rPr>
          <w:rFonts w:ascii="Arial" w:cs="Arial" w:eastAsia="Arial" w:hAnsi="Arial"/>
          <w:color w:val="555555"/>
          <w:sz w:val="20"/>
          <w:szCs w:val="20"/>
        </w:rPr>
        <w:t xml:space="preserve">abdullah@morsebridge.com</w:t>
      </w:r>
    </w:p>
    <w:p>
      <w:pPr>
        <w:spacing w:after="80"/>
      </w:pPr>
      <w:r>
        <w:t xml:space="preserve"/>
      </w:r>
    </w:p>
    <w:p>
      <w:pPr>
        <w:spacing w:after="80"/>
      </w:pPr>
      <w:r>
        <w:t xml:space="preserve"/>
      </w:r>
    </w:p>
    <w:p>
      <w:pPr>
        <w:spacing w:after="120" w:before="240"/>
      </w:pPr>
      <w:r>
        <w:rPr>
          <w:rFonts w:ascii="Arial" w:cs="Arial" w:eastAsia="Arial" w:hAnsi="Arial"/>
          <w:b/>
          <w:bCs/>
          <w:color w:val="1B3A5C"/>
          <w:sz w:val="22"/>
          <w:szCs w:val="22"/>
        </w:rPr>
        <w:t xml:space="preserve">APPENDIX — FULL COMMERCIAL DD SCORECARD</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000"/>
        <w:gridCol w:w="900"/>
        <w:gridCol w:w="1000"/>
        <w:gridCol w:w="3300"/>
      </w:tblGrid>
      <w:tr>
        <w:tc>
          <w:tcPr>
            <w:tcW w:type="dxa" w:w="4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Criterion</w:t>
            </w:r>
          </w:p>
        </w:tc>
        <w:tc>
          <w:tcPr>
            <w:tcW w:type="dxa" w:w="9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Score</w:t>
            </w:r>
          </w:p>
        </w:tc>
        <w:tc>
          <w:tcPr>
            <w:tcW w:type="dxa" w:w="1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Weight</w:t>
            </w:r>
          </w:p>
        </w:tc>
        <w:tc>
          <w:tcPr>
            <w:tcW w:type="dxa" w:w="33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Weighted Score</w:t>
            </w:r>
          </w:p>
        </w:tc>
      </w:tr>
      <w:tr>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TAM Size and Growth — U.S. RCM $73B, 11.6% CAGR; patient eng. sub-seg. $9.2B at 12.7% CAGR</w:t>
            </w:r>
          </w:p>
        </w:tc>
        <w:tc>
          <w:tcPr>
            <w:tcW w:type="dxa" w:w="900"/>
            <w:tcBorders>
              <w:top w:val="single" w:color="CCCCCC" w:sz="1"/>
              <w:left w:val="single" w:color="CCCCCC" w:sz="1"/>
              <w:bottom w:val="single" w:color="CCCCCC" w:sz="1"/>
              <w:right w:val="single" w:color="CCCCCC" w:sz="1"/>
            </w:tcBorders>
            <w:shd w:fill="1A7A2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5</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10%</w:t>
            </w:r>
          </w:p>
        </w:tc>
        <w:tc>
          <w:tcPr>
            <w:tcW w:type="dxa" w:w="3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1.00</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Regulatory Tailwinds — Price Transparency EO Feb 2025; CMS Final Rule Nov 2025; NSA enforcement</w:t>
            </w:r>
          </w:p>
        </w:tc>
        <w:tc>
          <w:tcPr>
            <w:tcW w:type="dxa" w:w="900"/>
            <w:tcBorders>
              <w:top w:val="single" w:color="CCCCCC" w:sz="1"/>
              <w:left w:val="single" w:color="CCCCCC" w:sz="1"/>
              <w:bottom w:val="single" w:color="CCCCCC" w:sz="1"/>
              <w:right w:val="single" w:color="CCCCCC" w:sz="1"/>
            </w:tcBorders>
            <w:shd w:fill="1A7A2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5</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8%</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0.80</w:t>
            </w:r>
          </w:p>
        </w:tc>
      </w:tr>
      <w:tr>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Market Maturity — Moderately consolidated at enterprise; fragmented at community/physician level</w:t>
            </w:r>
          </w:p>
        </w:tc>
        <w:tc>
          <w:tcPr>
            <w:tcW w:type="dxa" w:w="900"/>
            <w:tcBorders>
              <w:top w:val="single" w:color="CCCCCC" w:sz="1"/>
              <w:left w:val="single" w:color="CCCCCC" w:sz="1"/>
              <w:bottom w:val="single" w:color="CCCCCC" w:sz="1"/>
              <w:right w:val="single" w:color="CCCCCC" w:sz="1"/>
            </w:tcBorders>
            <w:shd w:fill="92D050" w:val="clear"/>
            <w:tcMar>
              <w:top w:type="dxa" w:w="80"/>
              <w:left w:type="dxa" w:w="120"/>
              <w:bottom w:type="dxa" w:w="80"/>
              <w:right w:type="dxa" w:w="120"/>
            </w:tcMar>
          </w:tcPr>
          <w:p>
            <w:pPr>
              <w:jc w:val="center"/>
            </w:pPr>
            <w:r>
              <w:rPr>
                <w:rFonts w:ascii="Arial" w:cs="Arial" w:eastAsia="Arial" w:hAnsi="Arial"/>
                <w:b/>
                <w:bCs/>
                <w:color w:val="000000"/>
                <w:sz w:val="20"/>
                <w:szCs w:val="20"/>
              </w:rPr>
              <w:t xml:space="preserve">4</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7%</w:t>
            </w:r>
          </w:p>
        </w:tc>
        <w:tc>
          <w:tcPr>
            <w:tcW w:type="dxa" w:w="3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0.56</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Competitive Moat — #1 KLAS 90.3pts (2nd yr); 300M consumer db; 85% EHR coverage; PCI Level 1</w:t>
            </w:r>
          </w:p>
        </w:tc>
        <w:tc>
          <w:tcPr>
            <w:tcW w:type="dxa" w:w="900"/>
            <w:tcBorders>
              <w:top w:val="single" w:color="CCCCCC" w:sz="1"/>
              <w:left w:val="single" w:color="CCCCCC" w:sz="1"/>
              <w:bottom w:val="single" w:color="CCCCCC" w:sz="1"/>
              <w:right w:val="single" w:color="CCCCCC" w:sz="1"/>
            </w:tcBorders>
            <w:shd w:fill="1A7A2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5</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12%</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1.20</w:t>
            </w:r>
          </w:p>
        </w:tc>
      </w:tr>
      <w:tr>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EHR Encroachment Risk — Complementary to EHR; analytics moat mitigates MyChart overlap</w:t>
            </w:r>
          </w:p>
        </w:tc>
        <w:tc>
          <w:tcPr>
            <w:tcW w:type="dxa" w:w="900"/>
            <w:tcBorders>
              <w:top w:val="single" w:color="CCCCCC" w:sz="1"/>
              <w:left w:val="single" w:color="CCCCCC" w:sz="1"/>
              <w:bottom w:val="single" w:color="CCCCCC" w:sz="1"/>
              <w:right w:val="single" w:color="CCCCCC" w:sz="1"/>
            </w:tcBorders>
            <w:shd w:fill="92D050" w:val="clear"/>
            <w:tcMar>
              <w:top w:type="dxa" w:w="80"/>
              <w:left w:type="dxa" w:w="120"/>
              <w:bottom w:type="dxa" w:w="80"/>
              <w:right w:type="dxa" w:w="120"/>
            </w:tcMar>
          </w:tcPr>
          <w:p>
            <w:pPr>
              <w:jc w:val="center"/>
            </w:pPr>
            <w:r>
              <w:rPr>
                <w:rFonts w:ascii="Arial" w:cs="Arial" w:eastAsia="Arial" w:hAnsi="Arial"/>
                <w:b/>
                <w:bCs/>
                <w:color w:val="000000"/>
                <w:sz w:val="20"/>
                <w:szCs w:val="20"/>
              </w:rPr>
              <w:t xml:space="preserve">4</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10%</w:t>
            </w:r>
          </w:p>
        </w:tc>
        <w:tc>
          <w:tcPr>
            <w:tcW w:type="dxa" w:w="3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0.80</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Competitive Benchmarking — #1 KLAS vs Waystar 88.8, Flywire 88.4; broadest product suite</w:t>
            </w:r>
          </w:p>
        </w:tc>
        <w:tc>
          <w:tcPr>
            <w:tcW w:type="dxa" w:w="900"/>
            <w:tcBorders>
              <w:top w:val="single" w:color="CCCCCC" w:sz="1"/>
              <w:left w:val="single" w:color="CCCCCC" w:sz="1"/>
              <w:bottom w:val="single" w:color="CCCCCC" w:sz="1"/>
              <w:right w:val="single" w:color="CCCCCC" w:sz="1"/>
            </w:tcBorders>
            <w:shd w:fill="1A7A2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5</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8%</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0.80</w:t>
            </w:r>
          </w:p>
        </w:tc>
      </w:tr>
      <w:tr>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Customer Retention Quality — NRR ~108%; gross retention ~94%; stable trend</w:t>
            </w:r>
          </w:p>
        </w:tc>
        <w:tc>
          <w:tcPr>
            <w:tcW w:type="dxa" w:w="900"/>
            <w:tcBorders>
              <w:top w:val="single" w:color="CCCCCC" w:sz="1"/>
              <w:left w:val="single" w:color="CCCCCC" w:sz="1"/>
              <w:bottom w:val="single" w:color="CCCCCC" w:sz="1"/>
              <w:right w:val="single" w:color="CCCCCC" w:sz="1"/>
            </w:tcBorders>
            <w:shd w:fill="92D050" w:val="clear"/>
            <w:tcMar>
              <w:top w:type="dxa" w:w="80"/>
              <w:left w:type="dxa" w:w="120"/>
              <w:bottom w:type="dxa" w:w="80"/>
              <w:right w:type="dxa" w:w="120"/>
            </w:tcMar>
          </w:tcPr>
          <w:p>
            <w:pPr>
              <w:jc w:val="center"/>
            </w:pPr>
            <w:r>
              <w:rPr>
                <w:rFonts w:ascii="Arial" w:cs="Arial" w:eastAsia="Arial" w:hAnsi="Arial"/>
                <w:b/>
                <w:bCs/>
                <w:color w:val="000000"/>
                <w:sz w:val="20"/>
                <w:szCs w:val="20"/>
              </w:rPr>
              <w:t xml:space="preserve">4</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12%</w:t>
            </w:r>
          </w:p>
        </w:tc>
        <w:tc>
          <w:tcPr>
            <w:tcW w:type="dxa" w:w="3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0.96</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Revenue Concentration — Top 20 = 38% (manageable); top client &lt; 6%</w:t>
            </w:r>
          </w:p>
        </w:tc>
        <w:tc>
          <w:tcPr>
            <w:tcW w:type="dxa" w:w="900"/>
            <w:tcBorders>
              <w:top w:val="single" w:color="CCCCCC" w:sz="1"/>
              <w:left w:val="single" w:color="CCCCCC" w:sz="1"/>
              <w:bottom w:val="single" w:color="CCCCCC" w:sz="1"/>
              <w:right w:val="single" w:color="CCCCCC" w:sz="1"/>
            </w:tcBorders>
            <w:shd w:fill="FFC000" w:val="clear"/>
            <w:tcMar>
              <w:top w:type="dxa" w:w="80"/>
              <w:left w:type="dxa" w:w="120"/>
              <w:bottom w:type="dxa" w:w="80"/>
              <w:right w:type="dxa" w:w="120"/>
            </w:tcMar>
          </w:tcPr>
          <w:p>
            <w:pPr>
              <w:jc w:val="center"/>
            </w:pPr>
            <w:r>
              <w:rPr>
                <w:rFonts w:ascii="Arial" w:cs="Arial" w:eastAsia="Arial" w:hAnsi="Arial"/>
                <w:b/>
                <w:bCs/>
                <w:color w:val="000000"/>
                <w:sz w:val="20"/>
                <w:szCs w:val="20"/>
              </w:rPr>
              <w:t xml:space="preserve">3</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8%</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0.48</w:t>
            </w:r>
          </w:p>
        </w:tc>
      </w:tr>
      <w:tr>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Contract Quality — 3-5 year contracts; auto-renewal provisions standard</w:t>
            </w:r>
          </w:p>
        </w:tc>
        <w:tc>
          <w:tcPr>
            <w:tcW w:type="dxa" w:w="900"/>
            <w:tcBorders>
              <w:top w:val="single" w:color="CCCCCC" w:sz="1"/>
              <w:left w:val="single" w:color="CCCCCC" w:sz="1"/>
              <w:bottom w:val="single" w:color="CCCCCC" w:sz="1"/>
              <w:right w:val="single" w:color="CCCCCC" w:sz="1"/>
            </w:tcBorders>
            <w:shd w:fill="92D050" w:val="clear"/>
            <w:tcMar>
              <w:top w:type="dxa" w:w="80"/>
              <w:left w:type="dxa" w:w="120"/>
              <w:bottom w:type="dxa" w:w="80"/>
              <w:right w:type="dxa" w:w="120"/>
            </w:tcMar>
          </w:tcPr>
          <w:p>
            <w:pPr>
              <w:jc w:val="center"/>
            </w:pPr>
            <w:r>
              <w:rPr>
                <w:rFonts w:ascii="Arial" w:cs="Arial" w:eastAsia="Arial" w:hAnsi="Arial"/>
                <w:b/>
                <w:bCs/>
                <w:color w:val="000000"/>
                <w:sz w:val="20"/>
                <w:szCs w:val="20"/>
              </w:rPr>
              <w:t xml:space="preserve">4</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8%</w:t>
            </w:r>
          </w:p>
        </w:tc>
        <w:tc>
          <w:tcPr>
            <w:tcW w:type="dxa" w:w="3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0.64</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Cross-Sell Runway — $45M+ identified ARR; Kyruus + TrustCommerce add incremental runway</w:t>
            </w:r>
          </w:p>
        </w:tc>
        <w:tc>
          <w:tcPr>
            <w:tcW w:type="dxa" w:w="900"/>
            <w:tcBorders>
              <w:top w:val="single" w:color="CCCCCC" w:sz="1"/>
              <w:left w:val="single" w:color="CCCCCC" w:sz="1"/>
              <w:bottom w:val="single" w:color="CCCCCC" w:sz="1"/>
              <w:right w:val="single" w:color="CCCCCC" w:sz="1"/>
            </w:tcBorders>
            <w:shd w:fill="1A7A2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5</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8%</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0.80</w:t>
            </w:r>
          </w:p>
        </w:tc>
      </w:tr>
      <w:tr>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GTM Efficiency — 85 quota reps + channel partnerships; pipeline coverage not disclosed</w:t>
            </w:r>
          </w:p>
        </w:tc>
        <w:tc>
          <w:tcPr>
            <w:tcW w:type="dxa" w:w="900"/>
            <w:tcBorders>
              <w:top w:val="single" w:color="CCCCCC" w:sz="1"/>
              <w:left w:val="single" w:color="CCCCCC" w:sz="1"/>
              <w:bottom w:val="single" w:color="CCCCCC" w:sz="1"/>
              <w:right w:val="single" w:color="CCCCCC" w:sz="1"/>
            </w:tcBorders>
            <w:shd w:fill="FFC000" w:val="clear"/>
            <w:tcMar>
              <w:top w:type="dxa" w:w="80"/>
              <w:left w:type="dxa" w:w="120"/>
              <w:bottom w:type="dxa" w:w="80"/>
              <w:right w:type="dxa" w:w="120"/>
            </w:tcMar>
          </w:tcPr>
          <w:p>
            <w:pPr>
              <w:jc w:val="center"/>
            </w:pPr>
            <w:r>
              <w:rPr>
                <w:rFonts w:ascii="Arial" w:cs="Arial" w:eastAsia="Arial" w:hAnsi="Arial"/>
                <w:b/>
                <w:bCs/>
                <w:color w:val="000000"/>
                <w:sz w:val="20"/>
                <w:szCs w:val="20"/>
              </w:rPr>
              <w:t xml:space="preserve">3</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9%</w:t>
            </w:r>
          </w:p>
        </w:tc>
        <w:tc>
          <w:tcPr>
            <w:tcW w:type="dxa" w:w="3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0.54</w:t>
            </w:r>
          </w:p>
        </w:tc>
      </w:tr>
      <w:tr>
        <w:tc>
          <w:tcPr>
            <w:tcW w:type="dxa" w:w="5900"/>
            <w:gridSpan w:val="3"/>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TOTAL COMMERCIAL DD SCORE</w:t>
            </w:r>
          </w:p>
        </w:tc>
        <w:tc>
          <w:tcPr>
            <w:tcW w:type="dxa" w:w="3300"/>
            <w:tcBorders>
              <w:top w:val="single" w:color="CCCCCC" w:sz="1"/>
              <w:left w:val="single" w:color="CCCCCC" w:sz="1"/>
              <w:bottom w:val="single" w:color="CCCCCC" w:sz="1"/>
              <w:right w:val="single" w:color="CCCCCC" w:sz="1"/>
            </w:tcBorders>
            <w:shd w:fill="1A7A2E"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85.8 / 100</w:t>
            </w:r>
          </w:p>
        </w:tc>
      </w:tr>
    </w:tbl>
    <w:p>
      <w:pPr>
        <w:spacing w:after="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3800"/>
      </w:tblGrid>
      <w:tr>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Score Range</w:t>
            </w:r>
          </w:p>
        </w:tc>
        <w:tc>
          <w:tcPr>
            <w:tcW w:type="dxa" w:w="3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Interpretation</w:t>
            </w:r>
          </w:p>
        </w:tc>
        <w:tc>
          <w:tcPr>
            <w:tcW w:type="dxa" w:w="3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RevSpring Result</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80-100</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Strong Proceed</w:t>
            </w:r>
          </w:p>
        </w:tc>
        <w:tc>
          <w:tcPr>
            <w:tcW w:type="dxa" w:w="3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A5C2A"/>
                <w:sz w:val="20"/>
                <w:szCs w:val="20"/>
              </w:rPr>
              <w:t xml:space="preserve">85.8 — STRONG PROCEED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65-79</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Conditional Proceed</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Below 65</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Pass</w:t>
            </w:r>
          </w:p>
        </w:tc>
        <w:tc>
          <w:tcPr>
            <w:tcW w:type="dxa" w:w="3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pBdr>
      <w:spacing w:before="80"/>
    </w:pPr>
    <w:r>
      <w:rPr>
        <w:rFonts w:ascii="Arial" w:cs="Arial" w:eastAsia="Arial" w:hAnsi="Arial"/>
        <w:i/>
        <w:iCs/>
        <w:color w:val="888888"/>
        <w:sz w:val="18"/>
        <w:szCs w:val="18"/>
      </w:rPr>
      <w:t xml:space="preserve">Confidential | Morsebridge Healthcare | For Internal Use Only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5C" w:sz="6"/>
      </w:pBdr>
      <w:tabs>
        <w:tab w:val="right" w:pos="9200"/>
      </w:tabs>
      <w:spacing w:after="80"/>
    </w:pPr>
    <w:r>
      <w:rPr>
        <w:rFonts w:ascii="Arial" w:cs="Arial" w:eastAsia="Arial" w:hAnsi="Arial"/>
        <w:b/>
        <w:bCs/>
        <w:color w:val="1B3A5C"/>
        <w:sz w:val="20"/>
        <w:szCs w:val="20"/>
      </w:rPr>
      <w:t xml:space="preserve">EMAIL DRAFT — COMMERCIAL DD FINDINGS  |  RevSpring, Inc.</w:t>
    </w:r>
    <w:r>
      <w:rPr>
        <w:rFonts w:ascii="Arial" w:cs="Arial" w:eastAsia="Arial" w:hAnsi="Arial"/>
        <w:color w:val="555555"/>
        <w:sz w:val="20"/>
        <w:szCs w:val="20"/>
      </w:rPr>
      <w:t xml:space="preserve">	June 5,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2026-06-08T10:19:50.018Z</dcterms:created>
  <dcterms:modified xsi:type="dcterms:W3CDTF">2026-06-08T10:19:50.020Z</dcterms:modified>
</cp:coreProperties>
</file>

<file path=docProps/custom.xml><?xml version="1.0" encoding="utf-8"?>
<Properties xmlns="http://schemas.openxmlformats.org/officeDocument/2006/custom-properties" xmlns:vt="http://schemas.openxmlformats.org/officeDocument/2006/docPropsVTypes"/>
</file>