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3A5C"/>
          <w:sz w:val="20"/>
          <w:szCs w:val="20"/>
        </w:rPr>
        <w:t xml:space="preserve">COMMERCIAL DUE DILIGENCE</w:t>
      </w:r>
    </w:p>
    <w:p>
      <w:pPr>
        <w:spacing w:after="60"/>
      </w:pPr>
      <w:r>
        <w:rPr>
          <w:rFonts w:ascii="Arial" w:cs="Arial" w:eastAsia="Arial" w:hAnsi="Arial"/>
          <w:b/>
          <w:bCs/>
          <w:color w:val="1B3A5C"/>
          <w:sz w:val="36"/>
          <w:szCs w:val="36"/>
        </w:rPr>
        <w:t xml:space="preserve">MARKET ANALYSIS REPORT</w:t>
      </w:r>
    </w:p>
    <w:p>
      <w:pPr>
        <w:spacing w:after="60"/>
      </w:pPr>
      <w:r>
        <w:rPr>
          <w:rFonts w:ascii="Arial" w:cs="Arial" w:eastAsia="Arial" w:hAnsi="Arial"/>
          <w:color w:val="444444"/>
          <w:sz w:val="24"/>
          <w:szCs w:val="24"/>
        </w:rPr>
        <w:t xml:space="preserve">RevSpring, Inc.  |  Patient Engagement &amp; Revenue Cycle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Prepared by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Morsebridge Healthcare — AI Deal Team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5,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Company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RevSpring, Inc.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Deal Type</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Buyout — Frazier Healthcare Partners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Document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Analysis — Commercial DD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 For Internal Use Only</w:t>
            </w:r>
          </w:p>
        </w:tc>
      </w:tr>
    </w:tbl>
    <w:p>
      <w:pPr>
        <w:spacing w:after="80"/>
      </w:pPr>
      <w:r>
        <w:t xml:space="preserve"/>
      </w:r>
    </w:p>
    <w:p>
      <w:pPr>
        <w:spacing w:after="100"/>
      </w:pPr>
      <w:r>
        <w:rPr>
          <w:rFonts w:ascii="Arial" w:cs="Arial" w:eastAsia="Arial" w:hAnsi="Arial"/>
          <w:b w:val="false"/>
          <w:bCs w:val="false"/>
          <w:color w:val="2E6DB4"/>
          <w:sz w:val="20"/>
          <w:szCs w:val="20"/>
        </w:rPr>
        <w:t xml:space="preserve">Confidential | Morsebridge Healthcare | For Internal Use Only</w:t>
      </w:r>
    </w:p>
    <w:p>
      <w:r>
        <w:br w:type="page"/>
      </w:r>
    </w:p>
    <w:p>
      <w:pPr>
        <w:shd w:fill="1B3A5C" w:val="clear"/>
        <w:spacing w:after="120" w:before="240"/>
      </w:pPr>
      <w:r>
        <w:rPr>
          <w:rFonts w:ascii="Arial" w:cs="Arial" w:eastAsia="Arial" w:hAnsi="Arial"/>
          <w:b/>
          <w:bCs/>
          <w:color w:val="FFFFFF"/>
          <w:sz w:val="26"/>
          <w:szCs w:val="26"/>
        </w:rPr>
        <w:t xml:space="preserve">1. Executive Summary</w:t>
      </w:r>
    </w:p>
    <w:p>
      <w:pPr>
        <w:spacing w:after="100"/>
      </w:pPr>
      <w:r>
        <w:rPr>
          <w:rFonts w:ascii="Arial" w:cs="Arial" w:eastAsia="Arial" w:hAnsi="Arial"/>
          <w:b w:val="false"/>
          <w:bCs w:val="false"/>
          <w:color w:val="000000"/>
          <w:sz w:val="20"/>
          <w:szCs w:val="20"/>
        </w:rPr>
        <w:t xml:space="preserve">RevSpring, Inc. operates in one of the most structurally attractive sub-segments of the Healthcare IT market: patient financial engagement and revenue cycle communications. The U.S. RCM market stood at approximately $73.0 billion in 2026 and is growing at an 11.6% CAGR through 2035, driven by rising patient financial responsibility, intensifying price transparency regulation, and accelerating outsourcing of RCM workflows by cash-constrained providers. RevSpring's primary addressable segment — patient financial communications and engagement software — is estimated at $9.2 billion in 2024, growing to $16.8 billion by 2028 at approximately a 12.7% CAGR.</w:t>
      </w:r>
    </w:p>
    <w:p>
      <w:pPr>
        <w:spacing w:after="100"/>
      </w:pPr>
      <w:r>
        <w:rPr>
          <w:rFonts w:ascii="Arial" w:cs="Arial" w:eastAsia="Arial" w:hAnsi="Arial"/>
          <w:b w:val="false"/>
          <w:bCs w:val="false"/>
          <w:color w:val="000000"/>
          <w:sz w:val="20"/>
          <w:szCs w:val="20"/>
        </w:rPr>
        <w:t xml:space="preserve">The regulatory environment as of mid-2026 is unambiguously tailwind-positive for RevSpring's core product suite. The February 2025 Executive Order on healthcare price transparency, the November 2025 CMS Hospital Price Transparency Final Rule effective April 2026, and sustained enforcement focus on the No Surprises Act collectively mandate the workflows that RevSpring's PreService, PersonaPay, and Engage IQ platforms deliver. This is a rare instance of regulatory change driving product-market fit rather than threatening it, and represents a defensible, multi-year revenue tailwind.</w:t>
      </w:r>
    </w:p>
    <w:p>
      <w:pPr>
        <w:spacing w:after="100"/>
      </w:pPr>
      <w:r>
        <w:rPr>
          <w:rFonts w:ascii="Arial" w:cs="Arial" w:eastAsia="Arial" w:hAnsi="Arial"/>
          <w:b w:val="false"/>
          <w:bCs w:val="false"/>
          <w:color w:val="000000"/>
          <w:sz w:val="20"/>
          <w:szCs w:val="20"/>
        </w:rPr>
        <w:t xml:space="preserve">Under Frazier's ownership, RevSpring has accelerated its platform expansion with two material acquisitions: Kyruus Health (Q4 2025, adding provider data, search, and scheduling) and TrustCommerce (February 2026, adding integrated payment gateway and tokenization). These moves extend RevSpring's SAM upstream into care access and downstream into payments processing, reinforcing the thesis of a full-stack patient financial journey platform with limited direct analogues at scale in the market.</w:t>
      </w:r>
    </w:p>
    <w:p>
      <w:pPr>
        <w:spacing w:after="100"/>
      </w:pPr>
      <w:r>
        <w:rPr>
          <w:rFonts w:ascii="Arial" w:cs="Arial" w:eastAsia="Arial" w:hAnsi="Arial"/>
          <w:b w:val="false"/>
          <w:bCs w:val="false"/>
          <w:color w:val="000000"/>
          <w:sz w:val="20"/>
          <w:szCs w:val="20"/>
        </w:rPr>
        <w:t xml:space="preserve">Morsebridge view: market fundamentals support a 3x+ return thesis. TAM, growth rate, and regulatory tailwinds are all exceptional. The principal market risk is competitive encroachment by Epic MyChart into adjacent patient portal workflows, and the structural decline of print-based revenue as digital communications grow as a percentage of total mix.</w:t>
      </w:r>
    </w:p>
    <w:p>
      <w:pPr>
        <w:spacing w:after="80"/>
      </w:pPr>
      <w:r>
        <w:t xml:space="preserve"/>
      </w:r>
    </w:p>
    <w:p>
      <w:pPr>
        <w:shd w:fill="1B3A5C" w:val="clear"/>
        <w:spacing w:after="120" w:before="240"/>
      </w:pPr>
      <w:r>
        <w:rPr>
          <w:rFonts w:ascii="Arial" w:cs="Arial" w:eastAsia="Arial" w:hAnsi="Arial"/>
          <w:b/>
          <w:bCs/>
          <w:color w:val="FFFFFF"/>
          <w:sz w:val="26"/>
          <w:szCs w:val="26"/>
        </w:rPr>
        <w:t xml:space="preserve">2. Market Definition &amp; Scope</w:t>
      </w:r>
    </w:p>
    <w:p>
      <w:pPr>
        <w:spacing w:after="100"/>
      </w:pPr>
      <w:r>
        <w:rPr>
          <w:rFonts w:ascii="Arial" w:cs="Arial" w:eastAsia="Arial" w:hAnsi="Arial"/>
          <w:b w:val="false"/>
          <w:bCs w:val="false"/>
          <w:color w:val="000000"/>
          <w:sz w:val="20"/>
          <w:szCs w:val="20"/>
        </w:rPr>
        <w:t xml:space="preserve">RevSpring competes across three nested, interconnected segments of the healthcare technology market:</w:t>
      </w:r>
    </w:p>
    <w:p>
      <w:pPr>
        <w:pStyle w:val="ListParagraph"/>
        <w:numPr>
          <w:ilvl w:val="0"/>
          <w:numId w:val="2"/>
        </w:numPr>
        <w:spacing w:after="80"/>
      </w:pPr>
      <w:r>
        <w:rPr>
          <w:rFonts w:ascii="Arial" w:cs="Arial" w:eastAsia="Arial" w:hAnsi="Arial"/>
          <w:sz w:val="20"/>
          <w:szCs w:val="20"/>
        </w:rPr>
        <w:t xml:space="preserve">U.S. Healthcare Revenue Cycle Management (RCM): The broadest addressable market, encompassing all software, services, and technology that support the end-to-end financial and administrative workflow of healthcare providers and payers. The U.S. RCM market was valued at approximately $73.0 billion in 2026 and is projected to reach $195.9 billion by 2035. RevSpring participates in the patient-facing financial engagement sub-layer, which is distinct from payer-side claims adjudication, coding automation, and clearinghouse segments.</w:t>
      </w:r>
    </w:p>
    <w:p>
      <w:pPr>
        <w:pStyle w:val="ListParagraph"/>
        <w:numPr>
          <w:ilvl w:val="0"/>
          <w:numId w:val="2"/>
        </w:numPr>
        <w:spacing w:after="80"/>
      </w:pPr>
      <w:r>
        <w:rPr>
          <w:rFonts w:ascii="Arial" w:cs="Arial" w:eastAsia="Arial" w:hAnsi="Arial"/>
          <w:sz w:val="20"/>
          <w:szCs w:val="20"/>
        </w:rPr>
        <w:t xml:space="preserve">Patient Financial Engagement and Communications: RevSpring's primary segment, covering omnichannel patient communications (print, email, SMS, voice), digital billing and payment portals, pre-service cost estimation, eligibility verification, and patient accounts receivable management. This segment is estimated at $9.2 billion in 2024, growing to $16.8 billion by 2028, and represents the highest-growth, most-differentiated layer of the RCM stack.</w:t>
      </w:r>
    </w:p>
    <w:p>
      <w:pPr>
        <w:pStyle w:val="ListParagraph"/>
        <w:numPr>
          <w:ilvl w:val="0"/>
          <w:numId w:val="2"/>
        </w:numPr>
        <w:spacing w:after="80"/>
      </w:pPr>
      <w:r>
        <w:rPr>
          <w:rFonts w:ascii="Arial" w:cs="Arial" w:eastAsia="Arial" w:hAnsi="Arial"/>
          <w:sz w:val="20"/>
          <w:szCs w:val="20"/>
        </w:rPr>
        <w:t xml:space="preserve">Integrated Healthcare Payments: The payments processing and reconciliation sub-segment, in which RevSpring competes through PersonaPay and the recently acquired TrustCommerce payment gateway. This sub-segment carries strong network effects and high switching costs once embedded in provider workflows, and represents a growing share of RevSpring's total revenue mix.</w:t>
      </w:r>
    </w:p>
    <w:p>
      <w:pPr>
        <w:spacing w:after="80"/>
      </w:pPr>
      <w:r>
        <w:t xml:space="preserve"/>
      </w:r>
    </w:p>
    <w:p>
      <w:pPr>
        <w:spacing w:after="100"/>
      </w:pPr>
      <w:r>
        <w:rPr>
          <w:rFonts w:ascii="Arial" w:cs="Arial" w:eastAsia="Arial" w:hAnsi="Arial"/>
          <w:b w:val="false"/>
          <w:bCs w:val="false"/>
          <w:color w:val="000000"/>
          <w:sz w:val="20"/>
          <w:szCs w:val="20"/>
        </w:rPr>
        <w:t xml:space="preserve">RevSpring's target customer base spans large IDNs (48% of revenue), community and regional hospitals (31%), physician group practices (13%), and RCM outsourcers and BPOs (8%). With 2,000+ active clients, RevSpring represents an estimated 10-15% penetration of all U.S. healthcare provider organizations, indicating substantial whitespace for new logo growth, particularly in the community hospital and physician group segments.</w:t>
      </w:r>
    </w:p>
    <w:p>
      <w:pPr>
        <w:spacing w:after="80"/>
      </w:pPr>
      <w:r>
        <w:t xml:space="preserve"/>
      </w:r>
    </w:p>
    <w:p>
      <w:pPr>
        <w:shd w:fill="1B3A5C" w:val="clear"/>
        <w:spacing w:after="120" w:before="240"/>
      </w:pPr>
      <w:r>
        <w:rPr>
          <w:rFonts w:ascii="Arial" w:cs="Arial" w:eastAsia="Arial" w:hAnsi="Arial"/>
          <w:b/>
          <w:bCs/>
          <w:color w:val="FFFFFF"/>
          <w:sz w:val="26"/>
          <w:szCs w:val="26"/>
        </w:rPr>
        <w:t xml:space="preserve">3. Market Size &amp; Growth</w:t>
      </w:r>
    </w:p>
    <w:p>
      <w:pPr>
        <w:spacing w:after="100"/>
      </w:pPr>
      <w:r>
        <w:rPr>
          <w:rFonts w:ascii="Arial" w:cs="Arial" w:eastAsia="Arial" w:hAnsi="Arial"/>
          <w:b w:val="false"/>
          <w:bCs w:val="false"/>
          <w:color w:val="000000"/>
          <w:sz w:val="20"/>
          <w:szCs w:val="20"/>
        </w:rPr>
        <w:t xml:space="preserve">The following table summarizes market sizing across RevSpring's addressable segments. All figures reflect public market research and CIM-disclosed estimates. Source variations between market research providers are noted.</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800"/>
        <w:gridCol w:w="1800"/>
      </w:tblGrid>
      <w:tr>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7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2024</w:t>
            </w:r>
          </w:p>
        </w:tc>
        <w:tc>
          <w:tcPr>
            <w:tcW w:type="dxa" w:w="17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Forecast</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CAGR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U.S. RCM Market (Total)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$58.6B</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$73.0B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$195.9B (2035)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Patient Engagement Solutions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$26.0B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$29.3B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$51.7B (2030)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Patient Financial Engagement (CIM)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$9.2B</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~$10.5B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$16.8B (2028)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RevSpring Est. SAM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~$6.5B (2030)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w:t>
            </w:r>
          </w:p>
        </w:tc>
      </w:tr>
    </w:tbl>
    <w:p>
      <w:pPr>
        <w:spacing w:after="80"/>
      </w:pPr>
      <w:r>
        <w:t xml:space="preserve"/>
      </w:r>
    </w:p>
    <w:p>
      <w:pPr>
        <w:spacing w:after="100"/>
      </w:pPr>
      <w:r>
        <w:rPr>
          <w:rFonts w:ascii="Arial" w:cs="Arial" w:eastAsia="Arial" w:hAnsi="Arial"/>
          <w:b w:val="false"/>
          <w:bCs w:val="false"/>
          <w:color w:val="2E6DB4"/>
          <w:sz w:val="20"/>
          <w:szCs w:val="20"/>
        </w:rPr>
        <w:t xml:space="preserve">Sources: MarketsandMarkets (Patient Engagement Solutions, August 2025); Towards Healthcare (U.S. RCM Market, 2026); CIM Section 3 (patient financial engagement sub-segment). RevSpring SAM is a Morsebridge estimate based on patient-facing engagement and payments workflows only.</w:t>
      </w:r>
    </w:p>
    <w:p>
      <w:pPr>
        <w:spacing w:after="80"/>
      </w:pPr>
      <w:r>
        <w:t xml:space="preserve"/>
      </w:r>
    </w:p>
    <w:p>
      <w:pPr>
        <w:spacing w:after="100"/>
      </w:pPr>
      <w:r>
        <w:rPr>
          <w:rFonts w:ascii="Arial" w:cs="Arial" w:eastAsia="Arial" w:hAnsi="Arial"/>
          <w:b/>
          <w:bCs/>
          <w:color w:val="C00000"/>
          <w:sz w:val="20"/>
          <w:szCs w:val="20"/>
        </w:rPr>
        <w:t xml:space="preserve">[DD FLAG]  </w:t>
      </w:r>
      <w:r>
        <w:rPr>
          <w:rFonts w:ascii="Arial" w:cs="Arial" w:eastAsia="Arial" w:hAnsi="Arial"/>
          <w:sz w:val="20"/>
          <w:szCs w:val="20"/>
        </w:rPr>
        <w:t xml:space="preserve">The CIM cites a U.S. RCM TAM of $52.1B (2023) growing to $86.4B (2028) at 10.8% CAGR. Independent research sourced in this analysis reports the U.S. RCM market at $73.0B in 2026, materially higher than the CIM figure, consistent with the stated CAGR trajectory. Morsebridge should confirm whether the CIM's TAM definition uses the same segmentation as third-party sources, as definitional differences (total RCM vs. SaaS/software only) could explain the gap.</w:t>
      </w:r>
    </w:p>
    <w:p>
      <w:pPr>
        <w:spacing w:after="80"/>
      </w:pPr>
      <w:r>
        <w:t xml:space="preserve"/>
      </w:r>
    </w:p>
    <w:p>
      <w:pPr>
        <w:spacing w:after="100"/>
      </w:pPr>
      <w:r>
        <w:rPr>
          <w:rFonts w:ascii="Arial" w:cs="Arial" w:eastAsia="Arial" w:hAnsi="Arial"/>
          <w:b w:val="false"/>
          <w:bCs w:val="false"/>
          <w:color w:val="000000"/>
          <w:sz w:val="20"/>
          <w:szCs w:val="20"/>
        </w:rPr>
        <w:t xml:space="preserve">The 11.6-12.7% CAGR across RevSpring's addressable segments materially exceeds the broader healthcare services sector average of 6-8% and reflects four durable structural drivers: (1) rising patient out-of-pocket responsibility as high-deductible health plans now cover more than 55% of commercially insured Americans, with average patient exposure exceeding $1,700 per episode; (2) accelerating outsourcing of patient-facing RCM by providers under staffing and margin pressure; (3) mandatory compliance burden from price transparency regulation driving demand for compliant front-end tools; and (4) consumer expectations for digital-first payment experiences compelling even traditional providers to modernize legacy billing workflows.</w:t>
      </w:r>
    </w:p>
    <w:p>
      <w:pPr>
        <w:spacing w:after="80"/>
      </w:pPr>
      <w:r>
        <w:t xml:space="preserve"/>
      </w:r>
    </w:p>
    <w:p>
      <w:pPr>
        <w:shd w:fill="1B3A5C" w:val="clear"/>
        <w:spacing w:after="120" w:before="240"/>
      </w:pPr>
      <w:r>
        <w:rPr>
          <w:rFonts w:ascii="Arial" w:cs="Arial" w:eastAsia="Arial" w:hAnsi="Arial"/>
          <w:b/>
          <w:bCs/>
          <w:color w:val="FFFFFF"/>
          <w:sz w:val="26"/>
          <w:szCs w:val="26"/>
        </w:rPr>
        <w:t xml:space="preserve">4. Market Structure &amp; Dynamics</w:t>
      </w:r>
    </w:p>
    <w:p>
      <w:pPr>
        <w:spacing w:after="100"/>
      </w:pPr>
      <w:r>
        <w:rPr>
          <w:rFonts w:ascii="Arial" w:cs="Arial" w:eastAsia="Arial" w:hAnsi="Arial"/>
          <w:b w:val="false"/>
          <w:bCs w:val="false"/>
          <w:color w:val="000000"/>
          <w:sz w:val="20"/>
          <w:szCs w:val="20"/>
        </w:rPr>
        <w:t xml:space="preserve">The patient financial engagement market is moderately consolidated at the large IDN level — where RevSpring, Waystar, Experian Health, Cedar, Flywire, and Epic MyChart account for the majority of software spend — but remains meaningfully fragmented at the community hospital and physician group levels. Experian Health serves over 60% of U.S. hospitals across its RCM product suite, underscoring the breadth of market coverage that legacy platforms have achieved, but RevSpring's #1 KLAS ranking with 90.3 points (versus Waystar at 88.8 and Flywire at 88.4) confirms it leads on product quality and customer satisfaction metrics.</w:t>
      </w:r>
    </w:p>
    <w:p>
      <w:pPr>
        <w:spacing w:after="100"/>
      </w:pPr>
      <w:r>
        <w:rPr>
          <w:rFonts w:ascii="Arial" w:cs="Arial" w:eastAsia="Arial" w:hAnsi="Arial"/>
          <w:b w:val="false"/>
          <w:bCs w:val="false"/>
          <w:color w:val="000000"/>
          <w:sz w:val="20"/>
          <w:szCs w:val="20"/>
        </w:rPr>
        <w:t xml:space="preserve">Four dynamics are reshaping the market structure:</w:t>
      </w:r>
    </w:p>
    <w:p>
      <w:pPr>
        <w:pStyle w:val="ListParagraph"/>
        <w:numPr>
          <w:ilvl w:val="0"/>
          <w:numId w:val="2"/>
        </w:numPr>
        <w:spacing w:after="80"/>
      </w:pPr>
      <w:r>
        <w:rPr>
          <w:rFonts w:ascii="Arial" w:cs="Arial" w:eastAsia="Arial" w:hAnsi="Arial"/>
          <w:sz w:val="20"/>
          <w:szCs w:val="20"/>
        </w:rPr>
        <w:t xml:space="preserve">Vendor consolidation: PE-sponsored platform-building is accelerating across the patient engagement and RCM landscape. RevSpring's own M&amp;A pace under Frazier (two acquisitions in 12 months) and the New Mountain Capital merger of Access Healthcare, SmarterDx, and Thoughtful.ai into a competing AI-RCM platform signal that the consolidation cycle is intensifying. Fragmented point-solution vendors face increasing pressure to join or be acquired by larger platforms.</w:t>
      </w:r>
    </w:p>
    <w:p>
      <w:pPr>
        <w:pStyle w:val="ListParagraph"/>
        <w:numPr>
          <w:ilvl w:val="0"/>
          <w:numId w:val="2"/>
        </w:numPr>
        <w:spacing w:after="80"/>
      </w:pPr>
      <w:r>
        <w:rPr>
          <w:rFonts w:ascii="Arial" w:cs="Arial" w:eastAsia="Arial" w:hAnsi="Arial"/>
          <w:sz w:val="20"/>
          <w:szCs w:val="20"/>
        </w:rPr>
        <w:t xml:space="preserve">EHR-native functionality expansion: Epic and Oracle Health are extending native patient portal and billing module capabilities (Epic MyChart, Oracle Health Financial) creating incremental pressure on standalone patient engagement vendors. RevSpring's mitigant is its bidirectional EHR integrations covering approximately 85% of the U.S. hospital market, positioning it as a complementary workflow layer that enhances rather than competes with EHR functionality.</w:t>
      </w:r>
    </w:p>
    <w:p>
      <w:pPr>
        <w:pStyle w:val="ListParagraph"/>
        <w:numPr>
          <w:ilvl w:val="0"/>
          <w:numId w:val="2"/>
        </w:numPr>
        <w:spacing w:after="80"/>
      </w:pPr>
      <w:r>
        <w:rPr>
          <w:rFonts w:ascii="Arial" w:cs="Arial" w:eastAsia="Arial" w:hAnsi="Arial"/>
          <w:sz w:val="20"/>
          <w:szCs w:val="20"/>
        </w:rPr>
        <w:t xml:space="preserve">AI and autonomous billing: Large language models and autonomous agents are being embedded into RCM workflows, with Best in KLAS 2025/2026 recognizing SmarterDx and Fathom for autonomous coding. RevSpring's Engage IQ platform incorporates AI-powered communication personalization; continued AI investment is necessary to maintain product leadership.</w:t>
      </w:r>
    </w:p>
    <w:p>
      <w:pPr>
        <w:pStyle w:val="ListParagraph"/>
        <w:numPr>
          <w:ilvl w:val="0"/>
          <w:numId w:val="2"/>
        </w:numPr>
        <w:spacing w:after="80"/>
      </w:pPr>
      <w:r>
        <w:rPr>
          <w:rFonts w:ascii="Arial" w:cs="Arial" w:eastAsia="Arial" w:hAnsi="Arial"/>
          <w:sz w:val="20"/>
          <w:szCs w:val="20"/>
        </w:rPr>
        <w:t xml:space="preserve">Integrated payments momentum: RevSpring's February 2026 acquisition of TrustCommerce signals strategic intent to own the payments processing layer — a move consistent with the broader market trend toward integrated, single-vendor financial journey platforms. Cedar's processing of $10B+ in annual patient payments demonstrates the strategic value and scale achievable in this layer.</w:t>
      </w:r>
    </w:p>
    <w:p>
      <w:pPr>
        <w:spacing w:after="80"/>
      </w:pPr>
      <w:r>
        <w:t xml:space="preserve"/>
      </w:r>
    </w:p>
    <w:p>
      <w:pPr>
        <w:shd w:fill="1B3A5C" w:val="clear"/>
        <w:spacing w:after="120" w:before="240"/>
      </w:pPr>
      <w:r>
        <w:rPr>
          <w:rFonts w:ascii="Arial" w:cs="Arial" w:eastAsia="Arial" w:hAnsi="Arial"/>
          <w:b/>
          <w:bCs/>
          <w:color w:val="FFFFFF"/>
          <w:sz w:val="26"/>
          <w:szCs w:val="26"/>
        </w:rPr>
        <w:t xml:space="preserve">5. Key Growth Drivers</w:t>
      </w:r>
    </w:p>
    <w:p>
      <w:pPr>
        <w:pBdr>
          <w:bottom w:val="single" w:color="D6E4F0" w:sz="4"/>
        </w:pBdr>
        <w:spacing w:after="80" w:before="160"/>
      </w:pPr>
      <w:r>
        <w:rPr>
          <w:rFonts w:ascii="Arial" w:cs="Arial" w:eastAsia="Arial" w:hAnsi="Arial"/>
          <w:b/>
          <w:bCs/>
          <w:color w:val="1B3A5C"/>
          <w:sz w:val="22"/>
          <w:szCs w:val="22"/>
        </w:rPr>
        <w:t xml:space="preserve">Driver 1 — Regulatory Mandates Creating Demand Pull</w:t>
      </w:r>
    </w:p>
    <w:p>
      <w:pPr>
        <w:spacing w:after="100"/>
      </w:pPr>
      <w:r>
        <w:rPr>
          <w:rFonts w:ascii="Arial" w:cs="Arial" w:eastAsia="Arial" w:hAnsi="Arial"/>
          <w:b w:val="false"/>
          <w:bCs w:val="false"/>
          <w:color w:val="000000"/>
          <w:sz w:val="20"/>
          <w:szCs w:val="20"/>
        </w:rPr>
        <w:t xml:space="preserve">The February 2025 Executive Order on healthcare price transparency and the November 2025 CMS Hospital Price Transparency Final Rule create mandated workflows that align directly with RevSpring's PreService product. As CMS strengthens penalties and adds compliance attestation requirements effective April 2026, providers without compliant front-end tools face material regulatory exposure. This positions RevSpring's PreService and Engage IQ tools as compliance infrastructure, not discretionary technology.</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000"/>
      </w:tblGrid>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3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 on RevSpring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 Transparency EO (Feb 2025)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Hospitals must publish actual prices; standardized format by May 2025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tailwind: PreService cost estimation becomes mandated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CMS Hospital Price Transparency Rule (Nov 2025, eff. Apr 2026)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Strengthened MRF requirements; compliance attestation mandatory; increased penalties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Increases urgency for compliant front-end adoption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Surprises Act (enforcement focus 2025)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Faith Estimates required; no surprise out-of-network billing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Drives demand for PreService eligibility and GFE workflow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FHIR API Mandate (health plans, 2026)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plans required to adopt HL7 FHIR APIs for data exchange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Accelerates interoperability; benefits RevSpring API-first architecture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TCPA / FCC Consent Rules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express consent for automated outreach; evolving FCC rules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risk for 1.5B+ annual communication volume</w:t>
            </w:r>
          </w:p>
        </w:tc>
      </w:tr>
    </w:tbl>
    <w:p>
      <w:pPr>
        <w:spacing w:after="80"/>
      </w:pPr>
      <w:r>
        <w:t xml:space="preserve"/>
      </w:r>
    </w:p>
    <w:p>
      <w:pPr>
        <w:pBdr>
          <w:bottom w:val="single" w:color="D6E4F0" w:sz="4"/>
        </w:pBdr>
        <w:spacing w:after="80" w:before="160"/>
      </w:pPr>
      <w:r>
        <w:rPr>
          <w:rFonts w:ascii="Arial" w:cs="Arial" w:eastAsia="Arial" w:hAnsi="Arial"/>
          <w:b/>
          <w:bCs/>
          <w:color w:val="1B3A5C"/>
          <w:sz w:val="22"/>
          <w:szCs w:val="22"/>
        </w:rPr>
        <w:t xml:space="preserve">Driver 2 — Rising Patient Financial Responsibility</w:t>
      </w:r>
    </w:p>
    <w:p>
      <w:pPr>
        <w:spacing w:after="100"/>
      </w:pPr>
      <w:r>
        <w:rPr>
          <w:rFonts w:ascii="Arial" w:cs="Arial" w:eastAsia="Arial" w:hAnsi="Arial"/>
          <w:b w:val="false"/>
          <w:bCs w:val="false"/>
          <w:color w:val="000000"/>
          <w:sz w:val="20"/>
          <w:szCs w:val="20"/>
        </w:rPr>
        <w:t xml:space="preserve">High-deductible health plans now cover more than 55% of commercially insured Americans, with average patient out-of-pocket exposure exceeding $1,700 per episode. This structural shift has elevated patient collections as a top-three revenue cycle priority for U.S. health systems. RevSpring's behavioral analytics engine, drawing on 300M+ consumer profiles, enables outreach personalization that demonstrably improves collection rates — KLAS customer data indicates a 15-50% increase in online payment rates for RevSpring PersonaPay clients.</w:t>
      </w:r>
    </w:p>
    <w:p>
      <w:pPr>
        <w:pBdr>
          <w:bottom w:val="single" w:color="D6E4F0" w:sz="4"/>
        </w:pBdr>
        <w:spacing w:after="80" w:before="160"/>
      </w:pPr>
      <w:r>
        <w:rPr>
          <w:rFonts w:ascii="Arial" w:cs="Arial" w:eastAsia="Arial" w:hAnsi="Arial"/>
          <w:b/>
          <w:bCs/>
          <w:color w:val="1B3A5C"/>
          <w:sz w:val="22"/>
          <w:szCs w:val="22"/>
        </w:rPr>
        <w:t xml:space="preserve">Driver 3 — Outsourcing and Staffing Constraints</w:t>
      </w:r>
    </w:p>
    <w:p>
      <w:pPr>
        <w:spacing w:after="100"/>
      </w:pPr>
      <w:r>
        <w:rPr>
          <w:rFonts w:ascii="Arial" w:cs="Arial" w:eastAsia="Arial" w:hAnsi="Arial"/>
          <w:b w:val="false"/>
          <w:bCs w:val="false"/>
          <w:color w:val="000000"/>
          <w:sz w:val="20"/>
          <w:szCs w:val="20"/>
        </w:rPr>
        <w:t xml:space="preserve">Persistent nursing and administrative staffing shortages are accelerating the shift from in-house to outsourced and technology-enabled RCM workflows. RevSpring's ARM accounts receivable management service and full-outsourcing capabilities serve this demand directly, and the Company's 2,000+ client referral network creates organic inbound demand within regional health system peer groups.</w:t>
      </w:r>
    </w:p>
    <w:p>
      <w:pPr>
        <w:pBdr>
          <w:bottom w:val="single" w:color="D6E4F0" w:sz="4"/>
        </w:pBdr>
        <w:spacing w:after="80" w:before="160"/>
      </w:pPr>
      <w:r>
        <w:rPr>
          <w:rFonts w:ascii="Arial" w:cs="Arial" w:eastAsia="Arial" w:hAnsi="Arial"/>
          <w:b/>
          <w:bCs/>
          <w:color w:val="1B3A5C"/>
          <w:sz w:val="22"/>
          <w:szCs w:val="22"/>
        </w:rPr>
        <w:t xml:space="preserve">Driver 4 — Cross-Sell Runway and Platform Expansion</w:t>
      </w:r>
    </w:p>
    <w:p>
      <w:pPr>
        <w:spacing w:after="100"/>
      </w:pPr>
      <w:r>
        <w:rPr>
          <w:rFonts w:ascii="Arial" w:cs="Arial" w:eastAsia="Arial" w:hAnsi="Arial"/>
          <w:b w:val="false"/>
          <w:bCs w:val="false"/>
          <w:color w:val="000000"/>
          <w:sz w:val="20"/>
          <w:szCs w:val="20"/>
        </w:rPr>
        <w:t xml:space="preserve">RevSpring has identified approximately $45M+ in incremental ARR from cross-selling PreService and Engage IQ into its existing client base. The Kyruus Health acquisition (Q4 2025) adds provider search and scheduling, creating upstream entry into the care access journey and extending RevSpring's SAM by an estimated $1-2B. The TrustCommerce acquisition (February 2026) adds integrated payment processing, enabling RevSpring to capture transaction-based revenue previously flowing to third-party payment gateways.</w:t>
      </w:r>
    </w:p>
    <w:p>
      <w:pPr>
        <w:pBdr>
          <w:bottom w:val="single" w:color="D6E4F0" w:sz="4"/>
        </w:pBdr>
        <w:spacing w:after="80" w:before="160"/>
      </w:pPr>
      <w:r>
        <w:rPr>
          <w:rFonts w:ascii="Arial" w:cs="Arial" w:eastAsia="Arial" w:hAnsi="Arial"/>
          <w:b/>
          <w:bCs/>
          <w:color w:val="1B3A5C"/>
          <w:sz w:val="22"/>
          <w:szCs w:val="22"/>
        </w:rPr>
        <w:t xml:space="preserve">Driver 5 — Payer Market Expansion</w:t>
      </w:r>
    </w:p>
    <w:p>
      <w:pPr>
        <w:spacing w:after="100"/>
      </w:pPr>
      <w:r>
        <w:rPr>
          <w:rFonts w:ascii="Arial" w:cs="Arial" w:eastAsia="Arial" w:hAnsi="Arial"/>
          <w:b w:val="false"/>
          <w:bCs w:val="false"/>
          <w:color w:val="000000"/>
          <w:sz w:val="20"/>
          <w:szCs w:val="20"/>
        </w:rPr>
        <w:t xml:space="preserve">RevSpring's communications, payments, and analytics infrastructure is directly applicable to the payer market (health plans, managed care organizations), which the CIM identifies as a $2-3B incremental opportunity. No payer revenue is disclosed in the CIM, but the FHIR API mandate effective 2026 creates a regulatory entry point for RevSpring to offer payer-facing patient engagement and prior authorization communication tools.</w:t>
      </w:r>
    </w:p>
    <w:p>
      <w:pPr>
        <w:spacing w:after="80"/>
      </w:pPr>
      <w:r>
        <w:t xml:space="preserve"/>
      </w:r>
    </w:p>
    <w:p>
      <w:pPr>
        <w:shd w:fill="1B3A5C" w:val="clear"/>
        <w:spacing w:after="120" w:before="240"/>
      </w:pPr>
      <w:r>
        <w:rPr>
          <w:rFonts w:ascii="Arial" w:cs="Arial" w:eastAsia="Arial" w:hAnsi="Arial"/>
          <w:b/>
          <w:bCs/>
          <w:color w:val="FFFFFF"/>
          <w:sz w:val="26"/>
          <w:szCs w:val="26"/>
        </w:rPr>
        <w:t xml:space="preserve">6. Key Risks &amp; Headwinds</w:t>
      </w:r>
    </w:p>
    <w:p>
      <w:pPr>
        <w:pBdr>
          <w:bottom w:val="single" w:color="D6E4F0" w:sz="4"/>
        </w:pBdr>
        <w:spacing w:after="80" w:before="160"/>
      </w:pPr>
      <w:r>
        <w:rPr>
          <w:rFonts w:ascii="Arial" w:cs="Arial" w:eastAsia="Arial" w:hAnsi="Arial"/>
          <w:b/>
          <w:bCs/>
          <w:color w:val="1B3A5C"/>
          <w:sz w:val="22"/>
          <w:szCs w:val="22"/>
        </w:rPr>
        <w:t xml:space="preserve">Risk 1 — EHR Native Functionality Encroachment</w:t>
      </w:r>
    </w:p>
    <w:p>
      <w:pPr>
        <w:spacing w:after="100"/>
      </w:pPr>
      <w:r>
        <w:rPr>
          <w:rFonts w:ascii="Arial" w:cs="Arial" w:eastAsia="Arial" w:hAnsi="Arial"/>
          <w:b w:val="false"/>
          <w:bCs w:val="false"/>
          <w:color w:val="000000"/>
          <w:sz w:val="20"/>
          <w:szCs w:val="20"/>
        </w:rPr>
        <w:t xml:space="preserve">Epic's MyChart platform provides patient communication, scheduling, and bill payment capabilities that directly overlap with several RevSpring product features. As Epic and Oracle Health now cover approximately 65% of the U.S. hospital market, health systems may consolidate patient engagement onto their EHR platform to reduce vendor complexity. RevSpring's mitigants are credible but not impenetrable: deep bidirectional integrations, superior personalization analytics, and KLAS leadership provide a defensible position, but require continuous product investment to maintain.</w:t>
      </w:r>
    </w:p>
    <w:p>
      <w:pPr>
        <w:spacing w:after="100"/>
      </w:pPr>
      <w:r>
        <w:rPr>
          <w:rFonts w:ascii="Arial" w:cs="Arial" w:eastAsia="Arial" w:hAnsi="Arial"/>
          <w:b/>
          <w:bCs/>
          <w:color w:val="C00000"/>
          <w:sz w:val="20"/>
          <w:szCs w:val="20"/>
        </w:rPr>
        <w:t xml:space="preserve">[DD FLAG]  </w:t>
      </w:r>
      <w:r>
        <w:rPr>
          <w:rFonts w:ascii="Arial" w:cs="Arial" w:eastAsia="Arial" w:hAnsi="Arial"/>
          <w:sz w:val="20"/>
          <w:szCs w:val="20"/>
        </w:rPr>
        <w:t xml:space="preserve">The CIM does not disclose win/loss data against Epic MyChart or the frequency of competitive displacement. Morsebridge should request win/loss analysis disaggregated by competitor and account type for FY2021-FY2024 before finalizing commercial DD conclusions.</w:t>
      </w:r>
    </w:p>
    <w:p>
      <w:pPr>
        <w:pBdr>
          <w:bottom w:val="single" w:color="D6E4F0" w:sz="4"/>
        </w:pBdr>
        <w:spacing w:after="80" w:before="160"/>
      </w:pPr>
      <w:r>
        <w:rPr>
          <w:rFonts w:ascii="Arial" w:cs="Arial" w:eastAsia="Arial" w:hAnsi="Arial"/>
          <w:b/>
          <w:bCs/>
          <w:color w:val="1B3A5C"/>
          <w:sz w:val="22"/>
          <w:szCs w:val="22"/>
        </w:rPr>
        <w:t xml:space="preserve">Risk 2 — Print &amp; Mail Revenue Structural Decline</w:t>
      </w:r>
    </w:p>
    <w:p>
      <w:pPr>
        <w:spacing w:after="100"/>
      </w:pPr>
      <w:r>
        <w:rPr>
          <w:rFonts w:ascii="Arial" w:cs="Arial" w:eastAsia="Arial" w:hAnsi="Arial"/>
          <w:b w:val="false"/>
          <w:bCs w:val="false"/>
          <w:color w:val="000000"/>
          <w:sz w:val="20"/>
          <w:szCs w:val="20"/>
        </w:rPr>
        <w:t xml:space="preserve">RevSpring's Print &amp; Mail product line — processing millions of physical statements monthly — represents a structurally declining revenue category as digital communications displace physical billing. While print infrastructure is differentiated for Medicare-age populations less engaged with digital channels, the secular trajectory is negative. The pace of decline is the key variable for EBITDA margin modeling.</w:t>
      </w:r>
    </w:p>
    <w:p>
      <w:pPr>
        <w:spacing w:after="100"/>
      </w:pPr>
      <w:r>
        <w:rPr>
          <w:rFonts w:ascii="Arial" w:cs="Arial" w:eastAsia="Arial" w:hAnsi="Arial"/>
          <w:b/>
          <w:bCs/>
          <w:color w:val="C00000"/>
          <w:sz w:val="20"/>
          <w:szCs w:val="20"/>
        </w:rPr>
        <w:t xml:space="preserve">[DD FLAG]  </w:t>
      </w:r>
      <w:r>
        <w:rPr>
          <w:rFonts w:ascii="Arial" w:cs="Arial" w:eastAsia="Arial" w:hAnsi="Arial"/>
          <w:sz w:val="20"/>
          <w:szCs w:val="20"/>
        </w:rPr>
        <w:t xml:space="preserve">The CIM does not disclose Print &amp; Mail as a standalone revenue line item, EBITDA contribution, or year-over-year growth/decline rate. Morsebridge must request a revenue bridge by product line for FY2021-FY2024 to size this exposure and stress-test the EBITDA margin expansion path under bear case assumptions.</w:t>
      </w:r>
    </w:p>
    <w:p>
      <w:pPr>
        <w:pBdr>
          <w:bottom w:val="single" w:color="D6E4F0" w:sz="4"/>
        </w:pBdr>
        <w:spacing w:after="80" w:before="160"/>
      </w:pPr>
      <w:r>
        <w:rPr>
          <w:rFonts w:ascii="Arial" w:cs="Arial" w:eastAsia="Arial" w:hAnsi="Arial"/>
          <w:b/>
          <w:bCs/>
          <w:color w:val="1B3A5C"/>
          <w:sz w:val="22"/>
          <w:szCs w:val="22"/>
        </w:rPr>
        <w:t xml:space="preserve">Risk 3 — TCPA and Consumer Communications Liability</w:t>
      </w:r>
    </w:p>
    <w:p>
      <w:pPr>
        <w:spacing w:after="100"/>
      </w:pPr>
      <w:r>
        <w:rPr>
          <w:rFonts w:ascii="Arial" w:cs="Arial" w:eastAsia="Arial" w:hAnsi="Arial"/>
          <w:b w:val="false"/>
          <w:bCs w:val="false"/>
          <w:color w:val="000000"/>
          <w:sz w:val="20"/>
          <w:szCs w:val="20"/>
        </w:rPr>
        <w:t xml:space="preserve">RevSpring sends over 1.5 billion communications annually. Evolving FCC rules on prior express consent and state-level consumer protection statutes create a persistent class action exposure. The Company's compliance team of 40+ and legal counsel on retainer are appropriate mitigants, but a single adverse regulatory ruling could require material operational changes that reduce outreach effectiveness and impair patient collection rates.</w:t>
      </w:r>
    </w:p>
    <w:p>
      <w:pPr>
        <w:pBdr>
          <w:bottom w:val="single" w:color="D6E4F0" w:sz="4"/>
        </w:pBdr>
        <w:spacing w:after="80" w:before="160"/>
      </w:pPr>
      <w:r>
        <w:rPr>
          <w:rFonts w:ascii="Arial" w:cs="Arial" w:eastAsia="Arial" w:hAnsi="Arial"/>
          <w:b/>
          <w:bCs/>
          <w:color w:val="1B3A5C"/>
          <w:sz w:val="22"/>
          <w:szCs w:val="22"/>
        </w:rPr>
        <w:t xml:space="preserve">Risk 4 — Competitive Digital Platforms</w:t>
      </w:r>
    </w:p>
    <w:p>
      <w:pPr>
        <w:spacing w:after="100"/>
      </w:pPr>
      <w:r>
        <w:rPr>
          <w:rFonts w:ascii="Arial" w:cs="Arial" w:eastAsia="Arial" w:hAnsi="Arial"/>
          <w:b w:val="false"/>
          <w:bCs w:val="false"/>
          <w:color w:val="000000"/>
          <w:sz w:val="20"/>
          <w:szCs w:val="20"/>
        </w:rPr>
        <w:t xml:space="preserve">Cedar (Tiger Global-backed, $120M Series C in February 2025, processing $10B+ in annual patient payments) is the most credible competitive threat in digital patient financial engagement. Cedar's product earns strong KLAS ratings for digital UX, particularly at large health systems, and continued VC investment could accelerate its competitive position. Cedar's limitation today is its lack of print/mail capability and smaller installed base; however, sustained capital could close that gap.</w:t>
      </w:r>
    </w:p>
    <w:p>
      <w:pPr>
        <w:spacing w:after="80"/>
      </w:pPr>
      <w:r>
        <w:t xml:space="preserve"/>
      </w:r>
    </w:p>
    <w:p>
      <w:pPr>
        <w:shd w:fill="1B3A5C" w:val="clear"/>
        <w:spacing w:after="120" w:before="240"/>
      </w:pPr>
      <w:r>
        <w:rPr>
          <w:rFonts w:ascii="Arial" w:cs="Arial" w:eastAsia="Arial" w:hAnsi="Arial"/>
          <w:b/>
          <w:bCs/>
          <w:color w:val="FFFFFF"/>
          <w:sz w:val="26"/>
          <w:szCs w:val="26"/>
        </w:rPr>
        <w:t xml:space="preserve">7. Geographic Expansion Opportunity</w:t>
      </w:r>
    </w:p>
    <w:p>
      <w:pPr>
        <w:spacing w:after="100"/>
      </w:pPr>
      <w:r>
        <w:rPr>
          <w:rFonts w:ascii="Arial" w:cs="Arial" w:eastAsia="Arial" w:hAnsi="Arial"/>
          <w:b w:val="false"/>
          <w:bCs w:val="false"/>
          <w:color w:val="000000"/>
          <w:sz w:val="20"/>
          <w:szCs w:val="20"/>
        </w:rPr>
        <w:t xml:space="preserve">RevSpring operates exclusively in the U.S. market as of the CIM date (March 2024), serving more than 2,000 healthcare organizations across all 50 states. The CIM cites international expansion as a whitespace opportunity but provides no specific markets, timelines, investment requirements, or regulatory approvals required.</w:t>
      </w:r>
    </w:p>
    <w:p>
      <w:pPr>
        <w:spacing w:after="100"/>
      </w:pPr>
      <w:r>
        <w:rPr>
          <w:rFonts w:ascii="Arial" w:cs="Arial" w:eastAsia="Arial" w:hAnsi="Arial"/>
          <w:b/>
          <w:bCs/>
          <w:color w:val="C00000"/>
          <w:sz w:val="20"/>
          <w:szCs w:val="20"/>
        </w:rPr>
        <w:t xml:space="preserve">[DD FLAG]  </w:t>
      </w:r>
      <w:r>
        <w:rPr>
          <w:rFonts w:ascii="Arial" w:cs="Arial" w:eastAsia="Arial" w:hAnsi="Arial"/>
          <w:sz w:val="20"/>
          <w:szCs w:val="20"/>
        </w:rPr>
        <w:t xml:space="preserve">International expansion is cited in the CIM's investment highlights but is not quantified, not reflected in the financial projections, and is unsupported by any disclosed international partnerships, regulatory filings, or pilot programs. Morsebridge should treat this as speculative and exclude it from base case return modeling pending management confirmation of a specific market entry plan.</w:t>
      </w:r>
    </w:p>
    <w:p>
      <w:pPr>
        <w:spacing w:after="80"/>
      </w:pPr>
      <w:r>
        <w:t xml:space="preserve"/>
      </w:r>
    </w:p>
    <w:p>
      <w:pPr>
        <w:spacing w:after="100"/>
      </w:pPr>
      <w:r>
        <w:rPr>
          <w:rFonts w:ascii="Arial" w:cs="Arial" w:eastAsia="Arial" w:hAnsi="Arial"/>
          <w:b w:val="false"/>
          <w:bCs w:val="false"/>
          <w:color w:val="000000"/>
          <w:sz w:val="20"/>
          <w:szCs w:val="20"/>
        </w:rPr>
        <w:t xml:space="preserve">Within the U.S., the most actionable growth vectors are:</w:t>
      </w:r>
    </w:p>
    <w:p>
      <w:pPr>
        <w:pStyle w:val="ListParagraph"/>
        <w:numPr>
          <w:ilvl w:val="0"/>
          <w:numId w:val="2"/>
        </w:numPr>
        <w:spacing w:after="80"/>
      </w:pPr>
      <w:r>
        <w:rPr>
          <w:rFonts w:ascii="Arial" w:cs="Arial" w:eastAsia="Arial" w:hAnsi="Arial"/>
          <w:sz w:val="20"/>
          <w:szCs w:val="20"/>
        </w:rPr>
        <w:t xml:space="preserve">Mid-market community hospitals (31% of current revenue, under-penetrated): Less engaged by modern digital engagement platforms and facing the most acute staffing and margin pressure driving outsourcing. A dedicated mid-market sales motion distinct from the enterprise IDN sales force could unlock material new logo growth.</w:t>
      </w:r>
    </w:p>
    <w:p>
      <w:pPr>
        <w:pStyle w:val="ListParagraph"/>
        <w:numPr>
          <w:ilvl w:val="0"/>
          <w:numId w:val="2"/>
        </w:numPr>
        <w:spacing w:after="80"/>
      </w:pPr>
      <w:r>
        <w:rPr>
          <w:rFonts w:ascii="Arial" w:cs="Arial" w:eastAsia="Arial" w:hAnsi="Arial"/>
          <w:sz w:val="20"/>
          <w:szCs w:val="20"/>
        </w:rPr>
        <w:t xml:space="preserve">Physician group practices (13% of revenue): A growing segment as independent practices consolidate into PE-backed physician management organizations requiring enterprise-grade billing and engagement tools.</w:t>
      </w:r>
    </w:p>
    <w:p>
      <w:pPr>
        <w:pStyle w:val="ListParagraph"/>
        <w:numPr>
          <w:ilvl w:val="0"/>
          <w:numId w:val="2"/>
        </w:numPr>
        <w:spacing w:after="80"/>
      </w:pPr>
      <w:r>
        <w:rPr>
          <w:rFonts w:ascii="Arial" w:cs="Arial" w:eastAsia="Arial" w:hAnsi="Arial"/>
          <w:sz w:val="20"/>
          <w:szCs w:val="20"/>
        </w:rPr>
        <w:t xml:space="preserve">Payer market: No disclosed payer revenue. The $2-3B incremental payer opportunity cited in the CIM represents a Step 1 entry market that requires a separate product motion, sales capability, and regulatory positioning. Success here would materially change the platform's growth ceiling.</w:t>
      </w:r>
    </w:p>
    <w:p>
      <w:pPr>
        <w:spacing w:after="80"/>
      </w:pPr>
      <w:r>
        <w:t xml:space="preserve"/>
      </w:r>
    </w:p>
    <w:p>
      <w:pPr>
        <w:shd w:fill="1B3A5C" w:val="clear"/>
        <w:spacing w:after="120" w:before="240"/>
      </w:pPr>
      <w:r>
        <w:rPr>
          <w:rFonts w:ascii="Arial" w:cs="Arial" w:eastAsia="Arial" w:hAnsi="Arial"/>
          <w:b/>
          <w:bCs/>
          <w:color w:val="FFFFFF"/>
          <w:sz w:val="26"/>
          <w:szCs w:val="26"/>
        </w:rPr>
        <w:t xml:space="preserve">8. Data Gaps &amp; Further Diligence Required</w:t>
      </w:r>
    </w:p>
    <w:p>
      <w:pPr>
        <w:spacing w:after="100"/>
      </w:pPr>
      <w:r>
        <w:rPr>
          <w:rFonts w:ascii="Arial" w:cs="Arial" w:eastAsia="Arial" w:hAnsi="Arial"/>
          <w:b w:val="false"/>
          <w:bCs w:val="false"/>
          <w:color w:val="000000"/>
          <w:sz w:val="20"/>
          <w:szCs w:val="20"/>
        </w:rPr>
        <w:t xml:space="preserve">The following gaps should be addressed in management Q&amp;A and financial due diligence:</w:t>
      </w:r>
    </w:p>
    <w:p>
      <w:pPr>
        <w:pStyle w:val="ListParagraph"/>
        <w:numPr>
          <w:ilvl w:val="0"/>
          <w:numId w:val="3"/>
        </w:numPr>
        <w:spacing w:after="80"/>
      </w:pPr>
      <w:r>
        <w:rPr>
          <w:rFonts w:ascii="Arial" w:cs="Arial" w:eastAsia="Arial" w:hAnsi="Arial"/>
          <w:sz w:val="20"/>
          <w:szCs w:val="20"/>
        </w:rPr>
        <w:t xml:space="preserve">Revenue by product line (SaaS, transaction-based, Print &amp; Mail, ARM) for FY2021-FY2024: Required to assess digital mix shift pace, model Print &amp; Mail tail risk, and validate the EBITDA margin expansion thesis.</w:t>
      </w:r>
    </w:p>
    <w:p>
      <w:pPr>
        <w:pStyle w:val="ListParagraph"/>
        <w:numPr>
          <w:ilvl w:val="0"/>
          <w:numId w:val="3"/>
        </w:numPr>
        <w:spacing w:after="80"/>
      </w:pPr>
      <w:r>
        <w:rPr>
          <w:rFonts w:ascii="Arial" w:cs="Arial" w:eastAsia="Arial" w:hAnsi="Arial"/>
          <w:sz w:val="20"/>
          <w:szCs w:val="20"/>
        </w:rPr>
        <w:t xml:space="preserve">Win/loss analysis disaggregated by competitor for FY2021-FY2024: Specifically, displacement by Epic MyChart, Cedar, and Waystar. Required to assess competitive encroachment risk and market share trajectory.</w:t>
      </w:r>
    </w:p>
    <w:p>
      <w:pPr>
        <w:pStyle w:val="ListParagraph"/>
        <w:numPr>
          <w:ilvl w:val="0"/>
          <w:numId w:val="3"/>
        </w:numPr>
        <w:spacing w:after="80"/>
      </w:pPr>
      <w:r>
        <w:rPr>
          <w:rFonts w:ascii="Arial" w:cs="Arial" w:eastAsia="Arial" w:hAnsi="Arial"/>
          <w:sz w:val="20"/>
          <w:szCs w:val="20"/>
        </w:rPr>
        <w:t xml:space="preserve">International expansion specifics: Market prioritization, investment required, regulatory approvals needed, and timeline to first revenue. Required before assigning any value in the return model.</w:t>
      </w:r>
    </w:p>
    <w:p>
      <w:pPr>
        <w:pStyle w:val="ListParagraph"/>
        <w:numPr>
          <w:ilvl w:val="0"/>
          <w:numId w:val="3"/>
        </w:numPr>
        <w:spacing w:after="80"/>
      </w:pPr>
      <w:r>
        <w:rPr>
          <w:rFonts w:ascii="Arial" w:cs="Arial" w:eastAsia="Arial" w:hAnsi="Arial"/>
          <w:sz w:val="20"/>
          <w:szCs w:val="20"/>
        </w:rPr>
        <w:t xml:space="preserve">Payer market pipeline and existing contracts: Any signed payer contracts, LOIs, or active pilots. Required to assess whether payer expansion is speculative or near-term.</w:t>
      </w:r>
    </w:p>
    <w:p>
      <w:pPr>
        <w:pStyle w:val="ListParagraph"/>
        <w:numPr>
          <w:ilvl w:val="0"/>
          <w:numId w:val="3"/>
        </w:numPr>
        <w:spacing w:after="80"/>
      </w:pPr>
      <w:r>
        <w:rPr>
          <w:rFonts w:ascii="Arial" w:cs="Arial" w:eastAsia="Arial" w:hAnsi="Arial"/>
          <w:sz w:val="20"/>
          <w:szCs w:val="20"/>
        </w:rPr>
        <w:t xml:space="preserve">Kyruus Health post-close revenue run rate, NRR, and integration status: Required to assess FY2026 revenue and EBITDA impact of the acquisition.</w:t>
      </w:r>
    </w:p>
    <w:p>
      <w:pPr>
        <w:pStyle w:val="ListParagraph"/>
        <w:numPr>
          <w:ilvl w:val="0"/>
          <w:numId w:val="3"/>
        </w:numPr>
        <w:spacing w:after="80"/>
      </w:pPr>
      <w:r>
        <w:rPr>
          <w:rFonts w:ascii="Arial" w:cs="Arial" w:eastAsia="Arial" w:hAnsi="Arial"/>
          <w:sz w:val="20"/>
          <w:szCs w:val="20"/>
        </w:rPr>
        <w:t xml:space="preserve">TrustCommerce revenue, margins, and cross-sell opportunity with existing RevSpring clients: Required to model the integrated payments revenue opportunity and margin impact.</w:t>
      </w:r>
    </w:p>
    <w:p>
      <w:pPr>
        <w:spacing w:after="80"/>
      </w:pPr>
      <w:r>
        <w:t xml:space="preserve"/>
      </w:r>
    </w:p>
    <w:p>
      <w:pPr>
        <w:spacing w:after="100"/>
      </w:pPr>
      <w:r>
        <w:rPr>
          <w:rFonts w:ascii="Arial" w:cs="Arial" w:eastAsia="Arial" w:hAnsi="Arial"/>
          <w:b w:val="false"/>
          <w:bCs w:val="false"/>
          <w:color w:val="2E6DB4"/>
          <w:sz w:val="20"/>
          <w:szCs w:val="20"/>
        </w:rPr>
        <w:t xml:space="preserve">Sources: RevSpring CIM (March 2024); MarketsandMarkets (August 2025); Towards Healthcare (2026); KLAS Research (2026 Best in KLAS); CMS regulatory filings (Feb–Nov 2025); PR Newswire (RevSpring press releases, 2025-2026). Morsebridge Commercial DD, June 5,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200"/>
      </w:tabs>
      <w:spacing w:before="80"/>
    </w:pPr>
    <w:r>
      <w:rPr>
        <w:rFonts w:ascii="Arial" w:cs="Arial" w:eastAsia="Arial" w:hAnsi="Arial"/>
        <w:i/>
        <w:iCs/>
        <w:color w:val="888888"/>
        <w:sz w:val="18"/>
        <w:szCs w:val="18"/>
      </w:rPr>
      <w:t xml:space="preserve">Confidential | Morsebridge Healthcare | Commercial DD | RevSpring</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tabs>
        <w:tab w:val="right" w:pos="9200"/>
      </w:tabs>
      <w:spacing w:after="80"/>
    </w:pPr>
    <w:r>
      <w:rPr>
        <w:rFonts w:ascii="Arial" w:cs="Arial" w:eastAsia="Arial" w:hAnsi="Arial"/>
        <w:b/>
        <w:bCs/>
        <w:color w:val="1B3A5C"/>
        <w:sz w:val="22"/>
        <w:szCs w:val="22"/>
      </w:rPr>
      <w:t xml:space="preserve">MARKET ANALYSIS  |  RevSpring, Inc.</w:t>
    </w:r>
    <w:r>
      <w:rPr>
        <w:rFonts w:ascii="Arial" w:cs="Arial" w:eastAsia="Arial" w:hAnsi="Arial"/>
        <w:color w:val="555555"/>
        <w:sz w:val="20"/>
        <w:szCs w:val="20"/>
      </w:rPr>
      <w:t xml:space="preserve">	Morsebridge Healthcare  |  June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2026-06-08T10:14:52.566Z</dcterms:created>
  <dcterms:modified xsi:type="dcterms:W3CDTF">2026-06-08T10:14:52.566Z</dcterms:modified>
</cp:coreProperties>
</file>

<file path=docProps/custom.xml><?xml version="1.0" encoding="utf-8"?>
<Properties xmlns="http://schemas.openxmlformats.org/officeDocument/2006/custom-properties" xmlns:vt="http://schemas.openxmlformats.org/officeDocument/2006/docPropsVTypes"/>
</file>