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240"/>
              <w:bottom w:type="dxa" w:w="60"/>
              <w:right w:type="dxa" w:w="240"/>
            </w:tcMar>
          </w:tcPr>
          <w:p>
            <w:r>
              <w:rPr>
                <w:rFonts w:ascii="Arial" w:cs="Arial" w:eastAsia="Arial" w:hAnsi="Arial"/>
                <w:b/>
                <w:bCs/>
                <w:color w:val="AACCEE"/>
                <w:sz w:val="18"/>
                <w:szCs w:val="18"/>
              </w:rPr>
              <w:t xml:space="preserve">MANAGEMENT DUE DILIGENCE BRIEF</w:t>
            </w:r>
          </w:p>
        </w:tc>
      </w:tr>
      <w:tr>
        <w:tc>
          <w:tcPr>
            <w:tcBorders>
              <w:top w:val="none" w:color="FFFFFF" w:sz="0"/>
              <w:left w:val="none" w:color="FFFFFF" w:sz="0"/>
              <w:bottom w:val="none" w:color="FFFFFF" w:sz="0"/>
              <w:right w:val="none" w:color="FFFFFF" w:sz="0"/>
            </w:tcBorders>
            <w:shd w:fill="0D1B2A" w:val="clear"/>
            <w:tcMar>
              <w:top w:type="dxa" w:w="0"/>
              <w:left w:type="dxa" w:w="240"/>
              <w:bottom w:type="dxa" w:w="60"/>
              <w:right w:type="dxa" w:w="240"/>
            </w:tcMar>
          </w:tcPr>
          <w:p>
            <w:r>
              <w:rPr>
                <w:rFonts w:ascii="Arial" w:cs="Arial" w:eastAsia="Arial" w:hAnsi="Arial"/>
                <w:b/>
                <w:bCs/>
                <w:color w:val="FFFFFF"/>
                <w:sz w:val="48"/>
                <w:szCs w:val="48"/>
              </w:rPr>
              <w:t xml:space="preserve">RevSpring, Inc.</w:t>
            </w:r>
          </w:p>
        </w:tc>
      </w:tr>
      <w:tr>
        <w:tc>
          <w:tcPr>
            <w:tcBorders>
              <w:top w:val="none" w:color="FFFFFF" w:sz="0"/>
              <w:left w:val="none" w:color="FFFFFF" w:sz="0"/>
              <w:bottom w:val="none" w:color="FFFFFF" w:sz="0"/>
              <w:right w:val="none" w:color="FFFFFF" w:sz="0"/>
            </w:tcBorders>
            <w:shd w:fill="0D1B2A" w:val="clear"/>
            <w:tcMar>
              <w:top w:type="dxa" w:w="0"/>
              <w:left w:type="dxa" w:w="240"/>
              <w:bottom w:type="dxa" w:w="100"/>
              <w:right w:type="dxa" w:w="240"/>
            </w:tcMar>
          </w:tcPr>
          <w:p>
            <w:r>
              <w:rPr>
                <w:rFonts w:ascii="Arial" w:cs="Arial" w:eastAsia="Arial" w:hAnsi="Arial"/>
                <w:color w:val="AACCEE"/>
                <w:sz w:val="20"/>
                <w:szCs w:val="20"/>
              </w:rPr>
              <w:t xml:space="preserve">Pre-Meeting Research Brief  |  CEO &amp; CFO Profiles  |  June 2024</w:t>
            </w:r>
          </w:p>
        </w:tc>
      </w:tr>
      <w:tr>
        <w:tc>
          <w:tcPr>
            <w:tcBorders>
              <w:top w:val="none" w:color="FFFFFF" w:sz="0"/>
              <w:left w:val="none" w:color="FFFFFF" w:sz="0"/>
              <w:bottom w:val="none" w:color="FFFFFF" w:sz="0"/>
              <w:right w:val="none" w:color="FFFFFF" w:sz="0"/>
            </w:tcBorders>
            <w:shd w:fill="1B3A5C" w:val="clear"/>
            <w:tcMar>
              <w:top w:type="dxa" w:w="100"/>
              <w:left w:type="dxa" w:w="240"/>
              <w:bottom w:type="dxa" w:w="100"/>
              <w:right w:type="dxa" w:w="240"/>
            </w:tcMar>
          </w:tcPr>
          <w:p>
            <w:r>
              <w:rPr>
                <w:rFonts w:ascii="Arial" w:cs="Arial" w:eastAsia="Arial" w:hAnsi="Arial"/>
                <w:b/>
                <w:bCs/>
                <w:color w:val="FFFFFF"/>
                <w:sz w:val="18"/>
                <w:szCs w:val="18"/>
              </w:rPr>
              <w:t xml:space="preserve">Prepared by: </w:t>
            </w:r>
            <w:r>
              <w:rPr>
                <w:rFonts w:ascii="Arial" w:cs="Arial" w:eastAsia="Arial" w:hAnsi="Arial"/>
                <w:color w:val="AACCEE"/>
                <w:sz w:val="18"/>
                <w:szCs w:val="18"/>
              </w:rPr>
              <w:t xml:space="preserve">Morsebridge Healthcare Deal Team</w:t>
            </w:r>
            <w:r>
              <w:rPr>
                <w:rFonts w:ascii="Arial" w:cs="Arial" w:eastAsia="Arial" w:hAnsi="Arial"/>
                <w:color w:val="AACCEE"/>
                <w:sz w:val="18"/>
                <w:szCs w:val="18"/>
              </w:rPr>
              <w:t xml:space="preserve">     |     </w:t>
            </w:r>
            <w:r>
              <w:rPr>
                <w:rFonts w:ascii="Arial" w:cs="Arial" w:eastAsia="Arial" w:hAnsi="Arial"/>
                <w:b/>
                <w:bCs/>
                <w:color w:val="FFFFFF"/>
                <w:sz w:val="18"/>
                <w:szCs w:val="18"/>
              </w:rPr>
              <w:t xml:space="preserve">Status: </w:t>
            </w:r>
            <w:r>
              <w:rPr>
                <w:rFonts w:ascii="Arial" w:cs="Arial" w:eastAsia="Arial" w:hAnsi="Arial"/>
                <w:color w:val="AACCEE"/>
                <w:sz w:val="18"/>
                <w:szCs w:val="18"/>
              </w:rPr>
              <w:t xml:space="preserve">Pre-Meeting | Full DD Active</w:t>
            </w:r>
          </w:p>
          <w:p>
            <w:r>
              <w:rPr>
                <w:rFonts w:ascii="Arial" w:cs="Arial" w:eastAsia="Arial" w:hAnsi="Arial"/>
                <w:b/>
                <w:bCs/>
                <w:color w:val="FFFFFF"/>
                <w:sz w:val="18"/>
                <w:szCs w:val="18"/>
              </w:rPr>
              <w:t xml:space="preserve">Classification: </w:t>
            </w:r>
            <w:r>
              <w:rPr>
                <w:rFonts w:ascii="Arial" w:cs="Arial" w:eastAsia="Arial" w:hAnsi="Arial"/>
                <w:color w:val="AACCEE"/>
                <w:sz w:val="18"/>
                <w:szCs w:val="18"/>
              </w:rPr>
              <w:t xml:space="preserve">Confidential | For Internal Use Only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r>
              <w:rPr>
                <w:rFonts w:ascii="Arial" w:cs="Arial" w:eastAsia="Arial" w:hAnsi="Arial"/>
                <w:color w:val="1B3A5C"/>
                <w:sz w:val="17"/>
                <w:szCs w:val="17"/>
              </w:rPr>
              <w:t xml:space="preserve">Meeting Date</w:t>
            </w:r>
          </w:p>
          <w:p>
            <w:r>
              <w:rPr>
                <w:rFonts w:ascii="Arial" w:cs="Arial" w:eastAsia="Arial" w:hAnsi="Arial"/>
                <w:b/>
                <w:bCs/>
                <w:color w:val="1B3A5C"/>
                <w:sz w:val="20"/>
                <w:szCs w:val="20"/>
              </w:rPr>
              <w:t xml:space="preserve">TBC — June 2024</w:t>
            </w:r>
          </w:p>
        </w:tc>
        <w:tc>
          <w:tcPr>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r>
              <w:rPr>
                <w:rFonts w:ascii="Arial" w:cs="Arial" w:eastAsia="Arial" w:hAnsi="Arial"/>
                <w:color w:val="1B3A5C"/>
                <w:sz w:val="17"/>
                <w:szCs w:val="17"/>
              </w:rPr>
              <w:t xml:space="preserve">Executives</w:t>
            </w:r>
          </w:p>
          <w:p>
            <w:r>
              <w:rPr>
                <w:rFonts w:ascii="Arial" w:cs="Arial" w:eastAsia="Arial" w:hAnsi="Arial"/>
                <w:b/>
                <w:bCs/>
                <w:color w:val="1B3A5C"/>
                <w:sz w:val="20"/>
                <w:szCs w:val="20"/>
              </w:rPr>
              <w:t xml:space="preserve">CEO + CFO</w:t>
            </w:r>
          </w:p>
        </w:tc>
        <w:tc>
          <w:tcPr>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r>
              <w:rPr>
                <w:rFonts w:ascii="Arial" w:cs="Arial" w:eastAsia="Arial" w:hAnsi="Arial"/>
                <w:color w:val="1B3A5C"/>
                <w:sz w:val="17"/>
                <w:szCs w:val="17"/>
              </w:rPr>
              <w:t xml:space="preserve">Deal Status</w:t>
            </w:r>
          </w:p>
          <w:p>
            <w:r>
              <w:rPr>
                <w:rFonts w:ascii="Arial" w:cs="Arial" w:eastAsia="Arial" w:hAnsi="Arial"/>
                <w:b/>
                <w:bCs/>
                <w:color w:val="1B3A5C"/>
                <w:sz w:val="20"/>
                <w:szCs w:val="20"/>
              </w:rPr>
              <w:t xml:space="preserve">Full DD Active</w:t>
            </w:r>
          </w:p>
        </w:tc>
        <w:tc>
          <w:tcPr>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r>
              <w:rPr>
                <w:rFonts w:ascii="Arial" w:cs="Arial" w:eastAsia="Arial" w:hAnsi="Arial"/>
                <w:color w:val="1B3A5C"/>
                <w:sz w:val="17"/>
                <w:szCs w:val="17"/>
              </w:rPr>
              <w:t xml:space="preserve">Target Close</w:t>
            </w:r>
          </w:p>
          <w:p>
            <w:r>
              <w:rPr>
                <w:rFonts w:ascii="Arial" w:cs="Arial" w:eastAsia="Arial" w:hAnsi="Arial"/>
                <w:b/>
                <w:bCs/>
                <w:color w:val="1B3A5C"/>
                <w:sz w:val="20"/>
                <w:szCs w:val="20"/>
              </w:rPr>
              <w:t xml:space="preserve">March 2024 (Closed)</w:t>
            </w:r>
          </w:p>
        </w:tc>
      </w:tr>
    </w:tbl>
    <w:p>
      <w:pPr>
        <w:spacing w:after="0" w:before="120"/>
      </w:pPr>
      <w:r>
        <w:t xml:space="preserve"/>
      </w:r>
    </w:p>
    <w:p>
      <w:pPr>
        <w:pBdr>
          <w:bottom w:val="single" w:color="2E6DB4" w:sz="8" w:space="1"/>
        </w:pBdr>
        <w:spacing w:after="80" w:before="60"/>
      </w:pPr>
      <w:r>
        <w:t xml:space="preserve"/>
      </w:r>
    </w:p>
    <w:p>
      <w:pPr>
        <w:spacing w:after="0" w:before="80"/>
      </w:pPr>
      <w:r>
        <w:t xml:space="preserve"/>
      </w:r>
    </w:p>
    <w:p>
      <w:pPr>
        <w:shd w:fill="1B3A5C" w:val="clear"/>
        <w:spacing w:after="80" w:before="240"/>
        <w:ind w:left="180" w:right="180"/>
      </w:pPr>
      <w:r>
        <w:rPr>
          <w:rFonts w:ascii="Arial" w:cs="Arial" w:eastAsia="Arial" w:hAnsi="Arial"/>
          <w:b/>
          <w:bCs/>
          <w:color w:val="FFFFFF"/>
          <w:sz w:val="24"/>
          <w:szCs w:val="24"/>
        </w:rPr>
        <w:t xml:space="preserve">1. PURPOSE OF THIS BRIEF</w:t>
      </w:r>
    </w:p>
    <w:p>
      <w:pPr>
        <w:spacing w:after="0" w:before="60"/>
      </w:pPr>
      <w:r>
        <w:t xml:space="preserve"/>
      </w:r>
    </w:p>
    <w:p>
      <w:pPr>
        <w:spacing w:after="40" w:before="40"/>
      </w:pPr>
      <w:r>
        <w:rPr>
          <w:rFonts w:ascii="Arial" w:cs="Arial" w:eastAsia="Arial" w:hAnsi="Arial"/>
          <w:color w:val="000000"/>
          <w:sz w:val="20"/>
          <w:szCs w:val="20"/>
        </w:rPr>
        <w:t xml:space="preserve">This brief has been prepared by the Morsebridge Healthcare deal team to support the Management Due Diligence meetings with RevSpring's CEO (Scott MacKenzie) and CFO (David Smith). It consolidates publicly available biographical research, PE partnership readiness assessments, and key lines of inquiry to pursue in each session.</w:t>
      </w:r>
    </w:p>
    <w:p>
      <w:pPr>
        <w:spacing w:after="0" w:before="40"/>
      </w:pPr>
      <w:r>
        <w:t xml:space="preserve"/>
      </w:r>
    </w:p>
    <w:p>
      <w:pPr>
        <w:spacing w:after="40" w:before="40"/>
      </w:pPr>
      <w:r>
        <w:rPr>
          <w:rFonts w:ascii="Arial" w:cs="Arial" w:eastAsia="Arial" w:hAnsi="Arial"/>
          <w:color w:val="000000"/>
          <w:sz w:val="20"/>
          <w:szCs w:val="20"/>
        </w:rPr>
        <w:t xml:space="preserve">The brief should be read alongside the RevSpring CIM, Financial DD Report, and Commercial DD Report. Lines of inquiry in this brief are designed to surface information not available in the CIM and to stress-test the management team's credibility, operational depth, and alignment with Morsebridge's value creation plan.</w:t>
      </w:r>
    </w:p>
    <w:p>
      <w:pPr>
        <w:spacing w:after="0" w:before="120"/>
      </w:pPr>
      <w:r>
        <w:t xml:space="preserve"/>
      </w:r>
    </w:p>
    <w:p>
      <w:pPr>
        <w:shd w:fill="1B3A5C" w:val="clear"/>
        <w:spacing w:after="80" w:before="240"/>
        <w:ind w:left="180" w:right="180"/>
      </w:pPr>
      <w:r>
        <w:rPr>
          <w:rFonts w:ascii="Arial" w:cs="Arial" w:eastAsia="Arial" w:hAnsi="Arial"/>
          <w:b/>
          <w:bCs/>
          <w:color w:val="FFFFFF"/>
          <w:sz w:val="24"/>
          <w:szCs w:val="24"/>
        </w:rPr>
        <w:t xml:space="preserve">2. CHIEF EXECUTIVE OFFICER — SCOTT MacKENZIE</w:t>
      </w:r>
    </w:p>
    <w:p>
      <w:pPr>
        <w:spacing w:after="0" w:before="60"/>
      </w:pPr>
      <w:r>
        <w:t xml:space="preserve"/>
      </w:r>
    </w:p>
    <w:p>
      <w:pPr>
        <w:spacing w:after="60" w:before="180"/>
      </w:pPr>
      <w:r>
        <w:rPr>
          <w:rFonts w:ascii="Arial" w:cs="Arial" w:eastAsia="Arial" w:hAnsi="Arial"/>
          <w:b/>
          <w:bCs/>
          <w:color w:val="2E6DB4"/>
          <w:sz w:val="22"/>
          <w:szCs w:val="22"/>
        </w:rPr>
        <w:t xml:space="preserve">Scott MacKenzie  |  Chief Executive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Joined RevSpring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2019 (5+ years tenure as CEO)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Role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M*Modal — AI-powered clinical documentation platform. Led company through growth and strategic acquisition by 3M (2019).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Role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President, Experian Health — Led Experian Health post-acquisition of Passport Health Communications, where MacKenzie had been CEO. Managed full P&amp;L for Experian's healthcare IT division.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Role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Passport Health Communications — Patient access and eligibility verification platform. Led through strategic sale to Experian.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Role 4</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President, RelayHealth Pharmacy Solutions (McKesson) — Division GM within a large PE-adjacent public company.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Education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MBA, University of Michigan Ross School of Business.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 Experience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Extensive. Has led PE-backed companies through full hold periods and exits at M*Modal, Passport Health, and RevSpring.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Equity Rollover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equity rollover into Frazier transaction. Specific % not publicly disclosed. Est. $10-20M implied by deal structure.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Profile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 speaker at HIMSS, ViVE, and JP Morgan Healthcare Conference. Active on LinkedIn with a healthcare IT-focused network.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vAlign w:val="center"/>
          </w:tcPr>
          <w:p>
            <w:pPr>
              <w:jc w:val="center"/>
            </w:pPr>
            <w:r>
              <w:rPr>
                <w:rFonts w:ascii="Arial" w:cs="Arial" w:eastAsia="Arial" w:hAnsi="Arial"/>
                <w:b/>
                <w:bCs/>
                <w:color w:val="1E7E34"/>
                <w:sz w:val="20"/>
                <w:szCs w:val="20"/>
              </w:rPr>
              <w:t xml:space="preserve">PE Readiness: </w:t>
            </w:r>
            <w:r>
              <w:rPr>
                <w:rFonts w:ascii="Arial" w:cs="Arial" w:eastAsia="Arial" w:hAnsi="Arial"/>
                <w:b/>
                <w:bCs/>
                <w:color w:val="1E7E34"/>
                <w:sz w:val="24"/>
                <w:szCs w:val="24"/>
              </w:rPr>
              <w:t xml:space="preserve">5/5</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000000"/>
                <w:sz w:val="19"/>
                <w:szCs w:val="19"/>
              </w:rPr>
              <w:t xml:space="preserve">Exceptional PE readiness. Has led 3 PE-backed healthcare IT companies through full hold periods and exits. Understands value creation, board dynamics, and exit preparation at an institutional level.</w:t>
            </w:r>
          </w:p>
        </w:tc>
      </w:tr>
    </w:tbl>
    <w:p>
      <w:pPr>
        <w:spacing w:after="0" w:before="80"/>
      </w:pPr>
      <w:r>
        <w:t xml:space="preserve"/>
      </w:r>
    </w:p>
    <w:p>
      <w:pPr>
        <w:spacing w:after="20" w:before="40"/>
      </w:pPr>
      <w:r>
        <w:rPr>
          <w:rFonts w:ascii="Arial" w:cs="Arial" w:eastAsia="Arial" w:hAnsi="Arial"/>
          <w:b/>
          <w:bCs/>
          <w:color w:val="C00000"/>
          <w:sz w:val="20"/>
          <w:szCs w:val="20"/>
        </w:rPr>
        <w:t xml:space="preserve">Watch Points:</w:t>
      </w:r>
    </w:p>
    <w:p>
      <w:pPr>
        <w:pStyle w:val="ListParagraph"/>
        <w:numPr>
          <w:ilvl w:val="0"/>
          <w:numId w:val="2"/>
        </w:numPr>
        <w:spacing w:after="30" w:before="30"/>
      </w:pPr>
      <w:r>
        <w:rPr>
          <w:rFonts w:ascii="Arial" w:cs="Arial" w:eastAsia="Arial" w:hAnsi="Arial"/>
          <w:color w:val="C00000"/>
          <w:sz w:val="20"/>
          <w:szCs w:val="20"/>
        </w:rPr>
        <w:t xml:space="preserve">CFO transition mid-process (David Smith joined July 2024) — probe how MacKenzie is managing the transition and whether financial reporting continuity is assured.</w:t>
      </w:r>
    </w:p>
    <w:p>
      <w:pPr>
        <w:pStyle w:val="ListParagraph"/>
        <w:numPr>
          <w:ilvl w:val="0"/>
          <w:numId w:val="2"/>
        </w:numPr>
        <w:spacing w:after="30" w:before="30"/>
      </w:pPr>
      <w:r>
        <w:rPr>
          <w:rFonts w:ascii="Arial" w:cs="Arial" w:eastAsia="Arial" w:hAnsi="Arial"/>
          <w:color w:val="C00000"/>
          <w:sz w:val="20"/>
          <w:szCs w:val="20"/>
        </w:rPr>
        <w:t xml:space="preserve">RevSpring's revenue growth decelerated from 16.7% (FY2022) to 12.6% (FY2023) — ask MacKenzie to explain the deceleration and the FY2025 re-acceleration plan.</w:t>
      </w:r>
    </w:p>
    <w:p>
      <w:pPr>
        <w:pStyle w:val="ListParagraph"/>
        <w:numPr>
          <w:ilvl w:val="0"/>
          <w:numId w:val="2"/>
        </w:numPr>
        <w:spacing w:after="30" w:before="30"/>
      </w:pPr>
      <w:r>
        <w:rPr>
          <w:rFonts w:ascii="Arial" w:cs="Arial" w:eastAsia="Arial" w:hAnsi="Arial"/>
          <w:color w:val="C00000"/>
          <w:sz w:val="20"/>
          <w:szCs w:val="20"/>
        </w:rPr>
        <w:t xml:space="preserve">Confirm MacKenzie's personal return profile and whether he is incentivised to drive a 5-year hold vs. a shorter exit.</w:t>
      </w:r>
    </w:p>
    <w:p>
      <w:pPr>
        <w:spacing w:after="20" w:before="40"/>
      </w:pPr>
      <w:r>
        <w:rPr>
          <w:rFonts w:ascii="Arial" w:cs="Arial" w:eastAsia="Arial" w:hAnsi="Arial"/>
          <w:b/>
          <w:bCs/>
          <w:color w:val="1E7E34"/>
          <w:sz w:val="20"/>
          <w:szCs w:val="20"/>
        </w:rPr>
        <w:t xml:space="preserve">Strengths:</w:t>
      </w:r>
    </w:p>
    <w:p>
      <w:pPr>
        <w:pStyle w:val="ListParagraph"/>
        <w:numPr>
          <w:ilvl w:val="0"/>
          <w:numId w:val="2"/>
        </w:numPr>
        <w:spacing w:after="30" w:before="30"/>
      </w:pPr>
      <w:r>
        <w:rPr>
          <w:rFonts w:ascii="Arial" w:cs="Arial" w:eastAsia="Arial" w:hAnsi="Arial"/>
          <w:color w:val="1E7E34"/>
          <w:sz w:val="20"/>
          <w:szCs w:val="20"/>
        </w:rPr>
        <w:t xml:space="preserve">Three prior PE exits in Healthcare IT. Passport Health (Experian), M*Modal (3M). One of the strongest CEO PE pedigrees in the HCIT mid-market.</w:t>
      </w:r>
    </w:p>
    <w:p>
      <w:pPr>
        <w:pStyle w:val="ListParagraph"/>
        <w:numPr>
          <w:ilvl w:val="0"/>
          <w:numId w:val="2"/>
        </w:numPr>
        <w:spacing w:after="30" w:before="30"/>
      </w:pPr>
      <w:r>
        <w:rPr>
          <w:rFonts w:ascii="Arial" w:cs="Arial" w:eastAsia="Arial" w:hAnsi="Arial"/>
          <w:color w:val="1E7E34"/>
          <w:sz w:val="20"/>
          <w:szCs w:val="20"/>
        </w:rPr>
        <w:t xml:space="preserve">Deep relationships across Epic, Oracle, and payer networks. Relevant for cross-sell and platform expansion strategy.</w:t>
      </w:r>
    </w:p>
    <w:p>
      <w:pPr>
        <w:pStyle w:val="ListParagraph"/>
        <w:numPr>
          <w:ilvl w:val="0"/>
          <w:numId w:val="2"/>
        </w:numPr>
        <w:spacing w:after="30" w:before="30"/>
      </w:pPr>
      <w:r>
        <w:rPr>
          <w:rFonts w:ascii="Arial" w:cs="Arial" w:eastAsia="Arial" w:hAnsi="Arial"/>
          <w:color w:val="1E7E34"/>
          <w:sz w:val="20"/>
          <w:szCs w:val="20"/>
        </w:rPr>
        <w:t xml:space="preserve">Consistent tenure pattern — MacKenzie has stayed through full hold periods at prior companies, suggesting low flight risk.</w:t>
      </w:r>
    </w:p>
    <w:p>
      <w:pPr>
        <w:spacing w:after="0" w:before="100"/>
      </w:pPr>
      <w:r>
        <w:t xml:space="preserve"/>
      </w:r>
    </w:p>
    <w:p>
      <w:pPr>
        <w:shd w:fill="1B3A5C" w:val="clear"/>
        <w:spacing w:after="80" w:before="240"/>
        <w:ind w:left="180" w:right="180"/>
      </w:pPr>
      <w:r>
        <w:rPr>
          <w:rFonts w:ascii="Arial" w:cs="Arial" w:eastAsia="Arial" w:hAnsi="Arial"/>
          <w:b/>
          <w:bCs/>
          <w:color w:val="FFFFFF"/>
          <w:sz w:val="24"/>
          <w:szCs w:val="24"/>
        </w:rPr>
        <w:t xml:space="preserve">3. CHIEF FINANCIAL OFFICER — DAVID SMITH</w:t>
      </w:r>
    </w:p>
    <w:p>
      <w:pPr>
        <w:spacing w:after="0" w:before="60"/>
      </w:pPr>
      <w:r>
        <w:t xml:space="preserve"/>
      </w:r>
    </w:p>
    <w:p>
      <w:pPr>
        <w:spacing w:after="60" w:before="180"/>
      </w:pPr>
      <w:r>
        <w:rPr>
          <w:rFonts w:ascii="Arial" w:cs="Arial" w:eastAsia="Arial" w:hAnsi="Arial"/>
          <w:b/>
          <w:bCs/>
          <w:color w:val="2E6DB4"/>
          <w:sz w:val="22"/>
          <w:szCs w:val="22"/>
        </w:rPr>
        <w:t xml:space="preserve">David Smith  |  Chief Financial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Joined RevSpring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July 2024 (less than 12 months at time of DD)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 CFO Roles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PE-backed healthcare technology companies (specific prior employer not publicly confirmed as of June 2024). Background includes financial planning, M&amp;A integration, and investor reporting.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Big 4 Audit Background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confirmed in public sources. To be verified in meeting.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Reporting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Took over mid-transaction from prior CFO Mark Coggin. Degree of board reporting infrastructure in place to be assessed.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 Experience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PE-backed company background reported. Specific sponsor history to be confirmed in meeting.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Equity Rollover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Likely minimal given July 2024 start date. To be confirmed.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Joined 4 months after transaction close. Limited context on deal assumptions and financial model build.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FFEB9C" w:val="clear"/>
            <w:tcMar>
              <w:top w:type="dxa" w:w="100"/>
              <w:left w:type="dxa" w:w="120"/>
              <w:bottom w:type="dxa" w:w="100"/>
              <w:right w:type="dxa" w:w="120"/>
            </w:tcMar>
            <w:vAlign w:val="center"/>
          </w:tcPr>
          <w:p>
            <w:pPr>
              <w:jc w:val="center"/>
            </w:pPr>
            <w:r>
              <w:rPr>
                <w:rFonts w:ascii="Arial" w:cs="Arial" w:eastAsia="Arial" w:hAnsi="Arial"/>
                <w:b/>
                <w:bCs/>
                <w:color w:val="9C5700"/>
                <w:sz w:val="20"/>
                <w:szCs w:val="20"/>
              </w:rPr>
              <w:t xml:space="preserve">PE Readiness: </w:t>
            </w:r>
            <w:r>
              <w:rPr>
                <w:rFonts w:ascii="Arial" w:cs="Arial" w:eastAsia="Arial" w:hAnsi="Arial"/>
                <w:b/>
                <w:bCs/>
                <w:color w:val="9C5700"/>
                <w:sz w:val="24"/>
                <w:szCs w:val="24"/>
              </w:rPr>
              <w:t xml:space="preserve">3/5</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000000"/>
                <w:sz w:val="19"/>
                <w:szCs w:val="19"/>
              </w:rPr>
              <w:t xml:space="preserve">Adequate but unproven in this specific context. Joined post-close with limited institutional history at RevSpring. Board reporting capability and Big 4 audit experience need confirmation in the meeting.</w:t>
            </w:r>
          </w:p>
        </w:tc>
      </w:tr>
    </w:tbl>
    <w:p>
      <w:pPr>
        <w:spacing w:after="0" w:before="80"/>
      </w:pPr>
      <w:r>
        <w:t xml:space="preserve"/>
      </w:r>
    </w:p>
    <w:p>
      <w:pPr>
        <w:spacing w:after="20" w:before="40"/>
      </w:pPr>
      <w:r>
        <w:rPr>
          <w:rFonts w:ascii="Arial" w:cs="Arial" w:eastAsia="Arial" w:hAnsi="Arial"/>
          <w:b/>
          <w:bCs/>
          <w:color w:val="C00000"/>
          <w:sz w:val="20"/>
          <w:szCs w:val="20"/>
        </w:rPr>
        <w:t xml:space="preserve">Watch Points:</w:t>
      </w:r>
    </w:p>
    <w:p>
      <w:pPr>
        <w:pStyle w:val="ListParagraph"/>
        <w:numPr>
          <w:ilvl w:val="0"/>
          <w:numId w:val="2"/>
        </w:numPr>
        <w:spacing w:after="30" w:before="30"/>
      </w:pPr>
      <w:r>
        <w:rPr>
          <w:rFonts w:ascii="Arial" w:cs="Arial" w:eastAsia="Arial" w:hAnsi="Arial"/>
          <w:color w:val="C00000"/>
          <w:sz w:val="20"/>
          <w:szCs w:val="20"/>
        </w:rPr>
        <w:t xml:space="preserve">Joined July 2024 — 4 months post-close. May not have full context on deal assumptions in the financial model. Probe depth of model ownership.</w:t>
      </w:r>
    </w:p>
    <w:p>
      <w:pPr>
        <w:pStyle w:val="ListParagraph"/>
        <w:numPr>
          <w:ilvl w:val="0"/>
          <w:numId w:val="2"/>
        </w:numPr>
        <w:spacing w:after="30" w:before="30"/>
      </w:pPr>
      <w:r>
        <w:rPr>
          <w:rFonts w:ascii="Arial" w:cs="Arial" w:eastAsia="Arial" w:hAnsi="Arial"/>
          <w:color w:val="C00000"/>
          <w:sz w:val="20"/>
          <w:szCs w:val="20"/>
        </w:rPr>
        <w:t xml:space="preserve">Prior CFO Mark Coggin left at close. Understand the transition: what was retained, what was rebuilt, and whether there are any gaps in financial reporting continuity.</w:t>
      </w:r>
    </w:p>
    <w:p>
      <w:pPr>
        <w:pStyle w:val="ListParagraph"/>
        <w:numPr>
          <w:ilvl w:val="0"/>
          <w:numId w:val="2"/>
        </w:numPr>
        <w:spacing w:after="30" w:before="30"/>
      </w:pPr>
      <w:r>
        <w:rPr>
          <w:rFonts w:ascii="Arial" w:cs="Arial" w:eastAsia="Arial" w:hAnsi="Arial"/>
          <w:color w:val="C00000"/>
          <w:sz w:val="20"/>
          <w:szCs w:val="20"/>
        </w:rPr>
        <w:t xml:space="preserve">Equity rollover likely minimal given recency of hire. Alignment of interest weaker than CEO. Assess whether long-term incentive plan is in place.</w:t>
      </w:r>
    </w:p>
    <w:p>
      <w:pPr>
        <w:pStyle w:val="ListParagraph"/>
        <w:numPr>
          <w:ilvl w:val="0"/>
          <w:numId w:val="2"/>
        </w:numPr>
        <w:spacing w:after="30" w:before="30"/>
      </w:pPr>
      <w:r>
        <w:rPr>
          <w:rFonts w:ascii="Arial" w:cs="Arial" w:eastAsia="Arial" w:hAnsi="Arial"/>
          <w:color w:val="C00000"/>
          <w:sz w:val="20"/>
          <w:szCs w:val="20"/>
        </w:rPr>
        <w:t xml:space="preserve">Big 4 audit experience not confirmed in public sources — must be verified. PE-grade audit process is a non-negotiable for Morsebridge portfolio reporting standards.</w:t>
      </w:r>
    </w:p>
    <w:p>
      <w:pPr>
        <w:spacing w:after="20" w:before="40"/>
      </w:pPr>
      <w:r>
        <w:rPr>
          <w:rFonts w:ascii="Arial" w:cs="Arial" w:eastAsia="Arial" w:hAnsi="Arial"/>
          <w:b/>
          <w:bCs/>
          <w:color w:val="1E7E34"/>
          <w:sz w:val="20"/>
          <w:szCs w:val="20"/>
        </w:rPr>
        <w:t xml:space="preserve">Strengths:</w:t>
      </w:r>
    </w:p>
    <w:p>
      <w:pPr>
        <w:pStyle w:val="ListParagraph"/>
        <w:numPr>
          <w:ilvl w:val="0"/>
          <w:numId w:val="2"/>
        </w:numPr>
        <w:spacing w:after="30" w:before="30"/>
      </w:pPr>
      <w:r>
        <w:rPr>
          <w:rFonts w:ascii="Arial" w:cs="Arial" w:eastAsia="Arial" w:hAnsi="Arial"/>
          <w:color w:val="1E7E34"/>
          <w:sz w:val="20"/>
          <w:szCs w:val="20"/>
        </w:rPr>
        <w:t xml:space="preserve">PE-backed healthcare IT background suggests some familiarity with PE reporting cadence and M&amp;A integration.</w:t>
      </w:r>
    </w:p>
    <w:p>
      <w:pPr>
        <w:pStyle w:val="ListParagraph"/>
        <w:numPr>
          <w:ilvl w:val="0"/>
          <w:numId w:val="2"/>
        </w:numPr>
        <w:spacing w:after="30" w:before="30"/>
      </w:pPr>
      <w:r>
        <w:rPr>
          <w:rFonts w:ascii="Arial" w:cs="Arial" w:eastAsia="Arial" w:hAnsi="Arial"/>
          <w:color w:val="1E7E34"/>
          <w:sz w:val="20"/>
          <w:szCs w:val="20"/>
        </w:rPr>
        <w:t xml:space="preserve">New CFO hire post-close is common in PE transactions — Frazier likely vetted Smith carefully as part of transition planning.</w:t>
      </w:r>
    </w:p>
    <w:p>
      <w:pPr>
        <w:spacing w:after="0" w:before="100"/>
      </w:pPr>
      <w:r>
        <w:t xml:space="preserve"/>
      </w:r>
    </w:p>
    <w:p>
      <w:pPr>
        <w:shd w:fill="1B3A5C" w:val="clear"/>
        <w:spacing w:after="80" w:before="240"/>
        <w:ind w:left="180" w:right="180"/>
      </w:pPr>
      <w:r>
        <w:rPr>
          <w:rFonts w:ascii="Arial" w:cs="Arial" w:eastAsia="Arial" w:hAnsi="Arial"/>
          <w:b/>
          <w:bCs/>
          <w:color w:val="FFFFFF"/>
          <w:sz w:val="24"/>
          <w:szCs w:val="24"/>
        </w:rPr>
        <w:t xml:space="preserve">4. ADDITIONAL LEADERSHIP —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Executive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Nicole Rogas | President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Joined January 2025 (post-close). 21+ years in healthcare IT commercial leadership. Responsible for Sales, Marketing, and Customer Experience. Addition of a President role suggests MacKenzie is building second-tier leadership ahead of scale.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Howard Bright | CTO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Long-tenure technology leader. Architect of the Engage IQ platform. Presence of a named CTO with product ownership is a positive signal for technology moat durability.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Roger Davis | Executive Chairman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Appointed by Frazier post-close as Executive Chairman. Frazier Executive in Residence model. Provides operating partner oversight — important given Smith's recency as CFO.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Coggin | Prior CFO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Left at transaction close (March 2024). Was CFO through the GTCR hold period and the Frazier sale process. Departure is standard in PE transitions but creates short-term reporting risk.</w:t>
            </w:r>
          </w:p>
        </w:tc>
      </w:tr>
    </w:tbl>
    <w:p>
      <w:pPr>
        <w:spacing w:after="0" w:before="120"/>
      </w:pPr>
      <w:r>
        <w:t xml:space="preserve"/>
      </w:r>
    </w:p>
    <w:p>
      <w:pPr>
        <w:shd w:fill="1B3A5C" w:val="clear"/>
        <w:spacing w:after="80" w:before="240"/>
        <w:ind w:left="180" w:right="180"/>
      </w:pPr>
      <w:r>
        <w:rPr>
          <w:rFonts w:ascii="Arial" w:cs="Arial" w:eastAsia="Arial" w:hAnsi="Arial"/>
          <w:b/>
          <w:bCs/>
          <w:color w:val="FFFFFF"/>
          <w:sz w:val="24"/>
          <w:szCs w:val="24"/>
        </w:rPr>
        <w:t xml:space="preserve">5. KEY LINES OF INQUIRY</w:t>
      </w:r>
    </w:p>
    <w:p>
      <w:pPr>
        <w:spacing w:after="0" w:before="60"/>
      </w:pPr>
      <w:r>
        <w:t xml:space="preserve"/>
      </w:r>
    </w:p>
    <w:p>
      <w:pPr>
        <w:spacing w:after="60" w:before="180"/>
      </w:pPr>
      <w:r>
        <w:rPr>
          <w:rFonts w:ascii="Arial" w:cs="Arial" w:eastAsia="Arial" w:hAnsi="Arial"/>
          <w:b/>
          <w:bCs/>
          <w:color w:val="2E6DB4"/>
          <w:sz w:val="22"/>
          <w:szCs w:val="22"/>
        </w:rPr>
        <w:t xml:space="preserve">CEO Session — Critical Questions</w:t>
      </w:r>
    </w:p>
    <w:p>
      <w:pPr>
        <w:pStyle w:val="ListParagraph"/>
        <w:numPr>
          <w:ilvl w:val="0"/>
          <w:numId w:val="3"/>
        </w:numPr>
        <w:spacing w:after="30" w:before="30"/>
      </w:pPr>
      <w:r>
        <w:rPr>
          <w:rFonts w:ascii="Arial" w:cs="Arial" w:eastAsia="Arial" w:hAnsi="Arial"/>
          <w:color w:val="000000"/>
          <w:sz w:val="20"/>
          <w:szCs w:val="20"/>
        </w:rPr>
        <w:t xml:space="preserve">FY2023 revenue growth decelerated to 12.6% from 16.7% in FY2022. What drove the slowdown and what specifically changes in FY2025 to re-accelerate?</w:t>
      </w:r>
    </w:p>
    <w:p>
      <w:pPr>
        <w:pStyle w:val="ListParagraph"/>
        <w:numPr>
          <w:ilvl w:val="0"/>
          <w:numId w:val="3"/>
        </w:numPr>
        <w:spacing w:after="30" w:before="30"/>
      </w:pPr>
      <w:r>
        <w:rPr>
          <w:rFonts w:ascii="Arial" w:cs="Arial" w:eastAsia="Arial" w:hAnsi="Arial"/>
          <w:color w:val="000000"/>
          <w:sz w:val="20"/>
          <w:szCs w:val="20"/>
        </w:rPr>
        <w:t xml:space="preserve">Cross-sell penetration is estimated at 35-40% of the existing base. What is the ceiling and what has prevented faster penetration to date?</w:t>
      </w:r>
    </w:p>
    <w:p>
      <w:pPr>
        <w:pStyle w:val="ListParagraph"/>
        <w:numPr>
          <w:ilvl w:val="0"/>
          <w:numId w:val="3"/>
        </w:numPr>
        <w:spacing w:after="30" w:before="30"/>
      </w:pPr>
      <w:r>
        <w:rPr>
          <w:rFonts w:ascii="Arial" w:cs="Arial" w:eastAsia="Arial" w:hAnsi="Arial"/>
          <w:color w:val="000000"/>
          <w:sz w:val="20"/>
          <w:szCs w:val="20"/>
        </w:rPr>
        <w:t xml:space="preserve">The Kyruus Health acquisition extends RevSpring into care access and scheduling. How does the integration roadmap look and what is the revenue contribution assumption in the base case?</w:t>
      </w:r>
    </w:p>
    <w:p>
      <w:pPr>
        <w:pStyle w:val="ListParagraph"/>
        <w:numPr>
          <w:ilvl w:val="0"/>
          <w:numId w:val="3"/>
        </w:numPr>
        <w:spacing w:after="30" w:before="30"/>
      </w:pPr>
      <w:r>
        <w:rPr>
          <w:rFonts w:ascii="Arial" w:cs="Arial" w:eastAsia="Arial" w:hAnsi="Arial"/>
          <w:color w:val="000000"/>
          <w:sz w:val="20"/>
          <w:szCs w:val="20"/>
        </w:rPr>
        <w:t xml:space="preserve">TCPA regulatory exposure on digital communications: what is the current consent management infrastructure and has there been any regulatory inquiry in the last 24 months?</w:t>
      </w:r>
    </w:p>
    <w:p>
      <w:pPr>
        <w:pStyle w:val="ListParagraph"/>
        <w:numPr>
          <w:ilvl w:val="0"/>
          <w:numId w:val="3"/>
        </w:numPr>
        <w:spacing w:after="30" w:before="30"/>
      </w:pPr>
      <w:r>
        <w:rPr>
          <w:rFonts w:ascii="Arial" w:cs="Arial" w:eastAsia="Arial" w:hAnsi="Arial"/>
          <w:color w:val="000000"/>
          <w:sz w:val="20"/>
          <w:szCs w:val="20"/>
        </w:rPr>
        <w:t xml:space="preserve">What would cause this investment not to achieve 3x MOIC and what is management's plan to mitigate that scenario?</w:t>
      </w:r>
    </w:p>
    <w:p>
      <w:pPr>
        <w:spacing w:after="0" w:before="80"/>
      </w:pPr>
      <w:r>
        <w:t xml:space="preserve"/>
      </w:r>
    </w:p>
    <w:p>
      <w:pPr>
        <w:spacing w:after="60" w:before="180"/>
      </w:pPr>
      <w:r>
        <w:rPr>
          <w:rFonts w:ascii="Arial" w:cs="Arial" w:eastAsia="Arial" w:hAnsi="Arial"/>
          <w:b/>
          <w:bCs/>
          <w:color w:val="2E6DB4"/>
          <w:sz w:val="22"/>
          <w:szCs w:val="22"/>
        </w:rPr>
        <w:t xml:space="preserve">CFO Session — Critical Questions</w:t>
      </w:r>
    </w:p>
    <w:p>
      <w:pPr>
        <w:pStyle w:val="ListParagraph"/>
        <w:numPr>
          <w:ilvl w:val="0"/>
          <w:numId w:val="3"/>
        </w:numPr>
        <w:spacing w:after="30" w:before="30"/>
      </w:pPr>
      <w:r>
        <w:rPr>
          <w:rFonts w:ascii="Arial" w:cs="Arial" w:eastAsia="Arial" w:hAnsi="Arial"/>
          <w:color w:val="000000"/>
          <w:sz w:val="20"/>
          <w:szCs w:val="20"/>
        </w:rPr>
        <w:t xml:space="preserve">Walk us through the FY2024 actuals vs. the financial model. Where did the business outperform or underperform plan and why?</w:t>
      </w:r>
    </w:p>
    <w:p>
      <w:pPr>
        <w:pStyle w:val="ListParagraph"/>
        <w:numPr>
          <w:ilvl w:val="0"/>
          <w:numId w:val="3"/>
        </w:numPr>
        <w:spacing w:after="30" w:before="30"/>
      </w:pPr>
      <w:r>
        <w:rPr>
          <w:rFonts w:ascii="Arial" w:cs="Arial" w:eastAsia="Arial" w:hAnsi="Arial"/>
          <w:color w:val="000000"/>
          <w:sz w:val="20"/>
          <w:szCs w:val="20"/>
        </w:rPr>
        <w:t xml:space="preserve">What is the current net revenue retention rate and how has it trended over the last 4 quarters?</w:t>
      </w:r>
    </w:p>
    <w:p>
      <w:pPr>
        <w:pStyle w:val="ListParagraph"/>
        <w:numPr>
          <w:ilvl w:val="0"/>
          <w:numId w:val="3"/>
        </w:numPr>
        <w:spacing w:after="30" w:before="30"/>
      </w:pPr>
      <w:r>
        <w:rPr>
          <w:rFonts w:ascii="Arial" w:cs="Arial" w:eastAsia="Arial" w:hAnsi="Arial"/>
          <w:color w:val="000000"/>
          <w:sz w:val="20"/>
          <w:szCs w:val="20"/>
        </w:rPr>
        <w:t xml:space="preserve">Walk us through the top 5 clients, their contract renewal dates, and their current health scores.</w:t>
      </w:r>
    </w:p>
    <w:p>
      <w:pPr>
        <w:pStyle w:val="ListParagraph"/>
        <w:numPr>
          <w:ilvl w:val="0"/>
          <w:numId w:val="3"/>
        </w:numPr>
        <w:spacing w:after="30" w:before="30"/>
      </w:pPr>
      <w:r>
        <w:rPr>
          <w:rFonts w:ascii="Arial" w:cs="Arial" w:eastAsia="Arial" w:hAnsi="Arial"/>
          <w:color w:val="000000"/>
          <w:sz w:val="20"/>
          <w:szCs w:val="20"/>
        </w:rPr>
        <w:t xml:space="preserve">What is the current board reporting package and what are the key KPIs you track weekly?</w:t>
      </w:r>
    </w:p>
    <w:p>
      <w:pPr>
        <w:pStyle w:val="ListParagraph"/>
        <w:numPr>
          <w:ilvl w:val="0"/>
          <w:numId w:val="3"/>
        </w:numPr>
        <w:spacing w:after="30" w:before="30"/>
      </w:pPr>
      <w:r>
        <w:rPr>
          <w:rFonts w:ascii="Arial" w:cs="Arial" w:eastAsia="Arial" w:hAnsi="Arial"/>
          <w:color w:val="000000"/>
          <w:sz w:val="20"/>
          <w:szCs w:val="20"/>
        </w:rPr>
        <w:t xml:space="preserve">Has RevSpring completed a Big 4 audit for FY2023 and FY2024? Who is the auditor and what were the key audit observations?</w:t>
      </w:r>
    </w:p>
    <w:p>
      <w:pPr>
        <w:pStyle w:val="ListParagraph"/>
        <w:numPr>
          <w:ilvl w:val="0"/>
          <w:numId w:val="3"/>
        </w:numPr>
        <w:spacing w:after="30" w:before="30"/>
      </w:pPr>
      <w:r>
        <w:rPr>
          <w:rFonts w:ascii="Arial" w:cs="Arial" w:eastAsia="Arial" w:hAnsi="Arial"/>
          <w:color w:val="000000"/>
          <w:sz w:val="20"/>
          <w:szCs w:val="20"/>
        </w:rPr>
        <w:t xml:space="preserve">Are there any material one-time items or add-backs in the FY2023 or FY2024 EBITDA that we should understand before finalising the quality of earnings review?</w:t>
      </w:r>
    </w:p>
    <w:p>
      <w:pPr>
        <w:spacing w:after="0" w:before="120"/>
      </w:pPr>
      <w:r>
        <w:t xml:space="preserve"/>
      </w:r>
    </w:p>
    <w:p>
      <w:pPr>
        <w:shd w:fill="1B3A5C" w:val="clear"/>
        <w:spacing w:after="80" w:before="240"/>
        <w:ind w:left="180" w:right="180"/>
      </w:pPr>
      <w:r>
        <w:rPr>
          <w:rFonts w:ascii="Arial" w:cs="Arial" w:eastAsia="Arial" w:hAnsi="Arial"/>
          <w:b/>
          <w:bCs/>
          <w:color w:val="FFFFFF"/>
          <w:sz w:val="24"/>
          <w:szCs w:val="24"/>
        </w:rPr>
        <w:t xml:space="preserve">6. RED FLAGS TO PROBE IN MEETINGS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Flag</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Question to Probe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CFO tenure &lt; 12 months at time of 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C5700"/>
                <w:sz w:val="19"/>
                <w:szCs w:val="19"/>
              </w:rPr>
              <w:t xml:space="preserve">Significant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reporting infrastructure did Coggin leave and what has Smith rebuilt?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Revenue growth deceleration FY2022-FY2023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C5700"/>
                <w:sz w:val="19"/>
                <w:szCs w:val="19"/>
              </w:rPr>
              <w:t xml:space="preserve">Significant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drove deceleration and what is the specific re-acceleration plan for FY2025?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No Big 4 audit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19"/>
                <w:szCs w:val="19"/>
              </w:rPr>
              <w:t xml:space="preserve">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Who is the auditor? Were FY2023 and FY2024 audited? Any material observations?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Kyruus integration risk post-close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7E34"/>
                <w:sz w:val="19"/>
                <w:szCs w:val="19"/>
              </w:rPr>
              <w:t xml:space="preserve">Monitor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is the integration timeline and revenue contribution plan?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TCPA / communications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C5700"/>
                <w:sz w:val="19"/>
                <w:szCs w:val="19"/>
              </w:rPr>
              <w:t xml:space="preserve">Significant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Any regulatory inquiry in last 24 months? Consent infrastructure in place?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Management equity alignment — CFO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7E34"/>
                <w:sz w:val="19"/>
                <w:szCs w:val="19"/>
              </w:rPr>
              <w:t xml:space="preserve">Monitor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is Smith's long-term incentive plan and vesting schedule?</w:t>
            </w:r>
          </w:p>
        </w:tc>
      </w:tr>
    </w:tbl>
    <w:p>
      <w:pPr>
        <w:spacing w:after="0" w:before="120"/>
      </w:pPr>
      <w:r>
        <w:t xml:space="preserve"/>
      </w:r>
    </w:p>
    <w:p>
      <w:pPr>
        <w:shd w:fill="1B3A5C" w:val="clear"/>
        <w:spacing w:after="80" w:before="240"/>
        <w:ind w:left="180" w:right="180"/>
      </w:pPr>
      <w:r>
        <w:rPr>
          <w:rFonts w:ascii="Arial" w:cs="Arial" w:eastAsia="Arial" w:hAnsi="Arial"/>
          <w:b/>
          <w:bCs/>
          <w:color w:val="FFFFFF"/>
          <w:sz w:val="24"/>
          <w:szCs w:val="24"/>
        </w:rPr>
        <w:t xml:space="preserve">7. MEETING LOGISTICS &amp; PREPARATION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Session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 minutes. Block: Strategy (15 min), Growth (15 min), Operations (10 min), Team (10 min), PE Partnership (10 min).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CFO Session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minutes. Block: Financial Model (15 min), Revenue Quality (15 min), Working Capital (10 min), PE Readiness (5 min).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Attendees (Morsebridge)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Deal lead + one analyst. Maximum 2 people to keep session direct.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Materials to 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reporting pack (last 3 months), FY2024 management accounts, NRR cohort analysis, top 10 client renewal schedule, audit management letter.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Pre-Meeting Data 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data request list to management 5 business days before meeting. Do not surprise with data requests on the day.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Post-Meeting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Management DD scoring criteria within 24 hours of each session. Share summary with Ayub before IC memo is drafted.</w:t>
            </w:r>
          </w:p>
        </w:tc>
      </w:tr>
    </w:tbl>
    <w:p>
      <w:pPr>
        <w:spacing w:after="0" w:before="80"/>
      </w:pPr>
      <w:r>
        <w:t xml:space="preserve"/>
      </w:r>
    </w:p>
    <w:p>
      <w:pPr>
        <w:spacing w:after="40" w:before="40"/>
      </w:pPr>
      <w:r>
        <w:rPr>
          <w:rFonts w:ascii="Arial" w:cs="Arial" w:eastAsia="Arial" w:hAnsi="Arial"/>
          <w:i/>
          <w:iCs/>
          <w:color w:val="888888"/>
          <w:sz w:val="17"/>
          <w:szCs w:val="17"/>
        </w:rPr>
        <w:t xml:space="preserve">Confidential | Morsebridge Healthcare | Management DD Brief | RevSpring, Inc. | June 2024</w:t>
      </w:r>
    </w:p>
    <w:sectPr>
      <w:headerReference w:type="default" r:id="rId7"/>
      <w:footerReference w:type="default" r:id="rId8"/>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1"/>
      </w:pBdr>
      <w:spacing w:before="60"/>
    </w:pPr>
    <w:r>
      <w:rPr>
        <w:rFonts w:ascii="Arial" w:cs="Arial" w:eastAsia="Arial" w:hAnsi="Arial"/>
        <w:color w:val="888888"/>
        <w:sz w:val="16"/>
        <w:szCs w:val="16"/>
      </w:rPr>
      <w:t xml:space="preserve">Confidential | Morsebridge Healthcare | For Internal Use Only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spacing w:after="60"/>
    </w:pPr>
    <w:r>
      <w:rPr>
        <w:rFonts w:ascii="Arial" w:cs="Arial" w:eastAsia="Arial" w:hAnsi="Arial"/>
        <w:color w:val="888888"/>
        <w:sz w:val="16"/>
        <w:szCs w:val="16"/>
      </w:rPr>
      <w:t xml:space="preserve">CONFIDENTIAL  |  Morsebridge Healthcare  |  Management DD Brief  |  RevSpring,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2026-06-05T11:35:58.052Z</dcterms:created>
  <dcterms:modified xsi:type="dcterms:W3CDTF">2026-06-05T11:35:58.067Z</dcterms:modified>
</cp:coreProperties>
</file>

<file path=docProps/custom.xml><?xml version="1.0" encoding="utf-8"?>
<Properties xmlns="http://schemas.openxmlformats.org/officeDocument/2006/custom-properties" xmlns:vt="http://schemas.openxmlformats.org/officeDocument/2006/docPropsVTypes"/>
</file>