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color w:val="1B3A5C"/>
          <w:sz w:val="36"/>
          <w:szCs w:val="36"/>
        </w:rPr>
        <w:t xml:space="preserve">CIM SCREENING REPORT</w:t>
      </w:r>
    </w:p>
    <w:p>
      <w:pPr>
        <w:pBdr>
          <w:bottom w:val="single" w:color="1B3A5C" w:sz="8"/>
        </w:pBdr>
        <w:spacing w:after="180"/>
      </w:pPr>
      <w:r>
        <w:rPr>
          <w:rFonts w:ascii="Arial" w:cs="Arial" w:eastAsia="Arial" w:hAnsi="Arial"/>
          <w:color w:val="444444"/>
          <w:sz w:val="24"/>
          <w:szCs w:val="24"/>
        </w:rPr>
        <w:t xml:space="preserve">RevSpring, Inc.  |  Patient Engagement &amp; Revenue Cycle Management</w:t>
      </w:r>
    </w:p>
    <w:p>
      <w:pPr>
        <w:shd w:fill="1B3A5C" w:val="clear"/>
        <w:spacing w:after="140" w:before="280"/>
      </w:pPr>
      <w:r>
        <w:rPr>
          <w:rFonts w:ascii="Arial" w:cs="Arial" w:eastAsia="Arial" w:hAnsi="Arial"/>
          <w:b/>
          <w:bCs/>
          <w:color w:val="FFFFFF"/>
          <w:sz w:val="24"/>
          <w:szCs w:val="24"/>
        </w:rPr>
        <w:t xml:space="preserve">SECTION 1 — DEAL SNAPSHOT</w:t>
      </w:r>
    </w:p>
    <w:p>
      <w:pPr>
        <w:spacing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6600"/>
      </w:tblGrid>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0000"/>
                <w:sz w:val="20"/>
                <w:szCs w:val="20"/>
              </w:rPr>
              <w:t xml:space="preserve">Company</w:t>
            </w:r>
          </w:p>
        </w:tc>
        <w:tc>
          <w:tcPr>
            <w:tcW w:type="dxa" w:w="6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RevSpring, Inc.</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Sector</w:t>
            </w:r>
          </w:p>
        </w:tc>
        <w:tc>
          <w:tcPr>
            <w:tcW w:type="dxa" w:w="6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20"/>
                <w:szCs w:val="20"/>
              </w:rPr>
              <w:t xml:space="preserve">Patient Engagement &amp; Revenue Cycle Management</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0000"/>
                <w:sz w:val="20"/>
                <w:szCs w:val="20"/>
              </w:rPr>
              <w:t xml:space="preserve">Headquarters</w:t>
            </w:r>
          </w:p>
        </w:tc>
        <w:tc>
          <w:tcPr>
            <w:tcW w:type="dxa" w:w="6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Nashville, Tennessee</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Seller</w:t>
            </w:r>
          </w:p>
        </w:tc>
        <w:tc>
          <w:tcPr>
            <w:tcW w:type="dxa" w:w="6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20"/>
                <w:szCs w:val="20"/>
              </w:rPr>
              <w:t xml:space="preserve">GTCR, LLC — held since October 2016</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0000"/>
                <w:sz w:val="20"/>
                <w:szCs w:val="20"/>
              </w:rPr>
              <w:t xml:space="preserve">Buyer</w:t>
            </w:r>
          </w:p>
        </w:tc>
        <w:tc>
          <w:tcPr>
            <w:tcW w:type="dxa" w:w="6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Frazier Healthcare Partners; Co-investors: NEA, 22C Capital, Management Rollover</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Deal Type</w:t>
            </w:r>
          </w:p>
        </w:tc>
        <w:tc>
          <w:tcPr>
            <w:tcW w:type="dxa" w:w="6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20"/>
                <w:szCs w:val="20"/>
              </w:rPr>
              <w:t xml:space="preserve">Secondary Buyout (PE-to-PE)</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0000"/>
                <w:sz w:val="20"/>
                <w:szCs w:val="20"/>
              </w:rPr>
              <w:t xml:space="preserve">Transaction Date</w:t>
            </w:r>
          </w:p>
        </w:tc>
        <w:tc>
          <w:tcPr>
            <w:tcW w:type="dxa" w:w="6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March 12, 2024</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Indicated EV</w:t>
            </w:r>
          </w:p>
        </w:tc>
        <w:tc>
          <w:tcPr>
            <w:tcW w:type="dxa" w:w="6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20"/>
                <w:szCs w:val="20"/>
              </w:rPr>
              <w:t xml:space="preserve">~$1.30 billion</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0000"/>
                <w:sz w:val="20"/>
                <w:szCs w:val="20"/>
              </w:rPr>
              <w:t xml:space="preserve">EV / Revenue (FY2023)</w:t>
            </w:r>
          </w:p>
        </w:tc>
        <w:tc>
          <w:tcPr>
            <w:tcW w:type="dxa" w:w="6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5.2x  ($248M revenue)</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EV / EBITDA (FY2023)</w:t>
            </w:r>
          </w:p>
        </w:tc>
        <w:tc>
          <w:tcPr>
            <w:tcW w:type="dxa" w:w="6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20"/>
                <w:szCs w:val="20"/>
              </w:rPr>
              <w:t xml:space="preserve">19.4x  ($67M EBITDA)</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0000"/>
                <w:sz w:val="20"/>
                <w:szCs w:val="20"/>
              </w:rPr>
              <w:t xml:space="preserve">Net Leverage at Close</w:t>
            </w:r>
          </w:p>
        </w:tc>
        <w:tc>
          <w:tcPr>
            <w:tcW w:type="dxa" w:w="6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4.3x Net Debt / EBITDA  ($310M senior secured term loan)</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Sell-Side Advisors</w:t>
            </w:r>
          </w:p>
        </w:tc>
        <w:tc>
          <w:tcPr>
            <w:tcW w:type="dxa" w:w="6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20"/>
                <w:szCs w:val="20"/>
              </w:rPr>
              <w:t xml:space="preserve">Morgan Stanley &amp; Co. LLC; Triple Tree LLC</w:t>
            </w:r>
          </w:p>
        </w:tc>
      </w:tr>
    </w:tbl>
    <w:p>
      <w:pPr>
        <w:spacing w:after="60"/>
      </w:pPr>
      <w:r>
        <w:t xml:space="preserve"/>
      </w:r>
    </w:p>
    <w:p>
      <w:pPr>
        <w:spacing w:after="80"/>
      </w:pPr>
      <w:r>
        <w:rPr>
          <w:rFonts w:ascii="Arial" w:cs="Arial" w:eastAsia="Arial" w:hAnsi="Arial"/>
          <w:b/>
          <w:bCs/>
          <w:color w:val="000000"/>
          <w:sz w:val="20"/>
          <w:szCs w:val="20"/>
        </w:rPr>
        <w:t xml:space="preserve">Business Description</w:t>
      </w:r>
    </w:p>
    <w:p>
      <w:pPr>
        <w:spacing w:after="80"/>
      </w:pPr>
      <w:r>
        <w:rPr>
          <w:rFonts w:ascii="Arial" w:cs="Arial" w:eastAsia="Arial" w:hAnsi="Arial"/>
          <w:b w:val="false"/>
          <w:bCs w:val="false"/>
          <w:color w:val="000000"/>
          <w:sz w:val="20"/>
          <w:szCs w:val="20"/>
        </w:rPr>
        <w:t xml:space="preserve">RevSpring, Inc. is a Nashville, Tennessee-based provider of end-to-end patient engagement, financial communications, and revenue cycle management (RCM) technology solutions serving over 2,000 U.S. hospitals, health systems, and physician groups. The Company's platform covers the full patient financial journey from pre-service eligibility and cost estimation through post-service billing and collections, delivered through an omnichannel communications engine (print, digital, voice, SMS) powered by proprietary behavioral analytics on over 300 million U.S. consumer profiles. RevSpring processes over $8.0B in annual payment volume, achieved the #1 KLAS rating for Patient Communications in 2024, and generated $248M in revenue and $67M in EBITDA (27.0% margin) in FY2023, representing approximately a 14% revenue CAGR under GTCR's 2016-2024 ownership. Frazier Healthcare Partners acquired the Company in March 2024 in a secondary buyout at approximately $1.3B EV; the Kyruus Health acquisition was subsequently announced in September 2025, extending the platform upstream into care access and provider search.</w:t>
      </w:r>
    </w:p>
    <w:p>
      <w:pPr>
        <w:spacing w:after="60"/>
      </w:pPr>
      <w:r>
        <w:t xml:space="preserve"/>
      </w:r>
    </w:p>
    <w:p>
      <w:pPr>
        <w:spacing w:after="80"/>
      </w:pPr>
      <w:r>
        <w:rPr>
          <w:rFonts w:ascii="Arial" w:cs="Arial" w:eastAsia="Arial" w:hAnsi="Arial"/>
          <w:b/>
          <w:bCs/>
          <w:color w:val="000000"/>
          <w:sz w:val="20"/>
          <w:szCs w:val="20"/>
        </w:rPr>
        <w:t xml:space="preserve">Investment Highlights</w:t>
      </w:r>
    </w:p>
    <w:p>
      <w:pPr>
        <w:pStyle w:val="ListParagraph"/>
        <w:numPr>
          <w:ilvl w:val="0"/>
          <w:numId w:val="2"/>
        </w:numPr>
        <w:spacing w:after="80"/>
      </w:pPr>
      <w:r>
        <w:rPr>
          <w:rFonts w:ascii="Arial" w:cs="Arial" w:eastAsia="Arial" w:hAnsi="Arial"/>
          <w:sz w:val="20"/>
          <w:szCs w:val="20"/>
        </w:rPr>
        <w:t xml:space="preserve">#1 KLAS-rated Patient Communications platform with 2,000+ provider clients, $8.0B+ annual payment volume processed, and bidirectional EHR integrations covering approximately 85% of the U.S. hospital market; mission-critical workflow positioning with high switching costs and durable multi-year contract tenure.</w:t>
      </w:r>
    </w:p>
    <w:p>
      <w:pPr>
        <w:pStyle w:val="ListParagraph"/>
        <w:numPr>
          <w:ilvl w:val="0"/>
          <w:numId w:val="2"/>
        </w:numPr>
        <w:spacing w:after="80"/>
      </w:pPr>
      <w:r>
        <w:rPr>
          <w:rFonts w:ascii="Arial" w:cs="Arial" w:eastAsia="Arial" w:hAnsi="Arial"/>
          <w:sz w:val="20"/>
          <w:szCs w:val="20"/>
        </w:rPr>
        <w:t xml:space="preserve">&gt;80% recurring revenue, NRR of approximately 108%, multi-year contracts averaging 3-5 years with auto-renewal provisions, and top single-client concentration below 6% — representing best-in-class revenue quality and forward visibility relative to Healthcare IT comps.</w:t>
      </w:r>
    </w:p>
    <w:p>
      <w:pPr>
        <w:pStyle w:val="ListParagraph"/>
        <w:numPr>
          <w:ilvl w:val="0"/>
          <w:numId w:val="2"/>
        </w:numPr>
        <w:spacing w:after="80"/>
      </w:pPr>
      <w:r>
        <w:rPr>
          <w:rFonts w:ascii="Arial" w:cs="Arial" w:eastAsia="Arial" w:hAnsi="Arial"/>
          <w:sz w:val="20"/>
          <w:szCs w:val="20"/>
        </w:rPr>
        <w:t xml:space="preserve">Proprietary analytics engine covering 300M+ U.S. consumer profiles enables real-time patient engagement propensity scoring at each encounter — a data moat that is non-replicable in the short term and underpins demonstrably superior payment conversion rates vs. generic RCM platforms.</w:t>
      </w:r>
    </w:p>
    <w:p>
      <w:pPr>
        <w:spacing w:after="60"/>
      </w:pPr>
      <w:r>
        <w:t xml:space="preserve"/>
      </w:r>
    </w:p>
    <w:p>
      <w:pPr>
        <w:spacing w:after="80"/>
      </w:pPr>
      <w:r>
        <w:rPr>
          <w:rFonts w:ascii="Arial" w:cs="Arial" w:eastAsia="Arial" w:hAnsi="Arial"/>
          <w:b/>
          <w:bCs/>
          <w:color w:val="000000"/>
          <w:sz w:val="20"/>
          <w:szCs w:val="20"/>
        </w:rPr>
        <w:t xml:space="preserve">Preliminary Concerns</w:t>
      </w:r>
    </w:p>
    <w:p>
      <w:pPr>
        <w:pStyle w:val="ListParagraph"/>
        <w:numPr>
          <w:ilvl w:val="0"/>
          <w:numId w:val="2"/>
        </w:numPr>
        <w:spacing w:after="80"/>
      </w:pPr>
      <w:r>
        <w:rPr>
          <w:rFonts w:ascii="Arial" w:cs="Arial" w:eastAsia="Arial" w:hAnsi="Arial"/>
          <w:sz w:val="20"/>
          <w:szCs w:val="20"/>
        </w:rPr>
        <w:t xml:space="preserve">Entry EV/EBITDA of 19.4x is elevated for a hybrid SaaS/transaction-based platform; base case FY2026 implied EV of approximately $1.38B at 15x EBITDA implies limited capital appreciation before debt paydown, with returns back-end loaded and sensitive to exit multiple compression.</w:t>
      </w:r>
    </w:p>
    <w:p>
      <w:pPr>
        <w:pStyle w:val="ListParagraph"/>
        <w:numPr>
          <w:ilvl w:val="0"/>
          <w:numId w:val="2"/>
        </w:numPr>
        <w:spacing w:after="80"/>
      </w:pPr>
      <w:r>
        <w:rPr>
          <w:rFonts w:ascii="Arial" w:cs="Arial" w:eastAsia="Arial" w:hAnsi="Arial"/>
          <w:sz w:val="20"/>
          <w:szCs w:val="20"/>
        </w:rPr>
        <w:t xml:space="preserve">New CFO David Smith joined July 2024 mid-transaction, replacing Mark Coggin; reporting continuity and absence of restatements since the transition have not been confirmed, representing near-term execution risk for the financial reporting workstream.</w:t>
      </w:r>
    </w:p>
    <w:p>
      <w:pPr>
        <w:pStyle w:val="ListParagraph"/>
        <w:numPr>
          <w:ilvl w:val="0"/>
          <w:numId w:val="2"/>
        </w:numPr>
        <w:spacing w:after="80"/>
      </w:pPr>
      <w:r>
        <w:rPr>
          <w:rFonts w:ascii="Arial" w:cs="Arial" w:eastAsia="Arial" w:hAnsi="Arial"/>
          <w:sz w:val="20"/>
          <w:szCs w:val="20"/>
        </w:rPr>
        <w:t xml:space="preserve">Print &amp; Mail is a structurally declining revenue category; if the digital-to-physical mix shift accelerates beyond modeled assumptions, revenue compression in this segment could partially offset SaaS growth and create retention risk among clients dependent on physical statement services.</w:t>
      </w:r>
    </w:p>
    <w:p>
      <w:r>
        <w:br w:type="page"/>
      </w:r>
    </w:p>
    <w:p>
      <w:pPr>
        <w:shd w:fill="1B3A5C" w:val="clear"/>
        <w:spacing w:after="140" w:before="280"/>
      </w:pPr>
      <w:r>
        <w:rPr>
          <w:rFonts w:ascii="Arial" w:cs="Arial" w:eastAsia="Arial" w:hAnsi="Arial"/>
          <w:b/>
          <w:bCs/>
          <w:color w:val="FFFFFF"/>
          <w:sz w:val="24"/>
          <w:szCs w:val="24"/>
        </w:rPr>
        <w:t xml:space="preserve">SECTION 2 — MANDATORY FILTER CHECKLIST</w:t>
      </w:r>
    </w:p>
    <w:p>
      <w:pPr>
        <w:spacing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200"/>
      </w:tblGrid>
      <w:tr>
        <w:tc>
          <w:tcPr>
            <w:tcW w:type="dxa" w:w="2800"/>
            <w:gridSpan w:val="1"/>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Filter</w:t>
            </w:r>
          </w:p>
        </w:tc>
        <w:tc>
          <w:tcPr>
            <w:tcW w:type="dxa" w:w="2200"/>
            <w:gridSpan w:val="1"/>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Threshold</w:t>
            </w:r>
          </w:p>
        </w:tc>
        <w:tc>
          <w:tcPr>
            <w:tcW w:type="dxa" w:w="4200"/>
            <w:gridSpan w:val="1"/>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Actual / Result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Minimum Revenue</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$80M</w:t>
            </w:r>
          </w:p>
        </w:tc>
        <w:tc>
          <w:tcPr>
            <w:tcW w:type="dxa" w:w="4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A5C2A"/>
                <w:sz w:val="20"/>
                <w:szCs w:val="20"/>
              </w:rPr>
              <w:t xml:space="preserve">$248M (FY2023)   PASS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Minimum EBITDA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$25M</w:t>
            </w:r>
          </w:p>
        </w:tc>
        <w:tc>
          <w:tcPr>
            <w:tcW w:type="dxa" w:w="4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A5C2A"/>
                <w:sz w:val="20"/>
                <w:szCs w:val="20"/>
              </w:rPr>
              <w:t xml:space="preserve">$67M (FY2023)   PASS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Minimum Recurring Revenue</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60%</w:t>
            </w:r>
          </w:p>
        </w:tc>
        <w:tc>
          <w:tcPr>
            <w:tcW w:type="dxa" w:w="4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A5C2A"/>
                <w:sz w:val="20"/>
                <w:szCs w:val="20"/>
              </w:rPr>
              <w:t xml:space="preserve">&gt;80%   PASS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Max Single-Client Concentration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40%</w:t>
            </w:r>
          </w:p>
        </w:tc>
        <w:tc>
          <w:tcPr>
            <w:tcW w:type="dxa" w:w="4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A5C2A"/>
                <w:sz w:val="20"/>
                <w:szCs w:val="20"/>
              </w:rPr>
              <w:t xml:space="preserve">&lt;6%   PASS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Geography</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North America</w:t>
            </w:r>
          </w:p>
        </w:tc>
        <w:tc>
          <w:tcPr>
            <w:tcW w:type="dxa" w:w="4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A5C2A"/>
                <w:sz w:val="20"/>
                <w:szCs w:val="20"/>
              </w:rPr>
              <w:t xml:space="preserve">Nashville, TN (US)   PASS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Business Model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Software/tech platform</w:t>
            </w:r>
          </w:p>
        </w:tc>
        <w:tc>
          <w:tcPr>
            <w:tcW w:type="dxa" w:w="4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A5C2A"/>
                <w:sz w:val="20"/>
                <w:szCs w:val="20"/>
              </w:rPr>
              <w:t xml:space="preserve">Modern SaaS on AWS   PASS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EV Range</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$500M - $2B+</w:t>
            </w:r>
          </w:p>
        </w:tc>
        <w:tc>
          <w:tcPr>
            <w:tcW w:type="dxa" w:w="4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A5C2A"/>
                <w:sz w:val="20"/>
                <w:szCs w:val="20"/>
              </w:rPr>
              <w:t xml:space="preserve">~$1.30B   PASS</w:t>
            </w:r>
          </w:p>
        </w:tc>
      </w:tr>
    </w:tbl>
    <w:p>
      <w:pPr>
        <w:spacing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1A7A2E" w:sz="8"/>
              <w:left w:val="single" w:color="1A7A2E" w:sz="16"/>
              <w:bottom w:val="single" w:color="1A7A2E" w:sz="8"/>
              <w:right w:val="single" w:color="1A7A2E" w:sz="8"/>
            </w:tcBorders>
            <w:shd w:fill="E8F5E9" w:val="clear"/>
            <w:tcMar>
              <w:top w:type="dxa" w:w="80"/>
              <w:left w:type="dxa" w:w="140"/>
              <w:bottom w:type="dxa" w:w="80"/>
              <w:right w:type="dxa" w:w="140"/>
            </w:tcMar>
          </w:tcPr>
          <w:p>
            <w:r>
              <w:rPr>
                <w:rFonts w:ascii="Arial" w:cs="Arial" w:eastAsia="Arial" w:hAnsi="Arial"/>
                <w:b/>
                <w:bCs/>
                <w:color w:val="1A5C2A"/>
                <w:sz w:val="20"/>
                <w:szCs w:val="20"/>
              </w:rPr>
              <w:t xml:space="preserve">All 7 mandatory filters PASS. No hard pass triggered. Proceed to scoring.</w:t>
            </w:r>
          </w:p>
        </w:tc>
      </w:tr>
    </w:tbl>
    <w:p>
      <w:pPr>
        <w:spacing w:after="60"/>
      </w:pPr>
      <w:r>
        <w:t xml:space="preserve"/>
      </w:r>
    </w:p>
    <w:p>
      <w:pPr>
        <w:shd w:fill="1B3A5C" w:val="clear"/>
        <w:spacing w:after="140" w:before="280"/>
      </w:pPr>
      <w:r>
        <w:rPr>
          <w:rFonts w:ascii="Arial" w:cs="Arial" w:eastAsia="Arial" w:hAnsi="Arial"/>
          <w:b/>
          <w:bCs/>
          <w:color w:val="FFFFFF"/>
          <w:sz w:val="24"/>
          <w:szCs w:val="24"/>
        </w:rPr>
        <w:t xml:space="preserve">SECTION 3 — SCORING SUMMARY</w:t>
      </w:r>
    </w:p>
    <w:p>
      <w:pPr>
        <w:spacing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200"/>
        <w:gridCol w:w="900"/>
        <w:gridCol w:w="1000"/>
        <w:gridCol w:w="3100"/>
      </w:tblGrid>
      <w:tr>
        <w:tc>
          <w:tcPr>
            <w:tcW w:type="dxa" w:w="4200"/>
            <w:gridSpan w:val="1"/>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Criterion</w:t>
            </w:r>
          </w:p>
        </w:tc>
        <w:tc>
          <w:tcPr>
            <w:tcW w:type="dxa" w:w="900"/>
            <w:gridSpan w:val="1"/>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Score</w:t>
            </w:r>
          </w:p>
        </w:tc>
        <w:tc>
          <w:tcPr>
            <w:tcW w:type="dxa" w:w="1000"/>
            <w:gridSpan w:val="1"/>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Weight</w:t>
            </w:r>
          </w:p>
        </w:tc>
        <w:tc>
          <w:tcPr>
            <w:tcW w:type="dxa" w:w="3100"/>
            <w:gridSpan w:val="1"/>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Wtd Score</w:t>
            </w:r>
          </w:p>
        </w:tc>
      </w:tr>
      <w:tr>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Revenue Model Quality — &gt;80% recurring, 3-5 year auto-renewing contracts</w:t>
            </w:r>
          </w:p>
        </w:tc>
        <w:tc>
          <w:tcPr>
            <w:tcW w:type="dxa" w:w="900"/>
            <w:tcBorders>
              <w:top w:val="single" w:color="CCCCCC" w:sz="1"/>
              <w:left w:val="single" w:color="CCCCCC" w:sz="1"/>
              <w:bottom w:val="single" w:color="CCCCCC" w:sz="1"/>
              <w:right w:val="single" w:color="CCCCCC" w:sz="1"/>
            </w:tcBorders>
            <w:shd w:fill="1A7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5</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12%</w:t>
            </w:r>
          </w:p>
        </w:tc>
        <w:tc>
          <w:tcPr>
            <w:tcW w:type="dxa" w:w="3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1.00</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Revenue Growth — 14% CAGR under GTCR; FY2024E at 20.9% YoY</w:t>
            </w:r>
          </w:p>
        </w:tc>
        <w:tc>
          <w:tcPr>
            <w:tcW w:type="dxa" w:w="900"/>
            <w:tcBorders>
              <w:top w:val="single" w:color="CCCCCC" w:sz="1"/>
              <w:left w:val="single" w:color="CCCCCC" w:sz="1"/>
              <w:bottom w:val="single" w:color="CCCCCC" w:sz="1"/>
              <w:right w:val="single" w:color="CCCCCC" w:sz="1"/>
            </w:tcBorders>
            <w:shd w:fill="92D050"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4</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10%</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0.80</w:t>
            </w:r>
          </w:p>
        </w:tc>
      </w:tr>
      <w:tr>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NRR — ~108%; above 100% threshold, below 110%+ exceptional bar</w:t>
            </w:r>
          </w:p>
        </w:tc>
        <w:tc>
          <w:tcPr>
            <w:tcW w:type="dxa" w:w="900"/>
            <w:tcBorders>
              <w:top w:val="single" w:color="CCCCCC" w:sz="1"/>
              <w:left w:val="single" w:color="CCCCCC" w:sz="1"/>
              <w:bottom w:val="single" w:color="CCCCCC" w:sz="1"/>
              <w:right w:val="single" w:color="CCCCCC" w:sz="1"/>
            </w:tcBorders>
            <w:shd w:fill="92D050"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4</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10%</w:t>
            </w:r>
          </w:p>
        </w:tc>
        <w:tc>
          <w:tcPr>
            <w:tcW w:type="dxa" w:w="3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0.80</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Customer Concentration — Top client &lt;6%; top 20 at ~38% of revenue</w:t>
            </w:r>
          </w:p>
        </w:tc>
        <w:tc>
          <w:tcPr>
            <w:tcW w:type="dxa" w:w="900"/>
            <w:tcBorders>
              <w:top w:val="single" w:color="CCCCCC" w:sz="1"/>
              <w:left w:val="single" w:color="CCCCCC" w:sz="1"/>
              <w:bottom w:val="single" w:color="CCCCCC" w:sz="1"/>
              <w:right w:val="single" w:color="CCCCCC" w:sz="1"/>
            </w:tcBorders>
            <w:shd w:fill="92D050"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4</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8%</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0.64</w:t>
            </w:r>
          </w:p>
        </w:tc>
      </w:tr>
      <w:tr>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EBITDA Margin — 27.0% FY2023; above 20% floor, below 30%+ target</w:t>
            </w:r>
          </w:p>
        </w:tc>
        <w:tc>
          <w:tcPr>
            <w:tcW w:type="dxa" w:w="900"/>
            <w:tcBorders>
              <w:top w:val="single" w:color="CCCCCC" w:sz="1"/>
              <w:left w:val="single" w:color="CCCCCC" w:sz="1"/>
              <w:bottom w:val="single" w:color="CCCCCC" w:sz="1"/>
              <w:right w:val="single" w:color="CCCCCC" w:sz="1"/>
            </w:tcBorders>
            <w:shd w:fill="92D050"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4</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10%</w:t>
            </w:r>
          </w:p>
        </w:tc>
        <w:tc>
          <w:tcPr>
            <w:tcW w:type="dxa" w:w="3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0.80</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Revenue Scale — $248M FY2023; $300M FY2024E; exceeds $250M threshold</w:t>
            </w:r>
          </w:p>
        </w:tc>
        <w:tc>
          <w:tcPr>
            <w:tcW w:type="dxa" w:w="900"/>
            <w:tcBorders>
              <w:top w:val="single" w:color="CCCCCC" w:sz="1"/>
              <w:left w:val="single" w:color="CCCCCC" w:sz="1"/>
              <w:bottom w:val="single" w:color="CCCCCC" w:sz="1"/>
              <w:right w:val="single" w:color="CCCCCC" w:sz="1"/>
            </w:tcBorders>
            <w:shd w:fill="1A7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5</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8%</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0.80</w:t>
            </w:r>
          </w:p>
        </w:tc>
      </w:tr>
      <w:tr>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EV / Returns Fit — 19.4x entry; base case returns tight at 15x exit multiple</w:t>
            </w:r>
          </w:p>
        </w:tc>
        <w:tc>
          <w:tcPr>
            <w:tcW w:type="dxa" w:w="900"/>
            <w:tcBorders>
              <w:top w:val="single" w:color="CCCCCC" w:sz="1"/>
              <w:left w:val="single" w:color="CCCCCC" w:sz="1"/>
              <w:bottom w:val="single" w:color="CCCCCC" w:sz="1"/>
              <w:right w:val="single" w:color="CCCCCC" w:sz="1"/>
            </w:tcBorders>
            <w:shd w:fill="FFC000"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3</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10%</w:t>
            </w:r>
          </w:p>
        </w:tc>
        <w:tc>
          <w:tcPr>
            <w:tcW w:type="dxa" w:w="3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0.60</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Market Tailwinds — RCM market $52B at 10.8% CAGR; price transparency mandates</w:t>
            </w:r>
          </w:p>
        </w:tc>
        <w:tc>
          <w:tcPr>
            <w:tcW w:type="dxa" w:w="900"/>
            <w:tcBorders>
              <w:top w:val="single" w:color="CCCCCC" w:sz="1"/>
              <w:left w:val="single" w:color="CCCCCC" w:sz="1"/>
              <w:bottom w:val="single" w:color="CCCCCC" w:sz="1"/>
              <w:right w:val="single" w:color="CCCCCC" w:sz="1"/>
            </w:tcBorders>
            <w:shd w:fill="1A7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5</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8%</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0.80</w:t>
            </w:r>
          </w:p>
        </w:tc>
      </w:tr>
      <w:tr>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Competitive Moat — #1 KLAS, 300M consumer profiles, 85% hospital EHR coverage</w:t>
            </w:r>
          </w:p>
        </w:tc>
        <w:tc>
          <w:tcPr>
            <w:tcW w:type="dxa" w:w="900"/>
            <w:tcBorders>
              <w:top w:val="single" w:color="CCCCCC" w:sz="1"/>
              <w:left w:val="single" w:color="CCCCCC" w:sz="1"/>
              <w:bottom w:val="single" w:color="CCCCCC" w:sz="1"/>
              <w:right w:val="single" w:color="CCCCCC" w:sz="1"/>
            </w:tcBorders>
            <w:shd w:fill="1A7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5</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8%</w:t>
            </w:r>
          </w:p>
        </w:tc>
        <w:tc>
          <w:tcPr>
            <w:tcW w:type="dxa" w:w="3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0.80</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PE Partnership History — GTCR 2016-2024; CEO and mgmt team PE-experienced</w:t>
            </w:r>
          </w:p>
        </w:tc>
        <w:tc>
          <w:tcPr>
            <w:tcW w:type="dxa" w:w="900"/>
            <w:tcBorders>
              <w:top w:val="single" w:color="CCCCCC" w:sz="1"/>
              <w:left w:val="single" w:color="CCCCCC" w:sz="1"/>
              <w:bottom w:val="single" w:color="CCCCCC" w:sz="1"/>
              <w:right w:val="single" w:color="CCCCCC" w:sz="1"/>
            </w:tcBorders>
            <w:shd w:fill="1A7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5</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8%</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0.80</w:t>
            </w:r>
          </w:p>
        </w:tc>
      </w:tr>
      <w:tr>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Process Quality — Full sell-side auction run by Morgan Stanley + Triple Tree</w:t>
            </w:r>
          </w:p>
        </w:tc>
        <w:tc>
          <w:tcPr>
            <w:tcW w:type="dxa" w:w="90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1</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8%</w:t>
            </w:r>
          </w:p>
        </w:tc>
        <w:tc>
          <w:tcPr>
            <w:tcW w:type="dxa" w:w="3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0.16</w:t>
            </w:r>
          </w:p>
        </w:tc>
      </w:tr>
      <w:tr>
        <w:tc>
          <w:tcPr>
            <w:tcW w:type="dxa" w:w="6100"/>
            <w:gridSpan w:val="3"/>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TOTAL WEIGHTED SCORE</w:t>
            </w:r>
          </w:p>
        </w:tc>
        <w:tc>
          <w:tcPr>
            <w:tcW w:type="dxa" w:w="3100"/>
            <w:tcBorders>
              <w:top w:val="single" w:color="CCCCCC" w:sz="1"/>
              <w:left w:val="single" w:color="CCCCCC" w:sz="1"/>
              <w:bottom w:val="single" w:color="CCCCCC" w:sz="1"/>
              <w:right w:val="single" w:color="CCCCCC" w:sz="1"/>
            </w:tcBorders>
            <w:shd w:fill="1A7A2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82.0 / 100</w:t>
            </w:r>
          </w:p>
        </w:tc>
      </w:tr>
    </w:tbl>
    <w:p>
      <w:pPr>
        <w:spacing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800"/>
      </w:tblGrid>
      <w:tr>
        <w:tc>
          <w:tcPr>
            <w:tcW w:type="dxa" w:w="1800"/>
            <w:gridSpan w:val="1"/>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Score Range</w:t>
            </w:r>
          </w:p>
        </w:tc>
        <w:tc>
          <w:tcPr>
            <w:tcW w:type="dxa" w:w="3600"/>
            <w:gridSpan w:val="1"/>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Interpretation</w:t>
            </w:r>
          </w:p>
        </w:tc>
        <w:tc>
          <w:tcPr>
            <w:tcW w:type="dxa" w:w="3800"/>
            <w:gridSpan w:val="1"/>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RevSpring Result</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80 - 100</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Strong Proceed</w:t>
            </w:r>
          </w:p>
        </w:tc>
        <w:tc>
          <w:tcPr>
            <w:tcW w:type="dxa" w:w="3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A5C2A"/>
                <w:sz w:val="20"/>
                <w:szCs w:val="20"/>
              </w:rPr>
              <w:t xml:space="preserve">82.0 — STRONG PROCEED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65 - 79</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Conditional Proceed</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Below 65</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Pass</w:t>
            </w:r>
          </w:p>
        </w:tc>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r>
    </w:tbl>
    <w:p>
      <w:r>
        <w:br w:type="page"/>
      </w:r>
    </w:p>
    <w:p>
      <w:pPr>
        <w:shd w:fill="1B3A5C" w:val="clear"/>
        <w:spacing w:after="140" w:before="280"/>
      </w:pPr>
      <w:r>
        <w:rPr>
          <w:rFonts w:ascii="Arial" w:cs="Arial" w:eastAsia="Arial" w:hAnsi="Arial"/>
          <w:b/>
          <w:bCs/>
          <w:color w:val="FFFFFF"/>
          <w:sz w:val="24"/>
          <w:szCs w:val="24"/>
        </w:rPr>
        <w:t xml:space="preserve">SECTION 4 — RED FLAGS</w:t>
      </w:r>
    </w:p>
    <w:p>
      <w:pPr>
        <w:spacing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60"/>
        <w:gridCol w:w="5760"/>
        <w:gridCol w:w="3080"/>
      </w:tblGrid>
      <w:tr>
        <w:tc>
          <w:tcPr>
            <w:tcW w:type="dxa" w:w="360"/>
            <w:gridSpan w:val="1"/>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5760"/>
            <w:gridSpan w:val="1"/>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Red Flag / Implication</w:t>
            </w:r>
          </w:p>
        </w:tc>
        <w:tc>
          <w:tcPr>
            <w:tcW w:type="dxa" w:w="3080"/>
            <w:gridSpan w:val="1"/>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Severity</w:t>
            </w:r>
          </w:p>
        </w:tc>
      </w:tr>
      <w:tr>
        <w:tc>
          <w:tcPr>
            <w:tcW w:type="dxa" w:w="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1</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19.4x EBITDA Entry Multiple: Base case FY2026 implied EV of ~$1.38B at 15x EBITDA implies minimal capital appreciation before leverage paydown; returns are back-end loaded and highly sensitive to exit multiple compression, creating asymmetric downside if growth decelerates.</w:t>
            </w:r>
          </w:p>
        </w:tc>
        <w:tc>
          <w:tcPr>
            <w:tcW w:type="dxa" w:w="308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color w:val="7D4E00"/>
                <w:sz w:val="20"/>
                <w:szCs w:val="20"/>
              </w:rPr>
              <w:t xml:space="preserve">Significant</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2</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New CFO Mid-Transaction: David Smith (CFO) joined July 2024 mid-deal, replacing Mark Coggin; reporting continuity and absence of material restatements since the CFO transition have not been confirmed, representing near-term financial reporting risk.</w:t>
            </w:r>
          </w:p>
        </w:tc>
        <w:tc>
          <w:tcPr>
            <w:tcW w:type="dxa" w:w="308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color w:val="7D4E00"/>
                <w:sz w:val="20"/>
                <w:szCs w:val="20"/>
              </w:rPr>
              <w:t xml:space="preserve">Significant</w:t>
            </w:r>
          </w:p>
        </w:tc>
      </w:tr>
      <w:tr>
        <w:tc>
          <w:tcPr>
            <w:tcW w:type="dxa" w:w="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3</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EBITDA Margin at 27% vs. 30%+ Target: Margin expansion into the 30%+ range requires successful SaaS mix improvement from ~52% to ~65%; if cross-sell uptake underperforms the business plan, the path to best-in-class margins is delayed or impaired.</w:t>
            </w:r>
          </w:p>
        </w:tc>
        <w:tc>
          <w:tcPr>
            <w:tcW w:type="dxa" w:w="3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Minor</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4</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Print &amp; Mail Structural Decline: Physical statement services face secular headwinds as digital channels displace print; accelerated mix shift could compress revenue and create retention risk for clients dependent on high-volume physical statements.</w:t>
            </w:r>
          </w:p>
        </w:tc>
        <w:tc>
          <w:tcPr>
            <w:tcW w:type="dxa" w:w="3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Minor</w:t>
            </w:r>
          </w:p>
        </w:tc>
      </w:tr>
      <w:tr>
        <w:tc>
          <w:tcPr>
            <w:tcW w:type="dxa" w:w="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5</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NRR at ~108% vs. 110%+ Target: Gross revenue retention of ~94% indicates non-trivial client churn; community hospital clients exposed to health system consolidation represent the primary at-risk cohort and warrant focused monitoring.</w:t>
            </w:r>
          </w:p>
        </w:tc>
        <w:tc>
          <w:tcPr>
            <w:tcW w:type="dxa" w:w="3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Minor</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6</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Net Leverage 4.3x at Entry: EBITDA covenant minimum of $58M provides limited headroom vs. FY2023 actuals of $67M; variable rate exposure at SOFR + 400-450bps is material in a sustained high-rate environment.</w:t>
            </w:r>
          </w:p>
        </w:tc>
        <w:tc>
          <w:tcPr>
            <w:tcW w:type="dxa" w:w="3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Minor</w:t>
            </w:r>
          </w:p>
        </w:tc>
      </w:tr>
      <w:tr>
        <w:tc>
          <w:tcPr>
            <w:tcW w:type="dxa" w:w="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7</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Top 20 Client Concentration at 38%: Large IDN clients carry outsized renewal risk; concentrated contract events in a single year could create revenue lumpiness and require focused retention investment by the account management team.</w:t>
            </w:r>
          </w:p>
        </w:tc>
        <w:tc>
          <w:tcPr>
            <w:tcW w:type="dxa" w:w="3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Minor</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8</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TCPA / Communications Regulatory Risk: 1.5B+ annual outreach communications creates ongoing litigation exposure; evolving FCC prior express consent rules may require near-term operational process changes that could increase compliance cost.</w:t>
            </w:r>
          </w:p>
        </w:tc>
        <w:tc>
          <w:tcPr>
            <w:tcW w:type="dxa" w:w="3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Minor</w:t>
            </w:r>
          </w:p>
        </w:tc>
      </w:tr>
    </w:tbl>
    <w:p>
      <w:pPr>
        <w:spacing w:after="60"/>
      </w:pPr>
      <w:r>
        <w:t xml:space="preserve"/>
      </w:r>
    </w:p>
    <w:p>
      <w:pPr>
        <w:shd w:fill="1B3A5C" w:val="clear"/>
        <w:spacing w:after="140" w:before="280"/>
      </w:pPr>
      <w:r>
        <w:rPr>
          <w:rFonts w:ascii="Arial" w:cs="Arial" w:eastAsia="Arial" w:hAnsi="Arial"/>
          <w:b/>
          <w:bCs/>
          <w:color w:val="FFFFFF"/>
          <w:sz w:val="24"/>
          <w:szCs w:val="24"/>
        </w:rPr>
        <w:t xml:space="preserve">SECTION 5 — RECOMMENDATION</w:t>
      </w:r>
    </w:p>
    <w:p>
      <w:pPr>
        <w:spacing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FFC000" w:sz="12"/>
              <w:left w:val="single" w:color="FFC000" w:sz="20"/>
              <w:bottom w:val="single" w:color="FFC000" w:sz="12"/>
              <w:right w:val="single" w:color="FFC000" w:sz="12"/>
            </w:tcBorders>
            <w:shd w:fill="FFF3CD" w:val="clear"/>
            <w:tcMar>
              <w:top w:type="dxa" w:w="140"/>
              <w:left w:type="dxa" w:w="200"/>
              <w:bottom w:type="dxa" w:w="140"/>
              <w:right w:type="dxa" w:w="200"/>
            </w:tcMar>
          </w:tcPr>
          <w:p>
            <w:r>
              <w:rPr>
                <w:rFonts w:ascii="Arial" w:cs="Arial" w:eastAsia="Arial" w:hAnsi="Arial"/>
                <w:b/>
                <w:bCs/>
                <w:color w:val="7D4E00"/>
                <w:sz w:val="30"/>
                <w:szCs w:val="30"/>
              </w:rPr>
              <w:t xml:space="preserve">  CONDITIONAL PROCEED</w:t>
            </w:r>
          </w:p>
        </w:tc>
      </w:tr>
    </w:tbl>
    <w:p>
      <w:pPr>
        <w:spacing w:after="60"/>
      </w:pPr>
      <w:r>
        <w:t xml:space="preserve"/>
      </w:r>
    </w:p>
    <w:p>
      <w:pPr>
        <w:spacing w:after="80"/>
      </w:pPr>
      <w:r>
        <w:rPr>
          <w:rFonts w:ascii="Arial" w:cs="Arial" w:eastAsia="Arial" w:hAnsi="Arial"/>
          <w:b w:val="false"/>
          <w:bCs w:val="false"/>
          <w:color w:val="000000"/>
          <w:sz w:val="20"/>
          <w:szCs w:val="20"/>
        </w:rPr>
        <w:t xml:space="preserve">RevSpring clears all 7 mandatory filters and scores 82.0 out of 100, placing it in the Strong Proceed band on a standalone basis. Conditional status reflects the 19.4x EBITDA entry multiple and unconfirmed CFO transition, which require resolution before committing full commercial DD resources. The following three conditions must be satisfied:</w:t>
      </w:r>
    </w:p>
    <w:p>
      <w:pPr>
        <w:spacing w:after="60"/>
      </w:pPr>
      <w:r>
        <w:t xml:space="preserve"/>
      </w:r>
    </w:p>
    <w:p>
      <w:pPr>
        <w:pStyle w:val="ListParagraph"/>
        <w:numPr>
          <w:ilvl w:val="0"/>
          <w:numId w:val="3"/>
        </w:numPr>
        <w:spacing w:after="100"/>
      </w:pPr>
      <w:r>
        <w:rPr>
          <w:rFonts w:ascii="Arial" w:cs="Arial" w:eastAsia="Arial" w:hAnsi="Arial"/>
          <w:sz w:val="20"/>
          <w:szCs w:val="20"/>
        </w:rPr>
        <w:t xml:space="preserve">Obtain a post-close trailing twelve-month management accounts package from Frazier confirming the CFO transition to David Smith is complete, no material restatements have occurred since July 2024, and financial controls continuity is intact.</w:t>
      </w:r>
    </w:p>
    <w:p>
      <w:pPr>
        <w:pStyle w:val="ListParagraph"/>
        <w:numPr>
          <w:ilvl w:val="0"/>
          <w:numId w:val="3"/>
        </w:numPr>
        <w:spacing w:after="100"/>
      </w:pPr>
      <w:r>
        <w:rPr>
          <w:rFonts w:ascii="Arial" w:cs="Arial" w:eastAsia="Arial" w:hAnsi="Arial"/>
          <w:sz w:val="20"/>
          <w:szCs w:val="20"/>
        </w:rPr>
        <w:t xml:space="preserve">Request a granular revenue bridge by product line (SaaS, transaction-based, print/ARM) for FY2022-FY2024 to validate the SaaS mix shift trajectory, quantify the Print &amp; Mail tail risk under bear case assumptions, and confirm the margin expansion path to 30%+.</w:t>
      </w:r>
    </w:p>
    <w:p>
      <w:pPr>
        <w:pStyle w:val="ListParagraph"/>
        <w:numPr>
          <w:ilvl w:val="0"/>
          <w:numId w:val="3"/>
        </w:numPr>
        <w:spacing w:after="100"/>
      </w:pPr>
      <w:r>
        <w:rPr>
          <w:rFonts w:ascii="Arial" w:cs="Arial" w:eastAsia="Arial" w:hAnsi="Arial"/>
          <w:sz w:val="20"/>
          <w:szCs w:val="20"/>
        </w:rPr>
        <w:t xml:space="preserve">Confirm that Morsebridge's 3.0x+ MOIC return threshold is achievable at the base case from entry EV of ~$1.3B before committing commercial DD resources; if base case returns are sub-3.0x at a 15x EBITDA exit multiple, this becomes a pass.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pBdr>
      <w:tabs>
        <w:tab w:val="right" w:pos="9200"/>
      </w:tabs>
      <w:spacing w:before="80"/>
    </w:pPr>
    <w:r>
      <w:rPr>
        <w:rFonts w:ascii="Arial" w:cs="Arial" w:eastAsia="Arial" w:hAnsi="Arial"/>
        <w:i/>
        <w:iCs/>
        <w:color w:val="888888"/>
        <w:sz w:val="18"/>
        <w:szCs w:val="18"/>
      </w:rPr>
      <w:t xml:space="preserve">Confidential | Morsebridge Healthcare | For Internal Use Only</w:t>
    </w:r>
    <w:r>
      <w:rPr>
        <w:rFonts w:ascii="Arial" w:cs="Arial" w:eastAsia="Arial" w:hAnsi="Arial"/>
        <w:color w:val="888888"/>
        <w:sz w:val="18"/>
        <w:szCs w:val="18"/>
      </w:rPr>
      <w:t xml:space="preserve">	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6"/>
      </w:pBdr>
      <w:tabs>
        <w:tab w:val="right" w:pos="9200"/>
      </w:tabs>
      <w:spacing w:after="80"/>
    </w:pPr>
    <w:r>
      <w:rPr>
        <w:rFonts w:ascii="Arial" w:cs="Arial" w:eastAsia="Arial" w:hAnsi="Arial"/>
        <w:b/>
        <w:bCs/>
        <w:color w:val="1B3A5C"/>
        <w:sz w:val="22"/>
        <w:szCs w:val="22"/>
      </w:rPr>
      <w:t xml:space="preserve">RevSpring, Inc.</w:t>
    </w:r>
    <w:r>
      <w:rPr>
        <w:rFonts w:ascii="Arial" w:cs="Arial" w:eastAsia="Arial" w:hAnsi="Arial"/>
        <w:color w:val="555555"/>
        <w:sz w:val="20"/>
        <w:szCs w:val="20"/>
      </w:rPr>
      <w:t xml:space="preserve">	CIM Screening Report  |  June 5,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2026-06-05T12:15:04.634Z</dcterms:created>
  <dcterms:modified xsi:type="dcterms:W3CDTF">2026-06-05T12:15:04.635Z</dcterms:modified>
</cp:coreProperties>
</file>

<file path=docProps/custom.xml><?xml version="1.0" encoding="utf-8"?>
<Properties xmlns="http://schemas.openxmlformats.org/officeDocument/2006/custom-properties" xmlns:vt="http://schemas.openxmlformats.org/officeDocument/2006/docPropsVTypes"/>
</file>