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3A5C"/>
          <w:sz w:val="20"/>
          <w:szCs w:val="20"/>
        </w:rPr>
        <w:t xml:space="preserve">COMMERCIAL DUE DILIGENCE</w:t>
      </w:r>
    </w:p>
    <w:p>
      <w:pPr>
        <w:spacing w:after="60"/>
      </w:pPr>
      <w:r>
        <w:rPr>
          <w:rFonts w:ascii="Arial" w:cs="Arial" w:eastAsia="Arial" w:hAnsi="Arial"/>
          <w:b/>
          <w:bCs/>
          <w:color w:val="1B3A5C"/>
          <w:sz w:val="36"/>
          <w:szCs w:val="36"/>
        </w:rPr>
        <w:t xml:space="preserve">COMPETITIVE ANALYSIS REPORT</w:t>
      </w:r>
    </w:p>
    <w:p>
      <w:pPr>
        <w:spacing w:after="60"/>
      </w:pPr>
      <w:r>
        <w:rPr>
          <w:rFonts w:ascii="Arial" w:cs="Arial" w:eastAsia="Arial" w:hAnsi="Arial"/>
          <w:color w:val="444444"/>
          <w:sz w:val="24"/>
          <w:szCs w:val="24"/>
        </w:rPr>
        <w:t xml:space="preserve">RevSpring, Inc.  |  Patient Engagement &amp; Revenue Cycle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Prepared by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Morsebridge Healthcare — AI Deal Team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5,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Company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RevSpring, Inc.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Deal Type</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Buyout — Frazier Healthcare Partners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Document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Analysis — Commercial DD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 For Internal Use Only</w:t>
            </w:r>
          </w:p>
        </w:tc>
      </w:tr>
    </w:tbl>
    <w:p>
      <w:pPr>
        <w:spacing w:after="80"/>
      </w:pPr>
      <w:r>
        <w:t xml:space="preserve"/>
      </w:r>
    </w:p>
    <w:p>
      <w:pPr>
        <w:spacing w:after="100"/>
      </w:pPr>
      <w:r>
        <w:rPr>
          <w:rFonts w:ascii="Arial" w:cs="Arial" w:eastAsia="Arial" w:hAnsi="Arial"/>
          <w:b w:val="false"/>
          <w:bCs w:val="false"/>
          <w:color w:val="2E6DB4"/>
          <w:sz w:val="20"/>
          <w:szCs w:val="20"/>
        </w:rPr>
        <w:t xml:space="preserve">Confidential | Morsebridge Healthcare | For Internal Use Only</w:t>
      </w:r>
    </w:p>
    <w:p>
      <w:r>
        <w:br w:type="page"/>
      </w:r>
    </w:p>
    <w:p>
      <w:pPr>
        <w:shd w:fill="1B3A5C" w:val="clear"/>
        <w:spacing w:after="120" w:before="240"/>
      </w:pPr>
      <w:r>
        <w:rPr>
          <w:rFonts w:ascii="Arial" w:cs="Arial" w:eastAsia="Arial" w:hAnsi="Arial"/>
          <w:b/>
          <w:bCs/>
          <w:color w:val="FFFFFF"/>
          <w:sz w:val="26"/>
          <w:szCs w:val="26"/>
        </w:rPr>
        <w:t xml:space="preserve">1. Executive Summary</w:t>
      </w:r>
    </w:p>
    <w:p>
      <w:pPr>
        <w:spacing w:after="100"/>
      </w:pPr>
      <w:r>
        <w:rPr>
          <w:rFonts w:ascii="Arial" w:cs="Arial" w:eastAsia="Arial" w:hAnsi="Arial"/>
          <w:b w:val="false"/>
          <w:bCs w:val="false"/>
          <w:color w:val="000000"/>
          <w:sz w:val="20"/>
          <w:szCs w:val="20"/>
        </w:rPr>
        <w:t xml:space="preserve">RevSpring holds the strongest competitive position in the patient financial engagement segment of the U.S. RCM market as of mid-2026. The Company is the #1 KLAS-rated vendor in Patient Financial Engagement for the second consecutive year, scoring 90.3 points versus nearest competitor Waystar at 88.8 points and Flywire at 88.4. All PersonaPay customers surveyed by KLAS stated they would purchase the product again — a retention signal that is exceptional for an enterprise healthcare software platform.</w:t>
      </w:r>
    </w:p>
    <w:p>
      <w:pPr>
        <w:spacing w:after="100"/>
      </w:pPr>
      <w:r>
        <w:rPr>
          <w:rFonts w:ascii="Arial" w:cs="Arial" w:eastAsia="Arial" w:hAnsi="Arial"/>
          <w:b w:val="false"/>
          <w:bCs w:val="false"/>
          <w:color w:val="000000"/>
          <w:sz w:val="20"/>
          <w:szCs w:val="20"/>
        </w:rPr>
        <w:t xml:space="preserve">The Company's competitive moat rests on three durable pillars: a proprietary behavioral analytics database covering 300M+ U.S. consumers (non-replicable in a short time horizon), bidirectional EHR integrations covering approximately 85% of the U.S. hospital market (creating deep workflow embeddedness), and a PCI DSS Level 1 and HIPAA-compliant infrastructure that represents a significant compliance barrier for smaller competitors. Under Frazier's ownership, RevSpring has extended its competitive position through the Kyruus Health acquisition (Q4 2025, adding provider search and scheduling) and the TrustCommerce acquisition (February 2026, adding integrated payment gateway), creating a full-stack patient financial journey platform with no direct analogue at scale in the market.</w:t>
      </w:r>
    </w:p>
    <w:p>
      <w:pPr>
        <w:spacing w:after="100"/>
      </w:pPr>
      <w:r>
        <w:rPr>
          <w:rFonts w:ascii="Arial" w:cs="Arial" w:eastAsia="Arial" w:hAnsi="Arial"/>
          <w:b w:val="false"/>
          <w:bCs w:val="false"/>
          <w:color w:val="000000"/>
          <w:sz w:val="20"/>
          <w:szCs w:val="20"/>
        </w:rPr>
        <w:t xml:space="preserve">The primary competitive risks are: (1) Epic MyChart's continued expansion of native patient portal and billing capabilities into workflows that overlap with RevSpring; (2) Cedar's sustained VC investment and growing payment processing scale ($10B+ annually, now exceeding RevSpring's $8B+ disclosed figure); and (3) the commercial threat of Waystar's platform expansion following its May 2026 acquisition of Iodine Software (AI clinical documentation), which signals Waystar's intent to own a broader RCM workflow share.</w:t>
      </w:r>
    </w:p>
    <w:p>
      <w:pPr>
        <w:spacing w:after="100"/>
      </w:pPr>
      <w:r>
        <w:rPr>
          <w:rFonts w:ascii="Arial" w:cs="Arial" w:eastAsia="Arial" w:hAnsi="Arial"/>
          <w:b w:val="false"/>
          <w:bCs w:val="false"/>
          <w:color w:val="000000"/>
          <w:sz w:val="20"/>
          <w:szCs w:val="20"/>
        </w:rPr>
        <w:t xml:space="preserve">Morsebridge view: RevSpring's competitive position is strong and supported by non-replicable moat elements. The principal near-term risk is not displacement but erosion — gradual encroachment by EHR-native tools at the product margin, and Cedar's growing relevance at digitally sophisticated large health systems.</w:t>
      </w:r>
    </w:p>
    <w:p>
      <w:pPr>
        <w:spacing w:after="80"/>
      </w:pPr>
      <w:r>
        <w:t xml:space="preserve"/>
      </w:r>
    </w:p>
    <w:p>
      <w:pPr>
        <w:shd w:fill="1B3A5C" w:val="clear"/>
        <w:spacing w:after="120" w:before="240"/>
      </w:pPr>
      <w:r>
        <w:rPr>
          <w:rFonts w:ascii="Arial" w:cs="Arial" w:eastAsia="Arial" w:hAnsi="Arial"/>
          <w:b/>
          <w:bCs/>
          <w:color w:val="FFFFFF"/>
          <w:sz w:val="26"/>
          <w:szCs w:val="26"/>
        </w:rPr>
        <w:t xml:space="preserve">2. Competitive Landscape Overview</w:t>
      </w:r>
    </w:p>
    <w:p>
      <w:pPr>
        <w:spacing w:after="100"/>
      </w:pPr>
      <w:r>
        <w:rPr>
          <w:rFonts w:ascii="Arial" w:cs="Arial" w:eastAsia="Arial" w:hAnsi="Arial"/>
          <w:b w:val="false"/>
          <w:bCs w:val="false"/>
          <w:color w:val="000000"/>
          <w:sz w:val="20"/>
          <w:szCs w:val="20"/>
        </w:rPr>
        <w:t xml:space="preserve">The patient financial engagement market includes six primary competitor categories: pure-play patient financial engagement platforms (Cedar, Flywire), broad RCM platforms with patient engagement components (Waystar, Experian Health), EHR-native solutions (Epic MyChart, Oracle Health Financial), full-cycle RCM outsourcers (R1 RCM), and emerging AI-native RCM platforms (NMC AI-RCM Platform: Access Healthcare + SmarterDx + Thoughtful.ai). RevSpring is the only vendor that competes across print/mail, digital engagement, integrated payments, and proprietary analytics at enterprise scale — a combination that creates a unique positioning difficult for any single competitor to match.</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500"/>
        <w:gridCol w:w="25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Geography</w:t>
            </w:r>
          </w:p>
        </w:tc>
        <w:tc>
          <w:tcPr>
            <w:tcW w:type="dxa" w:w="25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Strengths vs. RevSpring</w:t>
            </w:r>
          </w:p>
        </w:tc>
        <w:tc>
          <w:tcPr>
            <w:tcW w:type="dxa" w:w="25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Weaknesses vs. RevSpring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Waystar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PE/Public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RCM platform, strong clearinghouse, NASDAQ IPO 2024, acquired Iodine (AI coding) May 2026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patient engagement depth vs. RevSpring; KLAS 88.8 vs. 90.3; no print/mail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Cedar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VC-backed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Superior digital UX; $10B+ payment volume; strong large IDN references; $120M Series C Feb 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print/mail; limited enterprise scale (&lt; RevSpring's 2,000+ client base); no proprietary consumer analytics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Experian Health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(EFX)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Serves 60%+ of U.S. hospitals; broad RCM suite; deep credit/identity data integration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specialized in patient communications analytics; KLAS scores below RevSpring in patient financial engagement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Flywire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(FLYW)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 Intl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international payments; growing healthcare vertical; KLAS 88.4 for patient financial engagement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Smaller U.S. provider installed base; less analytics depth; primarily payments-focused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Epic MyChart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EHR integration; 65% hospital market coverage with Epic; no additional vendor contract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Bundled functionality lacks RevSpring's behavioral analytics depth; print/mail not a core capability; not KLAS-rated for patient communications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R1 RCM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Full-cycle RCM outsourcing at scale; strong services relationships at large health systems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Services-first, not SaaS; competes on outsourcing, not technology platform; limited patient communication product</w:t>
            </w:r>
          </w:p>
        </w:tc>
      </w:tr>
    </w:tbl>
    <w:p>
      <w:pPr>
        <w:spacing w:after="80"/>
      </w:pPr>
      <w:r>
        <w:t xml:space="preserve"/>
      </w:r>
    </w:p>
    <w:p>
      <w:pPr>
        <w:spacing w:after="100"/>
      </w:pPr>
      <w:r>
        <w:rPr>
          <w:rFonts w:ascii="Arial" w:cs="Arial" w:eastAsia="Arial" w:hAnsi="Arial"/>
          <w:b w:val="false"/>
          <w:bCs w:val="false"/>
          <w:color w:val="2E6DB4"/>
          <w:sz w:val="20"/>
          <w:szCs w:val="20"/>
        </w:rPr>
        <w:t xml:space="preserve">Sources: KLAS Research 2026 Best in KLAS Patient Financial Engagement; RevSpring CIM (March 2024); Fierce Healthcare (Cedar, Waystar); RevSpring press releases (Kyruus Health, TrustCommerce, 2025-2026); CBInsights; Morsebridge DD research.</w:t>
      </w:r>
    </w:p>
    <w:p>
      <w:pPr>
        <w:spacing w:after="80"/>
      </w:pPr>
      <w:r>
        <w:t xml:space="preserve"/>
      </w:r>
    </w:p>
    <w:p>
      <w:pPr>
        <w:shd w:fill="1B3A5C" w:val="clear"/>
        <w:spacing w:after="120" w:before="240"/>
      </w:pPr>
      <w:r>
        <w:rPr>
          <w:rFonts w:ascii="Arial" w:cs="Arial" w:eastAsia="Arial" w:hAnsi="Arial"/>
          <w:b/>
          <w:bCs/>
          <w:color w:val="FFFFFF"/>
          <w:sz w:val="26"/>
          <w:szCs w:val="26"/>
        </w:rPr>
        <w:t xml:space="preserve">3. Target Company Competitive Position</w:t>
      </w:r>
    </w:p>
    <w:p>
      <w:pPr>
        <w:pBdr>
          <w:bottom w:val="single" w:color="D6E4F0" w:sz="4"/>
        </w:pBdr>
        <w:spacing w:after="80" w:before="160"/>
      </w:pPr>
      <w:r>
        <w:rPr>
          <w:rFonts w:ascii="Arial" w:cs="Arial" w:eastAsia="Arial" w:hAnsi="Arial"/>
          <w:b/>
          <w:bCs/>
          <w:color w:val="1B3A5C"/>
          <w:sz w:val="22"/>
          <w:szCs w:val="22"/>
        </w:rPr>
        <w:t xml:space="preserve">Market Leadership</w:t>
      </w:r>
    </w:p>
    <w:p>
      <w:pPr>
        <w:spacing w:after="100"/>
      </w:pPr>
      <w:r>
        <w:rPr>
          <w:rFonts w:ascii="Arial" w:cs="Arial" w:eastAsia="Arial" w:hAnsi="Arial"/>
          <w:b w:val="false"/>
          <w:bCs w:val="false"/>
          <w:color w:val="000000"/>
          <w:sz w:val="20"/>
          <w:szCs w:val="20"/>
        </w:rPr>
        <w:t xml:space="preserve">RevSpring is the clear market leader in patient financial engagement as measured by KLAS rating (90.3, #1 overall for Patient Financial Engagement 2026), customer base (2,000+ providers), payment volume ($8.0B+ annually), and product breadth (print, digital, payments, analytics). The Company's customer satisfaction scores — #1 across all six KLAS evaluation categories (culture, loyalty, operations, product, relationship, and value) — reflect a sustained investment in customer outcomes that is difficult to replicate and represents a structural barrier to competitive displacement.</w:t>
      </w:r>
    </w:p>
    <w:p>
      <w:pPr>
        <w:pBdr>
          <w:bottom w:val="single" w:color="D6E4F0" w:sz="4"/>
        </w:pBdr>
        <w:spacing w:after="80" w:before="160"/>
      </w:pPr>
      <w:r>
        <w:rPr>
          <w:rFonts w:ascii="Arial" w:cs="Arial" w:eastAsia="Arial" w:hAnsi="Arial"/>
          <w:b/>
          <w:bCs/>
          <w:color w:val="1B3A5C"/>
          <w:sz w:val="22"/>
          <w:szCs w:val="22"/>
        </w:rPr>
        <w:t xml:space="preserve">Recent Competitive Developments Under Frazier (2025-2026)</w:t>
      </w:r>
    </w:p>
    <w:p>
      <w:pPr>
        <w:pStyle w:val="ListParagraph"/>
        <w:numPr>
          <w:ilvl w:val="0"/>
          <w:numId w:val="2"/>
        </w:numPr>
        <w:spacing w:after="80"/>
      </w:pPr>
      <w:r>
        <w:rPr>
          <w:rFonts w:ascii="Arial" w:cs="Arial" w:eastAsia="Arial" w:hAnsi="Arial"/>
          <w:sz w:val="20"/>
          <w:szCs w:val="20"/>
        </w:rPr>
        <w:t xml:space="preserve">Kyruus Health acquisition (Q4 2025): Adding provider data management, patient-facing provider search, and appointment scheduling, RevSpring now covers the full patient journey from provider discovery through final payment — a positioning no competitor occupies at scale. This creates a new competitive moat element in the care access layer that is upstream of any existing patient financial engagement competitor.</w:t>
      </w:r>
    </w:p>
    <w:p>
      <w:pPr>
        <w:pStyle w:val="ListParagraph"/>
        <w:numPr>
          <w:ilvl w:val="0"/>
          <w:numId w:val="2"/>
        </w:numPr>
        <w:spacing w:after="80"/>
      </w:pPr>
      <w:r>
        <w:rPr>
          <w:rFonts w:ascii="Arial" w:cs="Arial" w:eastAsia="Arial" w:hAnsi="Arial"/>
          <w:sz w:val="20"/>
          <w:szCs w:val="20"/>
        </w:rPr>
        <w:t xml:space="preserve">TrustCommerce acquisition (February 2026): Adding PCI-certified payment gateway and tokenization capabilities, RevSpring now controls the payment processing infrastructure layer, enabling end-to-end payment visibility from transaction through reconciliation. This reduces RevSpring's dependency on third-party payment processors and adds high-margin, transaction-based revenue.</w:t>
      </w:r>
    </w:p>
    <w:p>
      <w:pPr>
        <w:pStyle w:val="ListParagraph"/>
        <w:numPr>
          <w:ilvl w:val="0"/>
          <w:numId w:val="2"/>
        </w:numPr>
        <w:spacing w:after="80"/>
      </w:pPr>
      <w:r>
        <w:rPr>
          <w:rFonts w:ascii="Arial" w:cs="Arial" w:eastAsia="Arial" w:hAnsi="Arial"/>
          <w:sz w:val="20"/>
          <w:szCs w:val="20"/>
        </w:rPr>
        <w:t xml:space="preserve">RevSpring Prime membership management solution (launched HIMSS26): New product covering recurring payment plans and membership-style patient financial programs, expanding RevSpring's addressable revenue within existing clients and creating a new competitive differentiator in the patient loyalty and financial engagement category.</w:t>
      </w:r>
    </w:p>
    <w:p>
      <w:pPr>
        <w:pStyle w:val="ListParagraph"/>
        <w:numPr>
          <w:ilvl w:val="0"/>
          <w:numId w:val="2"/>
        </w:numPr>
        <w:spacing w:after="80"/>
      </w:pPr>
      <w:r>
        <w:rPr>
          <w:rFonts w:ascii="Arial" w:cs="Arial" w:eastAsia="Arial" w:hAnsi="Arial"/>
          <w:sz w:val="20"/>
          <w:szCs w:val="20"/>
        </w:rPr>
        <w:t xml:space="preserve">Second consecutive Best in KLAS award (February 2026): Consistent KLAS leadership is a credible sales tool with procurement teams at health systems and reinforces the brand premium that supports pricing power.</w:t>
      </w:r>
    </w:p>
    <w:p>
      <w:pPr>
        <w:spacing w:after="100"/>
      </w:pPr>
      <w:r>
        <w:rPr>
          <w:rFonts w:ascii="Arial" w:cs="Arial" w:eastAsia="Arial" w:hAnsi="Arial"/>
          <w:b/>
          <w:bCs/>
          <w:color w:val="C00000"/>
          <w:sz w:val="20"/>
          <w:szCs w:val="20"/>
        </w:rPr>
        <w:t xml:space="preserve">[DD FLAG]  </w:t>
      </w:r>
      <w:r>
        <w:rPr>
          <w:rFonts w:ascii="Arial" w:cs="Arial" w:eastAsia="Arial" w:hAnsi="Arial"/>
          <w:sz w:val="20"/>
          <w:szCs w:val="20"/>
        </w:rPr>
        <w:t xml:space="preserve">The CIM (March 2024) predates the Kyruus Health and TrustCommerce acquisitions. Neither acquisition's financial contribution (revenue, NRR, EBITDA impact) is reflected in the disclosed financials. Morsebridge should obtain post-close financials for both acquisitions to assess integration status and revised pro forma EBITDA before completing commercial DD.</w:t>
      </w:r>
    </w:p>
    <w:p>
      <w:pPr>
        <w:spacing w:after="80"/>
      </w:pPr>
      <w:r>
        <w:t xml:space="preserve"/>
      </w:r>
    </w:p>
    <w:p>
      <w:pPr>
        <w:shd w:fill="1B3A5C" w:val="clear"/>
        <w:spacing w:after="120" w:before="240"/>
      </w:pPr>
      <w:r>
        <w:rPr>
          <w:rFonts w:ascii="Arial" w:cs="Arial" w:eastAsia="Arial" w:hAnsi="Arial"/>
          <w:b/>
          <w:bCs/>
          <w:color w:val="FFFFFF"/>
          <w:sz w:val="26"/>
          <w:szCs w:val="26"/>
        </w:rPr>
        <w:t xml:space="preserve">4. Competitive Moat Assessment</w:t>
      </w:r>
    </w:p>
    <w:p>
      <w:pPr>
        <w:spacing w:after="100"/>
      </w:pPr>
      <w:r>
        <w:rPr>
          <w:rFonts w:ascii="Arial" w:cs="Arial" w:eastAsia="Arial" w:hAnsi="Arial"/>
          <w:b w:val="false"/>
          <w:bCs w:val="false"/>
          <w:color w:val="000000"/>
          <w:sz w:val="20"/>
          <w:szCs w:val="20"/>
        </w:rPr>
        <w:t xml:space="preserve">The following table assesses RevSpring's competitive moat elements across replicability, evidence quality, and key risk factors: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1800"/>
        <w:gridCol w:w="1600"/>
      </w:tblGrid>
      <w:tr>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 Element</w:t>
            </w:r>
          </w:p>
        </w:tc>
        <w:tc>
          <w:tcPr>
            <w:tcW w:type="dxa" w:w="1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Replication Timeline</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Proprietary Consumer Database (300M+ profiles)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Strong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 over 40+ years; unique behavioral + demographic + payment history combination covering virtually all U.S. adults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5-10 years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data privacy changes limiting cross-client data pooling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EHR Integrations (85% hospital market coverage)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Strong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Bidirectional, certified integrations with Epic, Oracle, Meditech, CPSI, Athenahealth — covers ~85% of U.S. hospitals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Epic native functionality expansion reducing need for third-party integrations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KLAS #1 Ranking — Patient Financial Engagement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Strong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in KLAS for 2nd consecutive year (2025 and 2026); 90.3 points, #1 across all 6 performance categories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1-3 years (competition narrowing)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Waystar (88.8) and Cedar narrowing gap; sustained product investment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Switching Costs — Multi-Product Embedded Workflows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year contracts; multi-product clients face high migration cost across print, digital, payments, and analytics workflows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years for an adequately funded competitor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Single-product clients have lower switching costs; early-stage clients not yet cross-sold are at higher churn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PCI DSS Level 1 and HIPAA Compliance Infrastructure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Strong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PCI Level 1 certification for payment processing; HIPAA-compliant data handling across all product lines; compliance team of 40+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 years to match certification level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Evolving regulatory requirements could require costly infrastructure upgrades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$8B+ Annual Payment Volume Processing Scale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 scale creates pricing leverage with payment networks and data network effects; Cedar now processes $10B+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years to match at current Cedar growth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Cedar ($10B+) has now surpassed RevSpring's disclosed volume — network effect advantage is not absolute</w:t>
            </w:r>
          </w:p>
        </w:tc>
      </w:tr>
    </w:tbl>
    <w:p>
      <w:pPr>
        <w:spacing w:after="80"/>
      </w:pPr>
      <w:r>
        <w:t xml:space="preserve"/>
      </w:r>
    </w:p>
    <w:p>
      <w:pPr>
        <w:spacing w:after="100"/>
      </w:pPr>
      <w:r>
        <w:rPr>
          <w:rFonts w:ascii="Arial" w:cs="Arial" w:eastAsia="Arial" w:hAnsi="Arial"/>
          <w:b w:val="false"/>
          <w:bCs w:val="false"/>
          <w:color w:val="000000"/>
          <w:sz w:val="20"/>
          <w:szCs w:val="20"/>
        </w:rPr>
        <w:t xml:space="preserve">Overall moat assessment: Strong. RevSpring's combination of proprietary consumer data, EHR integration breadth, KLAS leadership, and compliance infrastructure creates a multi-layered moat that is difficult to replicate in a short time horizon. The primary moat risk is the pace of Epic MyChart's investment in native patient financial engagement capabilities, which could render the EHR integration advantage less relevant if Epic builds equivalent functionality natively.</w:t>
      </w:r>
    </w:p>
    <w:p>
      <w:pPr>
        <w:spacing w:after="80"/>
      </w:pPr>
      <w:r>
        <w:t xml:space="preserve"/>
      </w:r>
    </w:p>
    <w:p>
      <w:pPr>
        <w:shd w:fill="1B3A5C" w:val="clear"/>
        <w:spacing w:after="120" w:before="240"/>
      </w:pPr>
      <w:r>
        <w:rPr>
          <w:rFonts w:ascii="Arial" w:cs="Arial" w:eastAsia="Arial" w:hAnsi="Arial"/>
          <w:b/>
          <w:bCs/>
          <w:color w:val="FFFFFF"/>
          <w:sz w:val="26"/>
          <w:szCs w:val="26"/>
        </w:rPr>
        <w:t xml:space="preserve">5. Customer Switching Costs</w:t>
      </w:r>
    </w:p>
    <w:p>
      <w:pPr>
        <w:spacing w:after="100"/>
      </w:pPr>
      <w:r>
        <w:rPr>
          <w:rFonts w:ascii="Arial" w:cs="Arial" w:eastAsia="Arial" w:hAnsi="Arial"/>
          <w:b w:val="false"/>
          <w:bCs w:val="false"/>
          <w:color w:val="000000"/>
          <w:sz w:val="20"/>
          <w:szCs w:val="20"/>
        </w:rPr>
        <w:t xml:space="preserve">Customer switching costs in the patient financial engagement market are high and increase materially with multi-product adoption:</w:t>
      </w:r>
    </w:p>
    <w:p>
      <w:pPr>
        <w:pStyle w:val="ListParagraph"/>
        <w:numPr>
          <w:ilvl w:val="0"/>
          <w:numId w:val="2"/>
        </w:numPr>
        <w:spacing w:after="80"/>
      </w:pPr>
      <w:r>
        <w:rPr>
          <w:rFonts w:ascii="Arial" w:cs="Arial" w:eastAsia="Arial" w:hAnsi="Arial"/>
          <w:sz w:val="20"/>
          <w:szCs w:val="20"/>
        </w:rPr>
        <w:t xml:space="preserve">Integration complexity: RevSpring's bidirectional integrations with Epic, Oracle Health, Meditech, CPSI, and Athenahealth require significant implementation effort (estimated 90-180 days for a full enterprise deployment). Replacing RevSpring requires re-implementation of all integrations, staff retraining, and patient communication workflow reconfiguration — a process that health systems with resource constraints strongly prefer to avoid.</w:t>
      </w:r>
    </w:p>
    <w:p>
      <w:pPr>
        <w:pStyle w:val="ListParagraph"/>
        <w:numPr>
          <w:ilvl w:val="0"/>
          <w:numId w:val="2"/>
        </w:numPr>
        <w:spacing w:after="80"/>
      </w:pPr>
      <w:r>
        <w:rPr>
          <w:rFonts w:ascii="Arial" w:cs="Arial" w:eastAsia="Arial" w:hAnsi="Arial"/>
          <w:sz w:val="20"/>
          <w:szCs w:val="20"/>
        </w:rPr>
        <w:t xml:space="preserve">Data migration: RevSpring's analytics engine holds years of patient communication history, behavioral engagement data, and payment preference profiles that are specific to each client's patient population. This data is non-portable to a competitor and would be lost upon replacement, requiring a competing vendor to rebuild behavioral models from scratch.</w:t>
      </w:r>
    </w:p>
    <w:p>
      <w:pPr>
        <w:pStyle w:val="ListParagraph"/>
        <w:numPr>
          <w:ilvl w:val="0"/>
          <w:numId w:val="2"/>
        </w:numPr>
        <w:spacing w:after="80"/>
      </w:pPr>
      <w:r>
        <w:rPr>
          <w:rFonts w:ascii="Arial" w:cs="Arial" w:eastAsia="Arial" w:hAnsi="Arial"/>
          <w:sz w:val="20"/>
          <w:szCs w:val="20"/>
        </w:rPr>
        <w:t xml:space="preserve">Multi-product lock-in: Clients using multiple RevSpring products (e.g., Engage IQ + PersonaPay + Print &amp; Mail + PreService) face higher switching costs than single-product clients, as a replacement requires finding a vendor that can replicate all four capabilities simultaneously or managing a multi-vendor transition across concurrent projects.</w:t>
      </w:r>
    </w:p>
    <w:p>
      <w:pPr>
        <w:pStyle w:val="ListParagraph"/>
        <w:numPr>
          <w:ilvl w:val="0"/>
          <w:numId w:val="2"/>
        </w:numPr>
        <w:spacing w:after="80"/>
      </w:pPr>
      <w:r>
        <w:rPr>
          <w:rFonts w:ascii="Arial" w:cs="Arial" w:eastAsia="Arial" w:hAnsi="Arial"/>
          <w:sz w:val="20"/>
          <w:szCs w:val="20"/>
        </w:rPr>
        <w:t xml:space="preserve">Contract terms: 3-5 year contracts with auto-renewal provisions create a strong legal and economic barrier to switching. The Company's 94% gross revenue retention rate confirms that switching events are uncommon, with the majority of churn concentrated in smaller or less-engaged accounts.</w:t>
      </w:r>
    </w:p>
    <w:p>
      <w:pPr>
        <w:spacing w:after="80"/>
      </w:pPr>
      <w:r>
        <w:t xml:space="preserve"/>
      </w:r>
    </w:p>
    <w:p>
      <w:pPr>
        <w:spacing w:after="100"/>
      </w:pPr>
      <w:r>
        <w:rPr>
          <w:rFonts w:ascii="Arial" w:cs="Arial" w:eastAsia="Arial" w:hAnsi="Arial"/>
          <w:b w:val="false"/>
          <w:bCs w:val="false"/>
          <w:color w:val="000000"/>
          <w:sz w:val="20"/>
          <w:szCs w:val="20"/>
        </w:rPr>
        <w:t xml:space="preserve">Switching cost vulnerability: Single-product clients — particularly those using only Print &amp; Mail or a single digital engagement module — have materially lower switching costs and represent the highest churn-risk cohort. As digital communications displace print, clients whose primary RevSpring product is Print &amp; Mail may transition to digital-only competitors without incurring the full switching cost burden of a multi-product client.</w:t>
      </w:r>
    </w:p>
    <w:p>
      <w:pPr>
        <w:spacing w:after="80"/>
      </w:pPr>
      <w:r>
        <w:t xml:space="preserve"/>
      </w:r>
    </w:p>
    <w:p>
      <w:pPr>
        <w:shd w:fill="1B3A5C" w:val="clear"/>
        <w:spacing w:after="120" w:before="240"/>
      </w:pPr>
      <w:r>
        <w:rPr>
          <w:rFonts w:ascii="Arial" w:cs="Arial" w:eastAsia="Arial" w:hAnsi="Arial"/>
          <w:b/>
          <w:bCs/>
          <w:color w:val="FFFFFF"/>
          <w:sz w:val="26"/>
          <w:szCs w:val="26"/>
        </w:rPr>
        <w:t xml:space="preserve">6. Threat Analysis</w:t>
      </w:r>
    </w:p>
    <w:p>
      <w:pPr>
        <w:pBdr>
          <w:bottom w:val="single" w:color="D6E4F0" w:sz="4"/>
        </w:pBdr>
        <w:spacing w:after="80" w:before="160"/>
      </w:pPr>
      <w:r>
        <w:rPr>
          <w:rFonts w:ascii="Arial" w:cs="Arial" w:eastAsia="Arial" w:hAnsi="Arial"/>
          <w:b/>
          <w:bCs/>
          <w:color w:val="1B3A5C"/>
          <w:sz w:val="22"/>
          <w:szCs w:val="22"/>
        </w:rPr>
        <w:t xml:space="preserve">Threat 1 — Epic MyChart Native Patient Financial Engagement</w:t>
      </w:r>
    </w:p>
    <w:p>
      <w:pPr>
        <w:spacing w:after="100"/>
      </w:pPr>
      <w:r>
        <w:rPr>
          <w:rFonts w:ascii="Arial" w:cs="Arial" w:eastAsia="Arial" w:hAnsi="Arial"/>
          <w:b w:val="false"/>
          <w:bCs w:val="false"/>
          <w:color w:val="000000"/>
          <w:sz w:val="20"/>
          <w:szCs w:val="20"/>
        </w:rPr>
        <w:t xml:space="preserve">Epic's MyChart platform now covers approximately 65% of the U.S. hospital market alongside Oracle Health/Cerner, making EHR-native patient engagement the path of least resistance for health systems seeking to consolidate vendors. Epic MyChart provides bill pay, cost estimation, appointment scheduling, and messaging capabilities — all of which overlap with RevSpring's core product suite. As Epic extends MyChart financial engagement features (e.g., payment plan management, personalized billing communications), the competitive overlap with RevSpring will increase.</w:t>
      </w:r>
    </w:p>
    <w:p>
      <w:pPr>
        <w:spacing w:after="100"/>
      </w:pPr>
      <w:r>
        <w:rPr>
          <w:rFonts w:ascii="Arial" w:cs="Arial" w:eastAsia="Arial" w:hAnsi="Arial"/>
          <w:b w:val="false"/>
          <w:bCs w:val="false"/>
          <w:color w:val="000000"/>
          <w:sz w:val="20"/>
          <w:szCs w:val="20"/>
        </w:rPr>
        <w:t xml:space="preserve">RevSpring's differentiated response: RevSpring's 300M-consumer analytics database, which generates real-time engagement propensity scores based on behavioral and demographic data at the individual patient level, is not replicable by Epic within its existing MyChart architecture. Epic does not have access to cross-provider, cross-payer behavioral data at the scale RevSpring maintains. Additionally, RevSpring's omnichannel communications capability (including print/mail) extends beyond what MyChart can deliver within an EHR context.</w:t>
      </w:r>
    </w:p>
    <w:p>
      <w:pPr>
        <w:spacing w:after="100"/>
      </w:pPr>
      <w:r>
        <w:rPr>
          <w:rFonts w:ascii="Arial" w:cs="Arial" w:eastAsia="Arial" w:hAnsi="Arial"/>
          <w:b/>
          <w:bCs/>
          <w:color w:val="C00000"/>
          <w:sz w:val="20"/>
          <w:szCs w:val="20"/>
        </w:rPr>
        <w:t xml:space="preserve">[DD FLAG]  </w:t>
      </w:r>
      <w:r>
        <w:rPr>
          <w:rFonts w:ascii="Arial" w:cs="Arial" w:eastAsia="Arial" w:hAnsi="Arial"/>
          <w:sz w:val="20"/>
          <w:szCs w:val="20"/>
        </w:rPr>
        <w:t xml:space="preserve">RevSpring's CIM does not disclose competitive win/loss data against Epic MyChart specifically, nor does it quantify the proportion of its client base currently using Epic as their EHR. Morsebridge should request this data to assess the extent to which Epic's growing market share creates a direct competitive headwind for RevSpring's new logo pipeline.</w:t>
      </w:r>
    </w:p>
    <w:p>
      <w:pPr>
        <w:pBdr>
          <w:bottom w:val="single" w:color="D6E4F0" w:sz="4"/>
        </w:pBdr>
        <w:spacing w:after="80" w:before="160"/>
      </w:pPr>
      <w:r>
        <w:rPr>
          <w:rFonts w:ascii="Arial" w:cs="Arial" w:eastAsia="Arial" w:hAnsi="Arial"/>
          <w:b/>
          <w:bCs/>
          <w:color w:val="1B3A5C"/>
          <w:sz w:val="22"/>
          <w:szCs w:val="22"/>
        </w:rPr>
        <w:t xml:space="preserve">Threat 2 — Cedar (VC-Backed Digital-First Competitor)</w:t>
      </w:r>
    </w:p>
    <w:p>
      <w:pPr>
        <w:spacing w:after="100"/>
      </w:pPr>
      <w:r>
        <w:rPr>
          <w:rFonts w:ascii="Arial" w:cs="Arial" w:eastAsia="Arial" w:hAnsi="Arial"/>
          <w:b w:val="false"/>
          <w:bCs w:val="false"/>
          <w:color w:val="000000"/>
          <w:sz w:val="20"/>
          <w:szCs w:val="20"/>
        </w:rPr>
        <w:t xml:space="preserve">Cedar (Tiger Global, total funding ~$270M as of February 2025) processed over $10B in annual patient payments by early 2025, surpassing RevSpring's disclosed $8B figure. Cedar is rated among the top patient financial experience vendors by KLAS and earns strong customer satisfaction scores, particularly at large digitally sophisticated health systems. Cedar's KLAS scores (below RevSpring's 90.3 overall) reflect a product that excels on digital UX but has not yet matched RevSpring's breadth across all six KLAS evaluation dimensions.</w:t>
      </w:r>
    </w:p>
    <w:p>
      <w:pPr>
        <w:spacing w:after="100"/>
      </w:pPr>
      <w:r>
        <w:rPr>
          <w:rFonts w:ascii="Arial" w:cs="Arial" w:eastAsia="Arial" w:hAnsi="Arial"/>
          <w:b w:val="false"/>
          <w:bCs w:val="false"/>
          <w:color w:val="000000"/>
          <w:sz w:val="20"/>
          <w:szCs w:val="20"/>
        </w:rPr>
        <w:t xml:space="preserve">Cedar's competitive weakness is the absence of a print/mail capability, a smaller enterprise installed base, and a product suite that does not yet include the full pre-service workflow (cost estimation, eligibility, prior auth) at the depth RevSpring offers. However, Cedar's capital base and growth trajectory make it the most credible threat to RevSpring's KLAS leadership in the medium term, particularly if Cedar makes an acquisition to add print/mail or pre-service capabilities.</w:t>
      </w:r>
    </w:p>
    <w:p>
      <w:pPr>
        <w:pBdr>
          <w:bottom w:val="single" w:color="D6E4F0" w:sz="4"/>
        </w:pBdr>
        <w:spacing w:after="80" w:before="160"/>
      </w:pPr>
      <w:r>
        <w:rPr>
          <w:rFonts w:ascii="Arial" w:cs="Arial" w:eastAsia="Arial" w:hAnsi="Arial"/>
          <w:b/>
          <w:bCs/>
          <w:color w:val="1B3A5C"/>
          <w:sz w:val="22"/>
          <w:szCs w:val="22"/>
        </w:rPr>
        <w:t xml:space="preserve">Threat 3 — Waystar Platform Expansion</w:t>
      </w:r>
    </w:p>
    <w:p>
      <w:pPr>
        <w:spacing w:after="100"/>
      </w:pPr>
      <w:r>
        <w:rPr>
          <w:rFonts w:ascii="Arial" w:cs="Arial" w:eastAsia="Arial" w:hAnsi="Arial"/>
          <w:b w:val="false"/>
          <w:bCs w:val="false"/>
          <w:color w:val="000000"/>
          <w:sz w:val="20"/>
          <w:szCs w:val="20"/>
        </w:rPr>
        <w:t xml:space="preserve">Waystar (NASDAQ: WAY, revenue ~$940M, KLAS 88.8 for patient financial engagement) is the most scaled RCM platform competitor and is actively expanding through M&amp;A. The May 2026 acquisition of Iodine Software (AI clinical documentation) extends Waystar's RCM coverage into clinical documentation, reducing its differentiation gap with broader platform competitors. Waystar's clearinghouse, eligibility, and claims capabilities give it deep provider relationships that could be leveraged to expand its patient engagement and financial experience offerings.</w:t>
      </w:r>
    </w:p>
    <w:p>
      <w:pPr>
        <w:spacing w:after="80"/>
      </w:pPr>
      <w:r>
        <w:t xml:space="preserve"/>
      </w:r>
    </w:p>
    <w:p>
      <w:pPr>
        <w:shd w:fill="1B3A5C" w:val="clear"/>
        <w:spacing w:after="120" w:before="240"/>
      </w:pPr>
      <w:r>
        <w:rPr>
          <w:rFonts w:ascii="Arial" w:cs="Arial" w:eastAsia="Arial" w:hAnsi="Arial"/>
          <w:b/>
          <w:bCs/>
          <w:color w:val="FFFFFF"/>
          <w:sz w:val="26"/>
          <w:szCs w:val="26"/>
        </w:rPr>
        <w:t xml:space="preserve">7. Expansion Market Competition</w:t>
      </w:r>
    </w:p>
    <w:p>
      <w:pPr>
        <w:pBdr>
          <w:bottom w:val="single" w:color="D6E4F0" w:sz="4"/>
        </w:pBdr>
        <w:spacing w:after="80" w:before="160"/>
      </w:pPr>
      <w:r>
        <w:rPr>
          <w:rFonts w:ascii="Arial" w:cs="Arial" w:eastAsia="Arial" w:hAnsi="Arial"/>
          <w:b/>
          <w:bCs/>
          <w:color w:val="1B3A5C"/>
          <w:sz w:val="22"/>
          <w:szCs w:val="22"/>
        </w:rPr>
        <w:t xml:space="preserve">Payer Market — Largely Uncontested</w:t>
      </w:r>
    </w:p>
    <w:p>
      <w:pPr>
        <w:spacing w:after="100"/>
      </w:pPr>
      <w:r>
        <w:rPr>
          <w:rFonts w:ascii="Arial" w:cs="Arial" w:eastAsia="Arial" w:hAnsi="Arial"/>
          <w:b w:val="false"/>
          <w:bCs w:val="false"/>
          <w:color w:val="000000"/>
          <w:sz w:val="20"/>
          <w:szCs w:val="20"/>
        </w:rPr>
        <w:t xml:space="preserve">RevSpring's CIM identifies a $2-3B incremental payer market opportunity using its existing communications, payments, and analytics infrastructure. The payer-facing patient engagement and member communication market is currently served by a distinct set of vendors (Quantum Health for navigation, Zelis for payments, Cotiviti for analytics) that do not overlap materially with RevSpring's current competitive set. RevSpring has no disclosed payer revenue, and entering this market would require a distinct sales motion, payer regulatory positioning, and potentially separate product configurations. The competitive risk in the payer market is from established payer technology vendors rather than RevSpring's current provider-market competitors.</w:t>
      </w:r>
    </w:p>
    <w:p>
      <w:pPr>
        <w:pBdr>
          <w:bottom w:val="single" w:color="D6E4F0" w:sz="4"/>
        </w:pBdr>
        <w:spacing w:after="80" w:before="160"/>
      </w:pPr>
      <w:r>
        <w:rPr>
          <w:rFonts w:ascii="Arial" w:cs="Arial" w:eastAsia="Arial" w:hAnsi="Arial"/>
          <w:b/>
          <w:bCs/>
          <w:color w:val="1B3A5C"/>
          <w:sz w:val="22"/>
          <w:szCs w:val="22"/>
        </w:rPr>
        <w:t xml:space="preserve">International Markets — No Disclosed Activity</w:t>
      </w:r>
    </w:p>
    <w:p>
      <w:pPr>
        <w:spacing w:after="100"/>
      </w:pPr>
      <w:r>
        <w:rPr>
          <w:rFonts w:ascii="Arial" w:cs="Arial" w:eastAsia="Arial" w:hAnsi="Arial"/>
          <w:b w:val="false"/>
          <w:bCs w:val="false"/>
          <w:color w:val="000000"/>
          <w:sz w:val="20"/>
          <w:szCs w:val="20"/>
        </w:rPr>
        <w:t xml:space="preserve">The CIM identifies international expansion as a whitespace opportunity but provides no specifics. International patient billing and communications markets are structurally different from the U.S. — national health systems (UK NHS, Canadian provincial payers) do not have the same patient financial responsibility dynamic that drives RevSpring's U.S. business model. The most directly analogous international markets would be mixed private/public healthcare systems (Australia, Germany, Singapore) where patient out-of-pocket costs and private billing workflows exist. No international competitors are currently operating at RevSpring's scale in these markets.</w:t>
      </w:r>
    </w:p>
    <w:p>
      <w:pPr>
        <w:spacing w:after="100"/>
      </w:pPr>
      <w:r>
        <w:rPr>
          <w:rFonts w:ascii="Arial" w:cs="Arial" w:eastAsia="Arial" w:hAnsi="Arial"/>
          <w:b/>
          <w:bCs/>
          <w:color w:val="C00000"/>
          <w:sz w:val="20"/>
          <w:szCs w:val="20"/>
        </w:rPr>
        <w:t xml:space="preserve">[DD FLAG]  </w:t>
      </w:r>
      <w:r>
        <w:rPr>
          <w:rFonts w:ascii="Arial" w:cs="Arial" w:eastAsia="Arial" w:hAnsi="Arial"/>
          <w:sz w:val="20"/>
          <w:szCs w:val="20"/>
        </w:rPr>
        <w:t xml:space="preserve">International expansion is unquantified in the CIM and has no disclosed competitive strategy, regulatory pathway, or financial plan. Morsebridge should treat this as exploratory and assign no value in the base case.</w:t>
      </w:r>
    </w:p>
    <w:p>
      <w:pPr>
        <w:spacing w:after="80"/>
      </w:pPr>
      <w:r>
        <w:t xml:space="preserve"/>
      </w:r>
    </w:p>
    <w:p>
      <w:pPr>
        <w:shd w:fill="1B3A5C" w:val="clear"/>
        <w:spacing w:after="120" w:before="240"/>
      </w:pPr>
      <w:r>
        <w:rPr>
          <w:rFonts w:ascii="Arial" w:cs="Arial" w:eastAsia="Arial" w:hAnsi="Arial"/>
          <w:b/>
          <w:bCs/>
          <w:color w:val="FFFFFF"/>
          <w:sz w:val="26"/>
          <w:szCs w:val="26"/>
        </w:rPr>
        <w:t xml:space="preserve">8. Data Gaps &amp; Further Diligence Required</w:t>
      </w:r>
    </w:p>
    <w:p>
      <w:pPr>
        <w:spacing w:after="100"/>
      </w:pPr>
      <w:r>
        <w:rPr>
          <w:rFonts w:ascii="Arial" w:cs="Arial" w:eastAsia="Arial" w:hAnsi="Arial"/>
          <w:b w:val="false"/>
          <w:bCs w:val="false"/>
          <w:color w:val="000000"/>
          <w:sz w:val="20"/>
          <w:szCs w:val="20"/>
        </w:rPr>
        <w:t xml:space="preserve">The following competitive intelligence gaps should be addressed in management Q&amp;A:</w:t>
      </w:r>
    </w:p>
    <w:p>
      <w:pPr>
        <w:pStyle w:val="ListParagraph"/>
        <w:numPr>
          <w:ilvl w:val="0"/>
          <w:numId w:val="3"/>
        </w:numPr>
        <w:spacing w:after="80"/>
      </w:pPr>
      <w:r>
        <w:rPr>
          <w:rFonts w:ascii="Arial" w:cs="Arial" w:eastAsia="Arial" w:hAnsi="Arial"/>
          <w:sz w:val="20"/>
          <w:szCs w:val="20"/>
        </w:rPr>
        <w:t xml:space="preserve">Win/loss analysis disaggregated by competitor (Epic MyChart, Cedar, Waystar, Experian) for FY2021-FY2024: Required to assess market share trajectory and identify the primary displacement vector.</w:t>
      </w:r>
    </w:p>
    <w:p>
      <w:pPr>
        <w:pStyle w:val="ListParagraph"/>
        <w:numPr>
          <w:ilvl w:val="0"/>
          <w:numId w:val="3"/>
        </w:numPr>
        <w:spacing w:after="80"/>
      </w:pPr>
      <w:r>
        <w:rPr>
          <w:rFonts w:ascii="Arial" w:cs="Arial" w:eastAsia="Arial" w:hAnsi="Arial"/>
          <w:sz w:val="20"/>
          <w:szCs w:val="20"/>
        </w:rPr>
        <w:t xml:space="preserve">Epic EHR penetration within RevSpring's 2,000+ client base: Proportion of clients using Epic as primary EHR. Required to assess the scale of potential Epic MyChart competitive displacement risk.</w:t>
      </w:r>
    </w:p>
    <w:p>
      <w:pPr>
        <w:pStyle w:val="ListParagraph"/>
        <w:numPr>
          <w:ilvl w:val="0"/>
          <w:numId w:val="3"/>
        </w:numPr>
        <w:spacing w:after="80"/>
      </w:pPr>
      <w:r>
        <w:rPr>
          <w:rFonts w:ascii="Arial" w:cs="Arial" w:eastAsia="Arial" w:hAnsi="Arial"/>
          <w:sz w:val="20"/>
          <w:szCs w:val="20"/>
        </w:rPr>
        <w:t xml:space="preserve">Cedar competitive wins in RevSpring accounts: Any known account losses to Cedar in FY2022-FY2024. Required to calibrate the Cedar competitive threat in the large IDN segment.</w:t>
      </w:r>
    </w:p>
    <w:p>
      <w:pPr>
        <w:pStyle w:val="ListParagraph"/>
        <w:numPr>
          <w:ilvl w:val="0"/>
          <w:numId w:val="3"/>
        </w:numPr>
        <w:spacing w:after="80"/>
      </w:pPr>
      <w:r>
        <w:rPr>
          <w:rFonts w:ascii="Arial" w:cs="Arial" w:eastAsia="Arial" w:hAnsi="Arial"/>
          <w:sz w:val="20"/>
          <w:szCs w:val="20"/>
        </w:rPr>
        <w:t xml:space="preserve">Kyruus Health competitive landscape in provider search and scheduling: Who are Kyruus's primary competitors, and what is its KLAS rating? Required to assess whether the acquisition adds a defensible moat or a contested product.</w:t>
      </w:r>
    </w:p>
    <w:p>
      <w:pPr>
        <w:pStyle w:val="ListParagraph"/>
        <w:numPr>
          <w:ilvl w:val="0"/>
          <w:numId w:val="3"/>
        </w:numPr>
        <w:spacing w:after="80"/>
      </w:pPr>
      <w:r>
        <w:rPr>
          <w:rFonts w:ascii="Arial" w:cs="Arial" w:eastAsia="Arial" w:hAnsi="Arial"/>
          <w:sz w:val="20"/>
          <w:szCs w:val="20"/>
        </w:rPr>
        <w:t xml:space="preserve">TrustCommerce competitive overlap with RevSpring's existing client base: How many RevSpring clients currently use a competing payment gateway? Required to size the TrustCommerce cross-sell opportunity.</w:t>
      </w:r>
    </w:p>
    <w:p>
      <w:pPr>
        <w:pStyle w:val="ListParagraph"/>
        <w:numPr>
          <w:ilvl w:val="0"/>
          <w:numId w:val="3"/>
        </w:numPr>
        <w:spacing w:after="80"/>
      </w:pPr>
      <w:r>
        <w:rPr>
          <w:rFonts w:ascii="Arial" w:cs="Arial" w:eastAsia="Arial" w:hAnsi="Arial"/>
          <w:sz w:val="20"/>
          <w:szCs w:val="20"/>
        </w:rPr>
        <w:t xml:space="preserve">Commercial Risk Register — quantified: Probability and financial impact of the top three risks (EHR encroachment, Print &amp; Mail decline, TCPA liability). Required to stress-test the base case EBITDA under adverse competitive scenarios.</w:t>
      </w:r>
    </w:p>
    <w:p>
      <w:pPr>
        <w:spacing w:after="80"/>
      </w:pPr>
      <w:r>
        <w:t xml:space="preserve"/>
      </w:r>
    </w:p>
    <w:p>
      <w:pPr>
        <w:spacing w:after="100"/>
      </w:pPr>
      <w:r>
        <w:rPr>
          <w:rFonts w:ascii="Arial" w:cs="Arial" w:eastAsia="Arial" w:hAnsi="Arial"/>
          <w:b w:val="false"/>
          <w:bCs w:val="false"/>
          <w:color w:val="2E6DB4"/>
          <w:sz w:val="20"/>
          <w:szCs w:val="20"/>
        </w:rPr>
        <w:t xml:space="preserve">Sources: KLAS Research 2025/2026 Best in KLAS; RevSpring CIM (March 2024); RevSpring press releases (2025-2026); Fierce Healthcare; CBInsights; Morsebridge Commercial DD research, June 5, 2026.</w:t>
      </w:r>
    </w:p>
    <w:p>
      <w:r>
        <w:br w:type="page"/>
      </w:r>
    </w:p>
    <w:p>
      <w:pPr>
        <w:shd w:fill="1B3A5C" w:val="clear"/>
        <w:spacing w:after="120" w:before="240"/>
      </w:pPr>
      <w:r>
        <w:rPr>
          <w:rFonts w:ascii="Arial" w:cs="Arial" w:eastAsia="Arial" w:hAnsi="Arial"/>
          <w:b/>
          <w:bCs/>
          <w:color w:val="FFFFFF"/>
          <w:sz w:val="26"/>
          <w:szCs w:val="26"/>
        </w:rPr>
        <w:t xml:space="preserve">Appendix. Commercial Risk Register</w:t>
      </w:r>
    </w:p>
    <w:p>
      <w:pPr>
        <w:spacing w:after="100"/>
      </w:pPr>
      <w:r>
        <w:rPr>
          <w:rFonts w:ascii="Arial" w:cs="Arial" w:eastAsia="Arial" w:hAnsi="Arial"/>
          <w:b w:val="false"/>
          <w:bCs w:val="false"/>
          <w:color w:val="000000"/>
          <w:sz w:val="20"/>
          <w:szCs w:val="20"/>
        </w:rPr>
        <w:t xml:space="preserve">Risk scores are on a 1-5 scale (1 = minimal risk, 5 = critical risk). All scores reflect the commercial perspective only and do not include financial, legal, or management DD dimensions.</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60"/>
        <w:gridCol w:w="760"/>
        <w:gridCol w:w="2880"/>
        <w:gridCol w:w="2600"/>
      </w:tblGrid>
      <w:tr>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c>
          <w:tcPr>
            <w:tcW w:type="dxa" w:w="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 (1-5)</w:t>
            </w:r>
          </w:p>
        </w:tc>
        <w:tc>
          <w:tcPr>
            <w:tcW w:type="dxa" w:w="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Concentration</w:t>
            </w:r>
          </w:p>
        </w:tc>
        <w:tc>
          <w:tcPr>
            <w:tcW w:type="dxa" w:w="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2</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client &lt; 6%; top 20 = 38% of revenue. No single client is material; however, concentrated IDN renewal events could create revenue lumpiness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Multi-year auto-renewing contracts; high switching costs; retention programs for top 50 accounts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Displacement — EHR Vendors</w:t>
            </w:r>
          </w:p>
        </w:tc>
        <w:tc>
          <w:tcPr>
            <w:tcW w:type="dxa" w:w="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3</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Epic MyChart and Oracle patient portal capabilities overlap with RevSpring core features; risk increases as EHR market consolidates around Epic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bidirectional integration positions RevSpring as complementary; 300M consumer analytics database not replicable by EHR vendors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 TCPA Compliance</w:t>
            </w:r>
          </w:p>
        </w:tc>
        <w:tc>
          <w:tcPr>
            <w:tcW w:type="dxa" w:w="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3</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1.5B+ annual communications creates class action exposure under TCPA; evolving FCC consent rules could require operational changes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 compliance staff; consent management built into platform; legal counsel on retainer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 Execution Risk</w:t>
            </w:r>
          </w:p>
        </w:tc>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2</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quota-carrying reps; pipeline coverage and CAC not disclosed. New President (Nicole Rogas, Jan 2025) is executing commercial leadership transition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partnership with EHR vendors and GPOs supplements direct force; new President has 21+ years healthcare IT commercial experience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 Pressure</w:t>
            </w:r>
          </w:p>
        </w:tc>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2A"/>
                <w:sz w:val="20"/>
                <w:szCs w:val="20"/>
              </w:rPr>
              <w:t xml:space="preserve">2</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KLAS position supports pricing premium; however, competitive pressure from Cedar and Waystar could compress ASPs in contested accounts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NRR of ~108% indicates limited net pricing pressure; ASP escalation not explicitly disclosed but implied by upsell-driven NRR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Technology Obsolescence — Print Revenue</w:t>
            </w:r>
          </w:p>
        </w:tc>
        <w:tc>
          <w:tcPr>
            <w:tcW w:type="dxa" w:w="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3</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&amp; Mail is a structurally declining product category as digital channels displace physical statements. Revenue contribution undisclosed; pace of substitution is a key modeling uncertainty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mix shift reduces print costs; transition managed through multi-product contracts where print is bundled with digital services</w:t>
            </w:r>
          </w:p>
        </w:tc>
      </w:tr>
    </w:tbl>
    <w:p>
      <w:pPr>
        <w:spacing w:after="80"/>
      </w:pPr>
      <w:r>
        <w:t xml:space="preserve"/>
      </w:r>
    </w:p>
    <w:p>
      <w:pPr>
        <w:spacing w:after="100"/>
      </w:pPr>
      <w:r>
        <w:rPr>
          <w:rFonts w:ascii="Arial" w:cs="Arial" w:eastAsia="Arial" w:hAnsi="Arial"/>
          <w:b w:val="false"/>
          <w:bCs w:val="false"/>
          <w:color w:val="1B3A5C"/>
          <w:sz w:val="20"/>
          <w:szCs w:val="20"/>
        </w:rPr>
        <w:t xml:space="preserve">Overall Commercial Risk Profile: Moderate-Low. No risk category scores above 3. The three moderate risks (EHR encroachment, TCPA, Print &amp; Mail structural decline) are known, manageable, and mitigated by RevSpring's existing compliance infrastructure and multi-product retention model.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200"/>
      </w:tabs>
      <w:spacing w:before="80"/>
    </w:pPr>
    <w:r>
      <w:rPr>
        <w:rFonts w:ascii="Arial" w:cs="Arial" w:eastAsia="Arial" w:hAnsi="Arial"/>
        <w:i/>
        <w:iCs/>
        <w:color w:val="888888"/>
        <w:sz w:val="18"/>
        <w:szCs w:val="18"/>
      </w:rPr>
      <w:t xml:space="preserve">Confidential | Morsebridge Healthcare | Commercial DD | RevSpring</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tabs>
        <w:tab w:val="right" w:pos="9200"/>
      </w:tabs>
      <w:spacing w:after="80"/>
    </w:pPr>
    <w:r>
      <w:rPr>
        <w:rFonts w:ascii="Arial" w:cs="Arial" w:eastAsia="Arial" w:hAnsi="Arial"/>
        <w:b/>
        <w:bCs/>
        <w:color w:val="1B3A5C"/>
        <w:sz w:val="22"/>
        <w:szCs w:val="22"/>
      </w:rPr>
      <w:t xml:space="preserve">COMPETITIVE ANALYSIS  |  RevSpring, Inc.</w:t>
    </w:r>
    <w:r>
      <w:rPr>
        <w:rFonts w:ascii="Arial" w:cs="Arial" w:eastAsia="Arial" w:hAnsi="Arial"/>
        <w:color w:val="555555"/>
        <w:sz w:val="20"/>
        <w:szCs w:val="20"/>
      </w:rPr>
      <w:t xml:space="preserve">	Morsebridge Healthcare  |  June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2026-06-08T10:17:55.064Z</dcterms:created>
  <dcterms:modified xsi:type="dcterms:W3CDTF">2026-06-08T10:17:55.065Z</dcterms:modified>
</cp:coreProperties>
</file>

<file path=docProps/custom.xml><?xml version="1.0" encoding="utf-8"?>
<Properties xmlns="http://schemas.openxmlformats.org/officeDocument/2006/custom-properties" xmlns:vt="http://schemas.openxmlformats.org/officeDocument/2006/docPropsVTypes"/>
</file>