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5C"/>
          <w:sz w:val="32"/>
          <w:szCs w:val="32"/>
        </w:rPr>
        <w:t xml:space="preserve">MANAGEMENT DUE DILIGENCE</w:t>
      </w:r>
    </w:p>
    <w:p>
      <w:pPr>
        <w:spacing w:after="60"/>
      </w:pPr>
      <w:r>
        <w:rPr>
          <w:rFonts w:ascii="Arial" w:cs="Arial" w:eastAsia="Arial" w:hAnsi="Arial"/>
          <w:b/>
          <w:bCs/>
          <w:color w:val="1B3A5C"/>
          <w:sz w:val="36"/>
          <w:szCs w:val="36"/>
        </w:rPr>
        <w:t xml:space="preserve">EXECUTIVE INTERVIEW GUIDE</w:t>
      </w:r>
    </w:p>
    <w:p>
      <w:pPr>
        <w:pBdr>
          <w:bottom w:val="single" w:color="1B3A5C" w:sz="8"/>
        </w:pBdr>
        <w:spacing w:after="180"/>
      </w:pPr>
      <w:r>
        <w:rPr>
          <w:rFonts w:ascii="Arial" w:cs="Arial" w:eastAsia="Arial" w:hAnsi="Arial"/>
          <w:color w:val="444444"/>
          <w:sz w:val="24"/>
          <w:szCs w:val="24"/>
        </w:rPr>
        <w:t xml:space="preserve">RevSpring, Inc.  |  Patient Engagement &amp; Revenue Cycle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Prepared by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Morsebridge Healthcare — Abdullah (abdullah@morsebridge.com)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5, 2026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Interviews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Scott MacKenzie (CEO) — 60 min  |  David Smith (CFO) — 45 min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Context</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Buyout, Frazier Healthcare Partners — March 2024. Financial DD complete. Commercial DD complete. Three Critical flags open.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Purpose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 PE partnership readiness, strategy clarity, operational depth, and resolve open DD flags prior to IC memo submission.</w:t>
            </w:r>
          </w:p>
        </w:tc>
      </w:tr>
    </w:tbl>
    <w:p>
      <w:pPr>
        <w:spacing w:after="80"/>
      </w:pPr>
      <w:r>
        <w:t xml:space="preserve"/>
      </w:r>
    </w:p>
    <w:p>
      <w:pPr>
        <w:shd w:fill="FFF3CD" w:val="clear"/>
        <w:spacing w:after="80"/>
      </w:pPr>
      <w:r>
        <w:rPr>
          <w:rFonts w:ascii="Arial" w:cs="Arial" w:eastAsia="Arial" w:hAnsi="Arial"/>
          <w:b/>
          <w:bCs/>
          <w:color w:val="B45309"/>
          <w:sz w:val="20"/>
          <w:szCs w:val="20"/>
        </w:rPr>
        <w:t xml:space="preserve">[MATERIAL]  </w:t>
      </w:r>
      <w:r>
        <w:rPr>
          <w:rFonts w:ascii="Arial" w:cs="Arial" w:eastAsia="Arial" w:hAnsi="Arial"/>
          <w:color w:val="000000"/>
          <w:sz w:val="20"/>
          <w:szCs w:val="20"/>
        </w:rPr>
        <w:t xml:space="preserve">Three Critical flags are open from Financial DD: (1) G&amp;A formula error in model projections; (2) MOIC main table inconsistency with sensitivity table; (3) Bear case IRR = 14% &lt; 15% threshold. Additional questions targeting each flag are marked [DD-SPECIFIC] below.</w:t>
      </w:r>
    </w:p>
    <w:p>
      <w:pPr>
        <w:spacing w:after="80"/>
      </w:pPr>
      <w:r>
        <w:t xml:space="preserve"/>
      </w:r>
    </w:p>
    <w:p>
      <w:pPr>
        <w:spacing w:after="80"/>
      </w:pPr>
      <w:r>
        <w:rPr>
          <w:rFonts w:ascii="Arial" w:cs="Arial" w:eastAsia="Arial" w:hAnsi="Arial"/>
          <w:b w:val="false"/>
          <w:bCs w:val="false"/>
          <w:color w:val="555555"/>
          <w:sz w:val="20"/>
          <w:szCs w:val="20"/>
        </w:rPr>
        <w:t xml:space="preserve">Confidential | Morsebridge Healthcare | For Internal Use Only</w:t>
      </w:r>
    </w:p>
    <w:p>
      <w:r>
        <w:br w:type="page"/>
      </w:r>
    </w:p>
    <w:p>
      <w:pPr>
        <w:shd w:fill="1B3A5C" w:val="clear"/>
        <w:spacing w:after="120" w:before="240"/>
      </w:pPr>
      <w:r>
        <w:rPr>
          <w:rFonts w:ascii="Arial" w:cs="Arial" w:eastAsia="Arial" w:hAnsi="Arial"/>
          <w:b/>
          <w:bCs/>
          <w:color w:val="FFFFFF"/>
          <w:sz w:val="24"/>
          <w:szCs w:val="24"/>
        </w:rPr>
        <w:t xml:space="preserve">EXECUTIVE PROFILE — SCOTT MACKENZIE, CEO</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Role</w:t>
            </w:r>
          </w:p>
        </w:tc>
        <w:tc>
          <w:tcPr>
            <w:tcW w:type="dxa" w:w="7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2E"/>
                <w:sz w:val="20"/>
                <w:szCs w:val="20"/>
              </w:rPr>
              <w:t xml:space="preserve">Chief Executive Officer, RevSpring, Inc.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Tenure at RevSpring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2019 — present (7+ years)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Equity Rollover</w:t>
            </w:r>
          </w:p>
        </w:tc>
        <w:tc>
          <w:tcPr>
            <w:tcW w:type="dxa" w:w="7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~$45M management rollover stake confirmed at Frazier close (March 2024)</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Education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MBA, University of Michigan Ross School of Business; BS, Utah State University</w:t>
            </w:r>
          </w:p>
        </w:tc>
      </w:tr>
    </w:tbl>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Career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0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Relevance / Notes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RevSpring, Inc.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2019 — present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 Led platform transformation from billing comms to full-stack patient financial journey. Five M&amp;A integrations under GTCR; two under Frazier (Kyruus, TrustCommerce).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M*Modal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~2015–2018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 documentation AI company acquired by 3M (2019). Direct PE-backed exit experience at CEO level.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 President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 Health / Experian Health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~2010–2015</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Led Passport Health Communications through acquisition by Experian; transitioned to President, Experian Health. Second PE-backed exit at CEO level.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RelayHealth Pharmacy Solutions (McKesson)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~2006–2010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President of a large-cap healthcare IT P&amp;L within McKesson. Demonstrates enterprise operations experience.</w:t>
            </w:r>
          </w:p>
        </w:tc>
      </w:tr>
    </w:tbl>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PE Partnership Assessment</w:t>
      </w:r>
    </w:p>
    <w:p>
      <w:pPr>
        <w:pStyle w:val="ListParagraph"/>
        <w:numPr>
          <w:ilvl w:val="0"/>
          <w:numId w:val="2"/>
        </w:numPr>
        <w:spacing w:after="70"/>
      </w:pPr>
      <w:r>
        <w:rPr>
          <w:rFonts w:ascii="Arial" w:cs="Arial" w:eastAsia="Arial" w:hAnsi="Arial"/>
          <w:sz w:val="20"/>
          <w:szCs w:val="20"/>
        </w:rPr>
        <w:t xml:space="preserve">MacKenzie has led two PE-backed companies to successful exits (M*Modal → 3M; Passport Health → Experian). He understands the full PE value creation lifecycle.</w:t>
      </w:r>
    </w:p>
    <w:p>
      <w:pPr>
        <w:pStyle w:val="ListParagraph"/>
        <w:numPr>
          <w:ilvl w:val="0"/>
          <w:numId w:val="2"/>
        </w:numPr>
        <w:spacing w:after="70"/>
      </w:pPr>
      <w:r>
        <w:rPr>
          <w:rFonts w:ascii="Arial" w:cs="Arial" w:eastAsia="Arial" w:hAnsi="Arial"/>
          <w:sz w:val="20"/>
          <w:szCs w:val="20"/>
        </w:rPr>
        <w:t xml:space="preserve">7-year tenure at RevSpring through GTCR ownership and now into Frazier hold. Board reporting, portfolio monitoring, and exit preparation experience is deep.</w:t>
      </w:r>
    </w:p>
    <w:p>
      <w:pPr>
        <w:pStyle w:val="ListParagraph"/>
        <w:numPr>
          <w:ilvl w:val="0"/>
          <w:numId w:val="2"/>
        </w:numPr>
        <w:spacing w:after="70"/>
      </w:pPr>
      <w:r>
        <w:rPr>
          <w:rFonts w:ascii="Arial" w:cs="Arial" w:eastAsia="Arial" w:hAnsi="Arial"/>
          <w:sz w:val="20"/>
          <w:szCs w:val="20"/>
        </w:rPr>
        <w:t xml:space="preserve">Active presence at HIMSS 2026 (April 2026) and recent HIStalk interview (April 2026) suggests high public engagement and comfort with external stakeholder management.</w:t>
      </w:r>
    </w:p>
    <w:p>
      <w:pPr>
        <w:pStyle w:val="ListParagraph"/>
        <w:numPr>
          <w:ilvl w:val="0"/>
          <w:numId w:val="2"/>
        </w:numPr>
        <w:spacing w:after="70"/>
      </w:pPr>
      <w:r>
        <w:rPr>
          <w:rFonts w:ascii="Arial" w:cs="Arial" w:eastAsia="Arial" w:hAnsi="Arial"/>
          <w:sz w:val="20"/>
          <w:szCs w:val="20"/>
        </w:rPr>
        <w:t xml:space="preserve">Known strategy thesis: 'Connected Care Journey from Search to Final Payment' — this is consistent with the CIM and the Kyruus / TrustCommerce acquisitions executed under Frazier.</w:t>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Preliminary Concerns / Focus Areas</w:t>
      </w:r>
    </w:p>
    <w:p>
      <w:pPr>
        <w:pStyle w:val="ListParagraph"/>
        <w:numPr>
          <w:ilvl w:val="0"/>
          <w:numId w:val="2"/>
        </w:numPr>
        <w:spacing w:after="70"/>
      </w:pPr>
      <w:r>
        <w:rPr>
          <w:rFonts w:ascii="Arial" w:cs="Arial" w:eastAsia="Arial" w:hAnsi="Arial"/>
          <w:sz w:val="20"/>
          <w:szCs w:val="20"/>
        </w:rPr>
        <w:t xml:space="preserve">Two acquisitions (Kyruus Health, TrustCommerce) closed within 12 months of Frazier's entry — integration execution risk and revenue attribution are open questions.</w:t>
      </w:r>
    </w:p>
    <w:p>
      <w:pPr>
        <w:pStyle w:val="ListParagraph"/>
        <w:numPr>
          <w:ilvl w:val="0"/>
          <w:numId w:val="2"/>
        </w:numPr>
        <w:spacing w:after="70"/>
      </w:pPr>
      <w:r>
        <w:rPr>
          <w:rFonts w:ascii="Arial" w:cs="Arial" w:eastAsia="Arial" w:hAnsi="Arial"/>
          <w:sz w:val="20"/>
          <w:szCs w:val="20"/>
        </w:rPr>
        <w:t xml:space="preserve">RevSpring Prime Membership Management Solution was launched at HIMSS26 — timing and contribution to FY2025 pipeline should be probed.</w:t>
      </w:r>
    </w:p>
    <w:p>
      <w:pPr>
        <w:pStyle w:val="ListParagraph"/>
        <w:numPr>
          <w:ilvl w:val="0"/>
          <w:numId w:val="2"/>
        </w:numPr>
        <w:spacing w:after="70"/>
      </w:pPr>
      <w:r>
        <w:rPr>
          <w:rFonts w:ascii="Arial" w:cs="Arial" w:eastAsia="Arial" w:hAnsi="Arial"/>
          <w:sz w:val="20"/>
          <w:szCs w:val="20"/>
        </w:rPr>
        <w:t xml:space="preserve">MacKenzie's strategy emphasis is on the 'Connected Care Journey' — but the financial model does not yet reflect Kyruus or TrustCommerce revenue, creating a disconnect between strategic narrative and financial plan.</w:t>
      </w:r>
    </w:p>
    <w:p>
      <w:pPr>
        <w:shd w:fill="FFF3CD" w:val="clear"/>
        <w:spacing w:after="80"/>
      </w:pPr>
      <w:r>
        <w:rPr>
          <w:rFonts w:ascii="Arial" w:cs="Arial" w:eastAsia="Arial" w:hAnsi="Arial"/>
          <w:b/>
          <w:bCs/>
          <w:color w:val="B45309"/>
          <w:sz w:val="20"/>
          <w:szCs w:val="20"/>
        </w:rPr>
        <w:t xml:space="preserve">[MATERIAL]  </w:t>
      </w:r>
      <w:r>
        <w:rPr>
          <w:rFonts w:ascii="Arial" w:cs="Arial" w:eastAsia="Arial" w:hAnsi="Arial"/>
          <w:color w:val="000000"/>
          <w:sz w:val="20"/>
          <w:szCs w:val="20"/>
        </w:rPr>
        <w:t xml:space="preserve">Probe MacKenzie's explanation for the Professional Services revenue +188% jump in FY2025E. If this is Kyruus revenue, it was not labelled in the model and must be reconciled.</w:t>
      </w:r>
    </w:p>
    <w:p>
      <w:r>
        <w:br w:type="page"/>
      </w:r>
    </w:p>
    <w:p>
      <w:pPr>
        <w:shd w:fill="1B3A5C" w:val="clear"/>
        <w:spacing w:after="120" w:before="240"/>
      </w:pPr>
      <w:r>
        <w:rPr>
          <w:rFonts w:ascii="Arial" w:cs="Arial" w:eastAsia="Arial" w:hAnsi="Arial"/>
          <w:b/>
          <w:bCs/>
          <w:color w:val="FFFFFF"/>
          <w:sz w:val="24"/>
          <w:szCs w:val="24"/>
        </w:rPr>
        <w:t xml:space="preserve">EXECUTIVE PROFILE — DAVID SMITH (DAVID F. SMITH III), CFO</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Role</w:t>
            </w:r>
          </w:p>
        </w:tc>
        <w:tc>
          <w:tcPr>
            <w:tcW w:type="dxa" w:w="7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E6DB4"/>
                <w:sz w:val="20"/>
                <w:szCs w:val="20"/>
              </w:rPr>
              <w:t xml:space="preserve">Chief Financial Officer, RevSpring, Inc.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Tenure at RevSpring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July 2024 — present (~11 months). Joined mid-transaction, replacing prior CFO Mark Coggin.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Education</w:t>
            </w:r>
          </w:p>
        </w:tc>
        <w:tc>
          <w:tcPr>
            <w:tcW w:type="dxa" w:w="7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MBA with Distinction, The Wharton School (Marketing &amp; Operations); BA Accounting &amp; Economics, University of Texas at Austin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Early Career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PricewaterhouseCoopers; Bain &amp; Company</w:t>
            </w:r>
          </w:p>
        </w:tc>
      </w:tr>
    </w:tbl>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Career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Relevance / Notes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CFO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RevSpring, Inc.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 — present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Joined mid-transaction (July 2024); replaced Mark Coggin. Oversees financial planning, reporting, treasury, M&amp;A integration.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Anatomy 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to 2024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Managed IT and cybersecurity services for healthcare organisations. PE-backed company context.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CFO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to Anatomy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Cloudmed is a PE-backed AI RCM company (acquired by R1 RCM 2022). Direct prior PE-backed CFO experience in the RCM sector.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Caregiver,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to Cloudmed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Healthcare services CFO role. Adds to breadth of PE-portfolio financial leadership.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MD, PE Group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Highland Capital Management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2008–2011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equity management role. Gives Smith buy-side perspective on PE expectations, returns, and reporting standards.</w:t>
            </w:r>
          </w:p>
        </w:tc>
      </w:tr>
    </w:tbl>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PE Partnership Assessment</w:t>
      </w:r>
    </w:p>
    <w:p>
      <w:pPr>
        <w:pStyle w:val="ListParagraph"/>
        <w:numPr>
          <w:ilvl w:val="0"/>
          <w:numId w:val="2"/>
        </w:numPr>
        <w:spacing w:after="70"/>
      </w:pPr>
      <w:r>
        <w:rPr>
          <w:rFonts w:ascii="Arial" w:cs="Arial" w:eastAsia="Arial" w:hAnsi="Arial"/>
          <w:sz w:val="20"/>
          <w:szCs w:val="20"/>
        </w:rPr>
        <w:t xml:space="preserve">Smith has held CFO roles at Cloudmed (PE-backed, acquired by R1 RCM) and Anatomy IT (PE-backed). His Wharton + PwC + Bain pedigree and Highland Capital PE management experience suggest PE-grade financial rigour.</w:t>
      </w:r>
    </w:p>
    <w:p>
      <w:pPr>
        <w:pStyle w:val="ListParagraph"/>
        <w:numPr>
          <w:ilvl w:val="0"/>
          <w:numId w:val="2"/>
        </w:numPr>
        <w:spacing w:after="70"/>
      </w:pPr>
      <w:r>
        <w:rPr>
          <w:rFonts w:ascii="Arial" w:cs="Arial" w:eastAsia="Arial" w:hAnsi="Arial"/>
          <w:sz w:val="20"/>
          <w:szCs w:val="20"/>
        </w:rPr>
        <w:t xml:space="preserve">Highland Capital buy-side experience (2008–2011) means Smith understands LP expectations, portfolio monitoring cadence, and return metrics from the investor side — an asset for board reporting quality.</w:t>
      </w:r>
    </w:p>
    <w:p>
      <w:pPr>
        <w:pStyle w:val="ListParagraph"/>
        <w:numPr>
          <w:ilvl w:val="0"/>
          <w:numId w:val="2"/>
        </w:numPr>
        <w:spacing w:after="70"/>
      </w:pPr>
      <w:r>
        <w:rPr>
          <w:rFonts w:ascii="Arial" w:cs="Arial" w:eastAsia="Arial" w:hAnsi="Arial"/>
          <w:sz w:val="20"/>
          <w:szCs w:val="20"/>
        </w:rPr>
        <w:t xml:space="preserve">Only 11 months tenure at RevSpring as of interview date. Mid-transaction hire creates execution risk on reporting continuity; Big 4 audit relationship with Frazier should be confirmed.</w:t>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Preliminary Concerns / Focus Areas</w:t>
      </w:r>
    </w:p>
    <w:p>
      <w:pPr>
        <w:shd w:fill="FEF2F2" w:val="clear"/>
        <w:spacing w:after="80"/>
      </w:pPr>
      <w:r>
        <w:rPr>
          <w:rFonts w:ascii="Arial" w:cs="Arial" w:eastAsia="Arial" w:hAnsi="Arial"/>
          <w:b/>
          <w:bCs/>
          <w:color w:val="C00000"/>
          <w:sz w:val="20"/>
          <w:szCs w:val="20"/>
        </w:rPr>
        <w:t xml:space="preserve">[CRITICAL]  </w:t>
      </w:r>
      <w:r>
        <w:rPr>
          <w:rFonts w:ascii="Arial" w:cs="Arial" w:eastAsia="Arial" w:hAnsi="Arial"/>
          <w:color w:val="000000"/>
          <w:sz w:val="20"/>
          <w:szCs w:val="20"/>
        </w:rPr>
        <w:t xml:space="preserve">The financial model contains a G&amp;A formula error producing negative values in FY2025–26E. As CFO, Smith owns this model. Morsebridge must determine whether Smith has identified and corrected the error, or whether the model was inherited uncorrected from Mark Coggin.</w:t>
      </w:r>
    </w:p>
    <w:p>
      <w:pPr>
        <w:shd w:fill="FEF2F2" w:val="clear"/>
        <w:spacing w:after="80"/>
      </w:pPr>
      <w:r>
        <w:rPr>
          <w:rFonts w:ascii="Arial" w:cs="Arial" w:eastAsia="Arial" w:hAnsi="Arial"/>
          <w:b/>
          <w:bCs/>
          <w:color w:val="C00000"/>
          <w:sz w:val="20"/>
          <w:szCs w:val="20"/>
        </w:rPr>
        <w:t xml:space="preserve">[CRITICAL]  </w:t>
      </w:r>
      <w:r>
        <w:rPr>
          <w:rFonts w:ascii="Arial" w:cs="Arial" w:eastAsia="Arial" w:hAnsi="Arial"/>
          <w:color w:val="000000"/>
          <w:sz w:val="20"/>
          <w:szCs w:val="20"/>
        </w:rPr>
        <w:t xml:space="preserve">The LBO Returns main table MOIC is inconsistent with the sensitivity table (~1.52x vs. stated 2.6x). Smith must reconcile this discrepancy. If Smith is unaware of it, this is a significant red flag on financial model governance.</w:t>
      </w:r>
    </w:p>
    <w:p>
      <w:pPr>
        <w:pStyle w:val="ListParagraph"/>
        <w:numPr>
          <w:ilvl w:val="0"/>
          <w:numId w:val="2"/>
        </w:numPr>
        <w:spacing w:after="70"/>
      </w:pPr>
      <w:r>
        <w:rPr>
          <w:rFonts w:ascii="Arial" w:cs="Arial" w:eastAsia="Arial" w:hAnsi="Arial"/>
          <w:sz w:val="20"/>
          <w:szCs w:val="20"/>
        </w:rPr>
        <w:t xml:space="preserve">Transition from Mark Coggin: any open restatements, accounting policy changes, or period-end adjustments since July 2024 must be confirmed.</w:t>
      </w:r>
    </w:p>
    <w:p>
      <w:pPr>
        <w:pStyle w:val="ListParagraph"/>
        <w:numPr>
          <w:ilvl w:val="0"/>
          <w:numId w:val="2"/>
        </w:numPr>
        <w:spacing w:after="70"/>
      </w:pPr>
      <w:r>
        <w:rPr>
          <w:rFonts w:ascii="Arial" w:cs="Arial" w:eastAsia="Arial" w:hAnsi="Arial"/>
          <w:sz w:val="20"/>
          <w:szCs w:val="20"/>
        </w:rPr>
        <w:t xml:space="preserve">As prior Cloudmed CFO, Smith has direct RCM sector CFO experience — confirm whether Cloudmed's AI-RCM platform experience is informing RevSpring's Engage IQ product roadmap.</w:t>
      </w:r>
    </w:p>
    <w:p>
      <w:r>
        <w:br w:type="page"/>
      </w:r>
    </w:p>
    <w:p>
      <w:pPr>
        <w:shd w:fill="1B3A5C" w:val="clear"/>
        <w:spacing w:after="120" w:before="240"/>
      </w:pPr>
      <w:r>
        <w:rPr>
          <w:rFonts w:ascii="Arial" w:cs="Arial" w:eastAsia="Arial" w:hAnsi="Arial"/>
          <w:b/>
          <w:bCs/>
          <w:color w:val="FFFFFF"/>
          <w:sz w:val="24"/>
          <w:szCs w:val="24"/>
        </w:rPr>
        <w:t xml:space="preserve">CEO INTERVIEW GUIDE — SCOTT MACKENZIE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Format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minutes structured interview. Use the block structure below. Reserve 5 minutes at close for open questions from MacKenzie.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Lead Interviewer</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Abdullah + Ayub. Abdullah drives Blocks 1–3; Ayub covers Blocks 4–5.</w:t>
            </w:r>
          </w:p>
        </w:tc>
      </w:tr>
      <w:tr>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B45309"/>
                <w:sz w:val="20"/>
                <w:szCs w:val="20"/>
              </w:rPr>
              <w:t xml:space="preserve">Watch For</w:t>
            </w:r>
          </w:p>
        </w:tc>
        <w:tc>
          <w:tcPr>
            <w:tcW w:type="dxa" w:w="6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B45309"/>
                <w:sz w:val="20"/>
                <w:szCs w:val="20"/>
              </w:rPr>
              <w:t xml:space="preserve">Deflection of risk questions; inconsistencies between strategy narrative and financial model; any new information about Kyruus/TrustCommerce revenue contribution; openness about Print &amp; Mail decline.</w:t>
            </w:r>
          </w:p>
        </w:tc>
      </w:tr>
    </w:tbl>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1 — Strategy  (15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1  </w:t>
            </w:r>
            <w:r>
              <w:rPr>
                <w:rFonts w:ascii="Arial" w:cs="Arial" w:eastAsia="Arial" w:hAnsi="Arial"/>
                <w:color w:val="000000"/>
                <w:sz w:val="20"/>
                <w:szCs w:val="20"/>
              </w:rPr>
              <w:t xml:space="preserve">Describe RevSpring's market position in one sentence. What does RevSpring do at scale today that no competitor can fully replicate?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1  </w:t>
            </w:r>
            <w:r>
              <w:rPr>
                <w:rFonts w:ascii="Arial" w:cs="Arial" w:eastAsia="Arial" w:hAnsi="Arial"/>
                <w:color w:val="000000"/>
                <w:sz w:val="20"/>
                <w:szCs w:val="20"/>
              </w:rPr>
              <w:t xml:space="preserve">You have positioned the company around the 'Connected Care Journey from Search to Final Payment'. Walk me through what that means in practice for a mid-size health system onboarding RevSpring today — which products do they start with, and what does the full platform look like at year three?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1  </w:t>
            </w:r>
            <w:r>
              <w:rPr>
                <w:rFonts w:ascii="Arial" w:cs="Arial" w:eastAsia="Arial" w:hAnsi="Arial"/>
                <w:color w:val="000000"/>
                <w:sz w:val="20"/>
                <w:szCs w:val="20"/>
              </w:rPr>
              <w:t xml:space="preserve">What is the single biggest risk to your FY2025 revenue plan and how are you managing it?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1 — DD-SPECIFIC  </w:t>
            </w:r>
            <w:r>
              <w:rPr>
                <w:rFonts w:ascii="Arial" w:cs="Arial" w:eastAsia="Arial" w:hAnsi="Arial"/>
                <w:color w:val="000000"/>
                <w:sz w:val="20"/>
                <w:szCs w:val="20"/>
              </w:rPr>
              <w:t xml:space="preserve">The Kyruus Health acquisition closed in Q4 2025 and TrustCommerce in February 2026. Walk me through where each integration stands today — what is live, what is in progress, and what is the revenue contribution year-to-date?</w:t>
            </w:r>
          </w:p>
          <w:p>
            <w:pPr>
              <w:spacing w:after="0"/>
            </w:pPr>
            <w:r>
              <w:rPr>
                <w:rFonts w:ascii="Arial" w:cs="Arial" w:eastAsia="Arial" w:hAnsi="Arial"/>
                <w:color w:val="C00000"/>
                <w:sz w:val="18"/>
                <w:szCs w:val="18"/>
              </w:rPr>
              <w:t xml:space="preserve">Context: Financial DD: Professional Services revenue in the model jumps from $21M (FY2024E) to $60.3M (FY2025E) without explanation. This may reflect Kyruus revenue — confirmation required.</w:t>
            </w:r>
          </w:p>
        </w:tc>
      </w:tr>
    </w:tbl>
    <w:p>
      <w:pPr>
        <w:spacing w:after="80"/>
      </w:pPr>
      <w:r>
        <w:t xml:space="preserve"/>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2 — Growth and Commercial  (15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2  </w:t>
            </w:r>
            <w:r>
              <w:rPr>
                <w:rFonts w:ascii="Arial" w:cs="Arial" w:eastAsia="Arial" w:hAnsi="Arial"/>
                <w:color w:val="000000"/>
                <w:sz w:val="20"/>
                <w:szCs w:val="20"/>
              </w:rPr>
              <w:t xml:space="preserve">Walk me through your top three revenue growth drivers for FY2025 and FY2026. For each one, what is the embedded assumption in the financial model and what would have to go wrong for you to miss it?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2  </w:t>
            </w:r>
            <w:r>
              <w:rPr>
                <w:rFonts w:ascii="Arial" w:cs="Arial" w:eastAsia="Arial" w:hAnsi="Arial"/>
                <w:color w:val="000000"/>
                <w:sz w:val="20"/>
                <w:szCs w:val="20"/>
              </w:rPr>
              <w:t xml:space="preserve">What is your current cross-sell penetration rate in the existing 2,000+ client base and what is the realistic ceiling? You cited $45M+ in incremental ARR — give me the client-level evidence behind that number.</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7</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2 — DD-SPECIFIC  </w:t>
            </w:r>
            <w:r>
              <w:rPr>
                <w:rFonts w:ascii="Arial" w:cs="Arial" w:eastAsia="Arial" w:hAnsi="Arial"/>
                <w:color w:val="000000"/>
                <w:sz w:val="20"/>
                <w:szCs w:val="20"/>
              </w:rPr>
              <w:t xml:space="preserve">Your CIM identifies payer market expansion as a material whitespace opportunity worth $2–3B. Where does that stand today — do you have any signed payer contracts, active pilots, or LOIs? What is the realistic timeline to first payer revenue?</w:t>
            </w:r>
          </w:p>
          <w:p>
            <w:pPr>
              <w:spacing w:after="0"/>
            </w:pPr>
            <w:r>
              <w:rPr>
                <w:rFonts w:ascii="Arial" w:cs="Arial" w:eastAsia="Arial" w:hAnsi="Arial"/>
                <w:color w:val="C00000"/>
                <w:sz w:val="18"/>
                <w:szCs w:val="18"/>
              </w:rPr>
              <w:t xml:space="preserve">Context: Commercial DD: Payer revenue is not disclosed in the CIM and is absent from the financial model. This is treated as speculative until confirmed.</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8</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2 — DD-SPECIFIC  </w:t>
            </w:r>
            <w:r>
              <w:rPr>
                <w:rFonts w:ascii="Arial" w:cs="Arial" w:eastAsia="Arial" w:hAnsi="Arial"/>
                <w:color w:val="000000"/>
                <w:sz w:val="20"/>
                <w:szCs w:val="20"/>
              </w:rPr>
              <w:t xml:space="preserve">Where have you lost deals in the last 12 months and why? Specifically, how often are you losing to Epic MyChart, Cedar, or Waystar, and what is your read on the competitive trajectory?</w:t>
            </w:r>
          </w:p>
          <w:p>
            <w:pPr>
              <w:spacing w:after="0"/>
            </w:pPr>
            <w:r>
              <w:rPr>
                <w:rFonts w:ascii="Arial" w:cs="Arial" w:eastAsia="Arial" w:hAnsi="Arial"/>
                <w:color w:val="C00000"/>
                <w:sz w:val="18"/>
                <w:szCs w:val="18"/>
              </w:rPr>
              <w:t xml:space="preserve">Context: Commercial DD: Win/loss data disaggregated by competitor was not disclosed in the CIM. This is the single most important commercial intelligence gap.</w:t>
            </w:r>
          </w:p>
        </w:tc>
      </w:tr>
    </w:tbl>
    <w:p>
      <w:pPr>
        <w:spacing w:after="80"/>
      </w:pPr>
      <w:r>
        <w:t xml:space="preserve"/>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3 — Operations  (10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9</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3  </w:t>
            </w:r>
            <w:r>
              <w:rPr>
                <w:rFonts w:ascii="Arial" w:cs="Arial" w:eastAsia="Arial" w:hAnsi="Arial"/>
                <w:color w:val="000000"/>
                <w:sz w:val="20"/>
                <w:szCs w:val="20"/>
              </w:rPr>
              <w:t xml:space="preserve">What are the top two operational constraints on scaling from current revenue to $500M+? What investments are you making to remove those constraints?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10</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3 — DD-SPECIFIC  </w:t>
            </w:r>
            <w:r>
              <w:rPr>
                <w:rFonts w:ascii="Arial" w:cs="Arial" w:eastAsia="Arial" w:hAnsi="Arial"/>
                <w:color w:val="000000"/>
                <w:sz w:val="20"/>
                <w:szCs w:val="20"/>
              </w:rPr>
              <w:t xml:space="preserve">Print &amp; Mail revenue has been declining as a share of your mix. In the financial model, it declines from $39M (FY2024E) to $29.5M (FY2025E) and then rises to $45.3M (FY2026E). What is driving the FY2026 increase — is this a model error, or does it reflect a specific commercial development?</w:t>
            </w:r>
          </w:p>
          <w:p>
            <w:pPr>
              <w:spacing w:after="0"/>
            </w:pPr>
            <w:r>
              <w:rPr>
                <w:rFonts w:ascii="Arial" w:cs="Arial" w:eastAsia="Arial" w:hAnsi="Arial"/>
                <w:color w:val="C00000"/>
                <w:sz w:val="18"/>
                <w:szCs w:val="18"/>
              </w:rPr>
              <w:t xml:space="preserve">Context: Financial DD: The Print &amp; Mail trajectory in the model is inconsistent with the secular decline narrative. Management must explain the FY2026E uptick or confirm it as a formula error.</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3  </w:t>
            </w:r>
            <w:r>
              <w:rPr>
                <w:rFonts w:ascii="Arial" w:cs="Arial" w:eastAsia="Arial" w:hAnsi="Arial"/>
                <w:color w:val="000000"/>
                <w:sz w:val="20"/>
                <w:szCs w:val="20"/>
              </w:rPr>
              <w:t xml:space="preserve">How does your AI and technology stack compare to Cedar and Waystar today? Where is your product investment concentrated for the next 18 months?</w:t>
            </w:r>
          </w:p>
        </w:tc>
      </w:tr>
    </w:tbl>
    <w:p>
      <w:pPr>
        <w:spacing w:after="80"/>
      </w:pPr>
      <w:r>
        <w:t xml:space="preserve"/>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4 — Team and Organisation  (10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12</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4  </w:t>
            </w:r>
            <w:r>
              <w:rPr>
                <w:rFonts w:ascii="Arial" w:cs="Arial" w:eastAsia="Arial" w:hAnsi="Arial"/>
                <w:color w:val="000000"/>
                <w:sz w:val="20"/>
                <w:szCs w:val="20"/>
              </w:rPr>
              <w:t xml:space="preserve">Which members of your leadership team are most critical to executing the FY2025–2026 plan? Nicole Rogas joined as President in January 2025 — how has the commercial leadership transition been managed and what does she own?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4  </w:t>
            </w:r>
            <w:r>
              <w:rPr>
                <w:rFonts w:ascii="Arial" w:cs="Arial" w:eastAsia="Arial" w:hAnsi="Arial"/>
                <w:color w:val="000000"/>
                <w:sz w:val="20"/>
                <w:szCs w:val="20"/>
              </w:rPr>
              <w:t xml:space="preserve">You have made two acquisitions in the 12 months since Frazier closed (Kyruus, TrustCommerce). What is the integration PMO structure, and which acquisitions in your GTCR hold period best inform your current integration playbook?</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14</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4  </w:t>
            </w:r>
            <w:r>
              <w:rPr>
                <w:rFonts w:ascii="Arial" w:cs="Arial" w:eastAsia="Arial" w:hAnsi="Arial"/>
                <w:color w:val="000000"/>
                <w:sz w:val="20"/>
                <w:szCs w:val="20"/>
              </w:rPr>
              <w:t xml:space="preserve">What has been the biggest people mistake you have made in this role and what did you do to correct it?</w:t>
            </w:r>
          </w:p>
        </w:tc>
      </w:tr>
    </w:tbl>
    <w:p>
      <w:pPr>
        <w:spacing w:after="80"/>
      </w:pPr>
      <w:r>
        <w:t xml:space="preserve"/>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5 — PE Partnership  (10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15</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5  </w:t>
            </w:r>
            <w:r>
              <w:rPr>
                <w:rFonts w:ascii="Arial" w:cs="Arial" w:eastAsia="Arial" w:hAnsi="Arial"/>
                <w:color w:val="000000"/>
                <w:sz w:val="20"/>
                <w:szCs w:val="20"/>
              </w:rPr>
              <w:t xml:space="preserve">You have been through PE-backed exits at M*Modal (to 3M) and Passport Health (to Experian). What did working with those sponsors teach you about what works and what does not in a PE partnership?</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16</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5 — DD-SPECIFIC  </w:t>
            </w:r>
            <w:r>
              <w:rPr>
                <w:rFonts w:ascii="Arial" w:cs="Arial" w:eastAsia="Arial" w:hAnsi="Arial"/>
                <w:color w:val="000000"/>
                <w:sz w:val="20"/>
                <w:szCs w:val="20"/>
              </w:rPr>
              <w:t xml:space="preserve">Our financial model analysis indicates the bear case IRR falls below our 20% threshold, and that the corrected base case MOIC is approximately 1.5x rather than the 2.6x stated in the main model. What is your own view on the return profile of this deal at the $1.3B entry multiple? What assumption has to be true for Frazier and Morsebridge to hit 3x+?</w:t>
            </w:r>
          </w:p>
          <w:p>
            <w:pPr>
              <w:spacing w:after="0"/>
            </w:pPr>
            <w:r>
              <w:rPr>
                <w:rFonts w:ascii="Arial" w:cs="Arial" w:eastAsia="Arial" w:hAnsi="Arial"/>
                <w:color w:val="C00000"/>
                <w:sz w:val="18"/>
                <w:szCs w:val="18"/>
              </w:rPr>
              <w:t xml:space="preserve">Context: Financial DD: Bear IRR 14% hard gate triggered; MOIC sensitivity table implies base case ~1.52x vs. stated 2.6x. Management's own view on return sensitivity is material.</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17</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5  </w:t>
            </w:r>
            <w:r>
              <w:rPr>
                <w:rFonts w:ascii="Arial" w:cs="Arial" w:eastAsia="Arial" w:hAnsi="Arial"/>
                <w:color w:val="000000"/>
                <w:sz w:val="20"/>
                <w:szCs w:val="20"/>
              </w:rPr>
              <w:t xml:space="preserve">What would cause this deal not to work? Give me your honest worst case.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18</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5  </w:t>
            </w:r>
            <w:r>
              <w:rPr>
                <w:rFonts w:ascii="Arial" w:cs="Arial" w:eastAsia="Arial" w:hAnsi="Arial"/>
                <w:color w:val="000000"/>
                <w:sz w:val="20"/>
                <w:szCs w:val="20"/>
              </w:rPr>
              <w:t xml:space="preserve">What do you need from Morsebridge in this partnership that you did not have in the GTCR relationship? What would make the next five years easier than the last eight?</w:t>
            </w:r>
          </w:p>
        </w:tc>
      </w:tr>
    </w:tbl>
    <w:p>
      <w:pPr>
        <w:spacing w:after="80"/>
      </w:pPr>
      <w:r>
        <w:t xml:space="preserve"/>
      </w:r>
    </w:p>
    <w:p>
      <w:r>
        <w:br w:type="page"/>
      </w:r>
    </w:p>
    <w:p>
      <w:pPr>
        <w:shd w:fill="1B3A5C" w:val="clear"/>
        <w:spacing w:after="120" w:before="240"/>
      </w:pPr>
      <w:r>
        <w:rPr>
          <w:rFonts w:ascii="Arial" w:cs="Arial" w:eastAsia="Arial" w:hAnsi="Arial"/>
          <w:b/>
          <w:bCs/>
          <w:color w:val="FFFFFF"/>
          <w:sz w:val="24"/>
          <w:szCs w:val="24"/>
        </w:rPr>
        <w:t xml:space="preserve">CFO INTERVIEW GUIDE — DAVID SMITH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Format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minutes structured interview. Four blocks. Do not rush Block 1 — model integrity is the most important section.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Lead Interviewer</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Abdullah leads all blocks. Ayub joins for Block 4.</w:t>
            </w:r>
          </w:p>
        </w:tc>
      </w:tr>
      <w:tr>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B45309"/>
                <w:sz w:val="20"/>
                <w:szCs w:val="20"/>
              </w:rPr>
              <w:t xml:space="preserve">Watch For</w:t>
            </w:r>
          </w:p>
        </w:tc>
        <w:tc>
          <w:tcPr>
            <w:tcW w:type="dxa" w:w="6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B45309"/>
                <w:sz w:val="20"/>
                <w:szCs w:val="20"/>
              </w:rPr>
              <w:t xml:space="preserve">Any indication that Smith is unaware of the G&amp;A formula error or MOIC discrepancy. Defensiveness about the CFO transition from Coggin. Inability to cite specific customer-level revenue quality metrics. Vagueness on audit timeline.</w:t>
            </w:r>
          </w:p>
        </w:tc>
      </w:tr>
    </w:tbl>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1 — Financial Model Integrity  (15 minutes)</w:t>
      </w:r>
    </w:p>
    <w:p>
      <w:pPr>
        <w:shd w:fill="FEF2F2" w:val="clear"/>
        <w:spacing w:after="80"/>
      </w:pPr>
      <w:r>
        <w:rPr>
          <w:rFonts w:ascii="Arial" w:cs="Arial" w:eastAsia="Arial" w:hAnsi="Arial"/>
          <w:b/>
          <w:bCs/>
          <w:color w:val="C00000"/>
          <w:sz w:val="20"/>
          <w:szCs w:val="20"/>
        </w:rPr>
        <w:t xml:space="preserve">[CRITICAL]  </w:t>
      </w:r>
      <w:r>
        <w:rPr>
          <w:rFonts w:ascii="Arial" w:cs="Arial" w:eastAsia="Arial" w:hAnsi="Arial"/>
          <w:color w:val="000000"/>
          <w:sz w:val="20"/>
          <w:szCs w:val="20"/>
        </w:rPr>
        <w:t xml:space="preserve">Do not open Block 1 with pleasantries on the model — lead with the specific formula issues. Smith is the CFO; he should own the model quality. His response will signal PE readiness.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1 — DD-SPECIFIC  </w:t>
            </w:r>
            <w:r>
              <w:rPr>
                <w:rFonts w:ascii="Arial" w:cs="Arial" w:eastAsia="Arial" w:hAnsi="Arial"/>
                <w:color w:val="000000"/>
                <w:sz w:val="20"/>
                <w:szCs w:val="20"/>
              </w:rPr>
              <w:t xml:space="preserve">We identified a G&amp;A formula error in your financial model — G&amp;A returns negative values in FY2025E (−$44.1M) and FY2026E (−$67.6M), causing Total OpEx to zero out and EBITDA to equal Gross Profit in both projection years. Has this been identified and corrected? Can you provide a corrected model?</w:t>
            </w:r>
          </w:p>
          <w:p>
            <w:pPr>
              <w:spacing w:after="0"/>
            </w:pPr>
            <w:r>
              <w:rPr>
                <w:rFonts w:ascii="Arial" w:cs="Arial" w:eastAsia="Arial" w:hAnsi="Arial"/>
                <w:color w:val="C00000"/>
                <w:sz w:val="18"/>
                <w:szCs w:val="18"/>
              </w:rPr>
              <w:t xml:space="preserve">Context: Financial DD: Critical flag. All projection-year metrics in the model are unreliable until this formula is repaired.</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1 — DD-SPECIFIC  </w:t>
            </w:r>
            <w:r>
              <w:rPr>
                <w:rFonts w:ascii="Arial" w:cs="Arial" w:eastAsia="Arial" w:hAnsi="Arial"/>
                <w:color w:val="000000"/>
                <w:sz w:val="20"/>
                <w:szCs w:val="20"/>
              </w:rPr>
              <w:t xml:space="preserve">The LBO Returns main table states a base case MOIC of 2.6x, but when we calculated exit equity from the stated exit EV and exit net debt, we get an implied MOIC of approximately 1.52x — matching the sensitivity table. Can you reconcile this discrepancy in the Returned Equity row?</w:t>
            </w:r>
          </w:p>
          <w:p>
            <w:pPr>
              <w:spacing w:after="0"/>
            </w:pPr>
            <w:r>
              <w:rPr>
                <w:rFonts w:ascii="Arial" w:cs="Arial" w:eastAsia="Arial" w:hAnsi="Arial"/>
                <w:color w:val="C00000"/>
                <w:sz w:val="18"/>
                <w:szCs w:val="18"/>
              </w:rPr>
              <w:t xml:space="preserve">Context: Financial DD: Critical flag. MOIC in main table overstates returns by ~1.1x. Must be reconciled before IC.</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1  </w:t>
            </w:r>
            <w:r>
              <w:rPr>
                <w:rFonts w:ascii="Arial" w:cs="Arial" w:eastAsia="Arial" w:hAnsi="Arial"/>
                <w:color w:val="000000"/>
                <w:sz w:val="20"/>
                <w:szCs w:val="20"/>
              </w:rPr>
              <w:t xml:space="preserve">Walk me through the key revenue assumptions behind your FY2025 plan. Which line items give you the most confidence and which carry the most variance risk?</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1 — DD-SPECIFIC  </w:t>
            </w:r>
            <w:r>
              <w:rPr>
                <w:rFonts w:ascii="Arial" w:cs="Arial" w:eastAsia="Arial" w:hAnsi="Arial"/>
                <w:color w:val="000000"/>
                <w:sz w:val="20"/>
                <w:szCs w:val="20"/>
              </w:rPr>
              <w:t xml:space="preserve">Professional Services revenue in the model jumps from $21M (FY2024E) to $60.3M (FY2025E) — a 188% increase. What does this reflect? Is Kyruus Health revenue included in this line? If so, please provide the Kyruus standalone P&amp;L and confirm whether Kyruus revenue is recurring or project-based.</w:t>
            </w:r>
          </w:p>
          <w:p>
            <w:pPr>
              <w:spacing w:after="0"/>
            </w:pPr>
            <w:r>
              <w:rPr>
                <w:rFonts w:ascii="Arial" w:cs="Arial" w:eastAsia="Arial" w:hAnsi="Arial"/>
                <w:color w:val="C00000"/>
                <w:sz w:val="18"/>
                <w:szCs w:val="18"/>
              </w:rPr>
              <w:t xml:space="preserve">Context: Financial DD: This is the largest unexplained anomaly in the revenue build. Management must confirm the source.</w:t>
            </w:r>
          </w:p>
        </w:tc>
      </w:tr>
    </w:tbl>
    <w:p>
      <w:pPr>
        <w:spacing w:after="80"/>
      </w:pPr>
      <w:r>
        <w:t xml:space="preserve"/>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2 — Revenue Quality  (15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2  </w:t>
            </w:r>
            <w:r>
              <w:rPr>
                <w:rFonts w:ascii="Arial" w:cs="Arial" w:eastAsia="Arial" w:hAnsi="Arial"/>
                <w:color w:val="000000"/>
                <w:sz w:val="20"/>
                <w:szCs w:val="20"/>
              </w:rPr>
              <w:t xml:space="preserve">What percentage of FY2024 revenue was fully contracted at the start of the year — meaning under a signed multi-year agreement with no termination-for-convenience clause? Give me a number, not a range.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2  </w:t>
            </w:r>
            <w:r>
              <w:rPr>
                <w:rFonts w:ascii="Arial" w:cs="Arial" w:eastAsia="Arial" w:hAnsi="Arial"/>
                <w:color w:val="000000"/>
                <w:sz w:val="20"/>
                <w:szCs w:val="20"/>
              </w:rPr>
              <w:t xml:space="preserve">Walk me through NRR over the last three years. What is driving the trend and what accounts for the 94% gross retention — which client segments are churning and why?</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7</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2  </w:t>
            </w:r>
            <w:r>
              <w:rPr>
                <w:rFonts w:ascii="Arial" w:cs="Arial" w:eastAsia="Arial" w:hAnsi="Arial"/>
                <w:color w:val="000000"/>
                <w:sz w:val="20"/>
                <w:szCs w:val="20"/>
              </w:rPr>
              <w:t xml:space="preserve">Take me through your top five clients by revenue. What is the remaining contract term on each, and which ones are in active renewal discussions?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8</w:t>
            </w:r>
          </w:p>
        </w:tc>
        <w:tc>
          <w:tcPr>
            <w:tcW w:type="dxa" w:w="88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60"/>
            </w:pPr>
            <w:r>
              <w:rPr>
                <w:rFonts w:ascii="Arial" w:cs="Arial" w:eastAsia="Arial" w:hAnsi="Arial"/>
                <w:b/>
                <w:bCs/>
                <w:color w:val="C00000"/>
                <w:sz w:val="16"/>
                <w:szCs w:val="16"/>
              </w:rPr>
              <w:t xml:space="preserve">Block 2 — DD-SPECIFIC  </w:t>
            </w:r>
            <w:r>
              <w:rPr>
                <w:rFonts w:ascii="Arial" w:cs="Arial" w:eastAsia="Arial" w:hAnsi="Arial"/>
                <w:color w:val="000000"/>
                <w:sz w:val="20"/>
                <w:szCs w:val="20"/>
              </w:rPr>
              <w:t xml:space="preserve">Print &amp; Mail revenue: your model shows a decline in FY2025E followed by a recovery in FY2026E. What is the realistic 3-year trajectory for this product line as a percentage of total revenue? What happens to EBITDA margins as Print &amp; Mail declines faster than expected?</w:t>
            </w:r>
          </w:p>
          <w:p>
            <w:pPr>
              <w:spacing w:after="0"/>
            </w:pPr>
            <w:r>
              <w:rPr>
                <w:rFonts w:ascii="Arial" w:cs="Arial" w:eastAsia="Arial" w:hAnsi="Arial"/>
                <w:color w:val="C00000"/>
                <w:sz w:val="18"/>
                <w:szCs w:val="18"/>
              </w:rPr>
              <w:t xml:space="preserve">Context: Commercial DD: Print &amp; Mail structural decline is a key margin risk. The FY2026E figure in the model appears inconsistent with secular decline thesis.</w:t>
            </w:r>
          </w:p>
        </w:tc>
      </w:tr>
    </w:tbl>
    <w:p>
      <w:pPr>
        <w:spacing w:after="80"/>
      </w:pPr>
      <w:r>
        <w:t xml:space="preserve"/>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3 — Working Capital and Cash  (10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9</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3  </w:t>
            </w:r>
            <w:r>
              <w:rPr>
                <w:rFonts w:ascii="Arial" w:cs="Arial" w:eastAsia="Arial" w:hAnsi="Arial"/>
                <w:color w:val="000000"/>
                <w:sz w:val="20"/>
                <w:szCs w:val="20"/>
              </w:rPr>
              <w:t xml:space="preserve">What is your DSO today and how has it trended over the last 12 months? Is there any sign of collection cycle deterioration in the post-COVID environment?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10</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3  </w:t>
            </w:r>
            <w:r>
              <w:rPr>
                <w:rFonts w:ascii="Arial" w:cs="Arial" w:eastAsia="Arial" w:hAnsi="Arial"/>
                <w:color w:val="000000"/>
                <w:sz w:val="20"/>
                <w:szCs w:val="20"/>
              </w:rPr>
              <w:t xml:space="preserve">Are there any material one-time items in the FY2023A or FY2024E EBITDA that are excluded from the run rate? What is the fully adjusted recurring EBITDA before any add-backs?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3  </w:t>
            </w:r>
            <w:r>
              <w:rPr>
                <w:rFonts w:ascii="Arial" w:cs="Arial" w:eastAsia="Arial" w:hAnsi="Arial"/>
                <w:color w:val="000000"/>
                <w:sz w:val="20"/>
                <w:szCs w:val="20"/>
              </w:rPr>
              <w:t xml:space="preserve">What is your current cash position? How much of your revolving credit facility is drawn, and what is the current covenant headroom against the 6.5x Net Debt/EBITDA limit?</w:t>
            </w:r>
          </w:p>
        </w:tc>
      </w:tr>
    </w:tbl>
    <w:p>
      <w:pPr>
        <w:spacing w:after="80"/>
      </w:pPr>
      <w:r>
        <w:t xml:space="preserve"/>
      </w:r>
    </w:p>
    <w:p>
      <w:pPr>
        <w:spacing w:after="80"/>
      </w:pPr>
      <w:r>
        <w:t xml:space="preserve"/>
      </w:r>
    </w:p>
    <w:p>
      <w:pPr>
        <w:pBdr>
          <w:bottom w:val="single" w:color="D6E4F0" w:sz="4"/>
        </w:pBdr>
        <w:spacing w:after="80" w:before="180"/>
      </w:pPr>
      <w:r>
        <w:rPr>
          <w:rFonts w:ascii="Arial" w:cs="Arial" w:eastAsia="Arial" w:hAnsi="Arial"/>
          <w:b/>
          <w:bCs/>
          <w:color w:val="1B3A5C"/>
          <w:sz w:val="22"/>
          <w:szCs w:val="22"/>
        </w:rPr>
        <w:t xml:space="preserve">Block 4 — PE Readiness  (10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12</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4  </w:t>
            </w:r>
            <w:r>
              <w:rPr>
                <w:rFonts w:ascii="Arial" w:cs="Arial" w:eastAsia="Arial" w:hAnsi="Arial"/>
                <w:color w:val="000000"/>
                <w:sz w:val="20"/>
                <w:szCs w:val="20"/>
              </w:rPr>
              <w:t xml:space="preserve">You joined mid-transaction in July 2024. Walk me through the financial reporting infrastructure you inherited from Mark Coggin and what changes you have made. Are the FY2024E figures actuals or still management estimates?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4  </w:t>
            </w:r>
            <w:r>
              <w:rPr>
                <w:rFonts w:ascii="Arial" w:cs="Arial" w:eastAsia="Arial" w:hAnsi="Arial"/>
                <w:color w:val="000000"/>
                <w:sz w:val="20"/>
                <w:szCs w:val="20"/>
              </w:rPr>
              <w:t xml:space="preserve">What does your current board reporting package include? How frequently are monthly P&amp;Ls delivered, and what is the standard lag between month-end and board pack distribution?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14</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4  </w:t>
            </w:r>
            <w:r>
              <w:rPr>
                <w:rFonts w:ascii="Arial" w:cs="Arial" w:eastAsia="Arial" w:hAnsi="Arial"/>
                <w:color w:val="000000"/>
                <w:sz w:val="20"/>
                <w:szCs w:val="20"/>
              </w:rPr>
              <w:t xml:space="preserve">Have you completed a Big 4 audit of FY2024? Who is your auditor and what was the sign-off date? Were there any management letter points or areas requiring remediation?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8820"/>
      </w:tblGrid>
      <w:tr>
        <w:tc>
          <w:tcPr>
            <w:tcW w:type="dxa" w:w="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15</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E6DB4"/>
                <w:sz w:val="16"/>
                <w:szCs w:val="16"/>
              </w:rPr>
              <w:t xml:space="preserve">Block 4  </w:t>
            </w:r>
            <w:r>
              <w:rPr>
                <w:rFonts w:ascii="Arial" w:cs="Arial" w:eastAsia="Arial" w:hAnsi="Arial"/>
                <w:color w:val="000000"/>
                <w:sz w:val="20"/>
                <w:szCs w:val="20"/>
              </w:rPr>
              <w:t xml:space="preserve">You held a Managing Director role at Highland Capital's PE Group from 2008 to 2011. How does that buy-side experience inform the financial reporting and investor communication approach you are building at RevSpring?</w:t>
            </w:r>
          </w:p>
        </w:tc>
      </w:tr>
    </w:tbl>
    <w:p>
      <w:pPr>
        <w:spacing w:after="80"/>
      </w:pPr>
      <w:r>
        <w:t xml:space="preserve"/>
      </w:r>
    </w:p>
    <w:p>
      <w:r>
        <w:br w:type="page"/>
      </w:r>
    </w:p>
    <w:p>
      <w:pPr>
        <w:shd w:fill="1B3A5C" w:val="clear"/>
        <w:spacing w:after="120" w:before="240"/>
      </w:pPr>
      <w:r>
        <w:rPr>
          <w:rFonts w:ascii="Arial" w:cs="Arial" w:eastAsia="Arial" w:hAnsi="Arial"/>
          <w:b/>
          <w:bCs/>
          <w:color w:val="FFFFFF"/>
          <w:sz w:val="24"/>
          <w:szCs w:val="24"/>
        </w:rPr>
        <w:t xml:space="preserve">POST-INTERVIEW: MANAGEMENT DD SCORING GUIDE</w:t>
      </w:r>
    </w:p>
    <w:p>
      <w:pPr>
        <w:spacing w:after="80"/>
      </w:pPr>
      <w:r>
        <w:t xml:space="preserve"/>
      </w:r>
    </w:p>
    <w:p>
      <w:pPr>
        <w:spacing w:after="80"/>
      </w:pPr>
      <w:r>
        <w:rPr>
          <w:rFonts w:ascii="Arial" w:cs="Arial" w:eastAsia="Arial" w:hAnsi="Arial"/>
          <w:b w:val="false"/>
          <w:bCs w:val="false"/>
          <w:color w:val="1B3A5C"/>
          <w:sz w:val="20"/>
          <w:szCs w:val="20"/>
        </w:rPr>
        <w:t xml:space="preserve">Complete this scorecard immediately after both interviews. Scores are commentary-only — no hard pass/fail gate applies in Management DD.</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900"/>
        <w:gridCol w:w="390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 (1-5)</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Post-Interview Notes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PE Experience — CEO (MacKenzie)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CFO PE Readiness (Smith)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Management Equity Rollover (~$45M disclosed)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Strategy Clarity — consistency with CIM and model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Acknowledgement — willingness to discuss downside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Second-Tier Leadership — depth below C-suite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Technology and Product Leadership (Howard Bright, CTO)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C-Suite Tenure — avg. tenure across team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 Plan — equity below C-suite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B3A5C"/>
                <w:sz w:val="20"/>
                <w:szCs w:val="20"/>
              </w:rPr>
              <w:t xml:space="preserve">  /5</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4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 WEIGHTED SCORE (max 100)</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  /100</w:t>
            </w:r>
          </w:p>
        </w:tc>
        <w:tc>
          <w:tcPr>
            <w:tcW w:type="dxa" w:w="3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val="false"/>
                <w:bCs w:val="false"/>
                <w:color w:val="555555"/>
                <w:sz w:val="20"/>
                <w:szCs w:val="20"/>
              </w:rPr>
              <w:t xml:space="preserve">80–100 = Strong Proceed  |  65–79 = Conditional  |  Below 65 = Pass</w:t>
            </w:r>
          </w:p>
        </w:tc>
      </w:tr>
    </w:tbl>
    <w:p>
      <w:pPr>
        <w:spacing w:after="80"/>
      </w:pPr>
      <w:r>
        <w:t xml:space="preserve"/>
      </w:r>
    </w:p>
    <w:p>
      <w:pPr>
        <w:spacing w:after="80"/>
      </w:pPr>
      <w:r>
        <w:rPr>
          <w:rFonts w:ascii="Arial" w:cs="Arial" w:eastAsia="Arial" w:hAnsi="Arial"/>
          <w:b w:val="false"/>
          <w:bCs w:val="false"/>
          <w:color w:val="555555"/>
          <w:sz w:val="20"/>
          <w:szCs w:val="20"/>
        </w:rPr>
        <w:t xml:space="preserve">Score interpretation: 80–100 Strong Proceed | 65–79 Conditional Proceed | Below 65 Pass. PE Partnership Readiness criteria (rows 1–3, combined weight 35%) are the most important dimension. A combined score below 2.5 on these three criteria should be flagged regardless of total score.</w:t>
      </w:r>
    </w:p>
    <w:p>
      <w:pPr>
        <w:spacing w:after="80"/>
      </w:pPr>
      <w:r>
        <w:t xml:space="preserve"/>
      </w:r>
    </w:p>
    <w:p>
      <w:pPr>
        <w:spacing w:after="80"/>
      </w:pPr>
      <w:r>
        <w:rPr>
          <w:rFonts w:ascii="Arial" w:cs="Arial" w:eastAsia="Arial" w:hAnsi="Arial"/>
          <w:b w:val="false"/>
          <w:bCs w:val="false"/>
          <w:color w:val="888888"/>
          <w:sz w:val="20"/>
          <w:szCs w:val="20"/>
        </w:rPr>
        <w:t xml:space="preserve">Confidential | Morsebridge Healthcare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200"/>
      </w:tabs>
      <w:spacing w:before="80"/>
    </w:pPr>
    <w:r>
      <w:rPr>
        <w:rFonts w:ascii="Arial" w:cs="Arial" w:eastAsia="Arial" w:hAnsi="Arial"/>
        <w:i/>
        <w:iCs/>
        <w:color w:val="888888"/>
        <w:sz w:val="18"/>
        <w:szCs w:val="18"/>
      </w:rPr>
      <w:t xml:space="preserve">Confidential | Morsebridge Healthcare | Management DD | RevSpring</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tabs>
        <w:tab w:val="right" w:pos="9200"/>
      </w:tabs>
      <w:spacing w:after="80"/>
    </w:pPr>
    <w:r>
      <w:rPr>
        <w:rFonts w:ascii="Arial" w:cs="Arial" w:eastAsia="Arial" w:hAnsi="Arial"/>
        <w:b/>
        <w:bCs/>
        <w:color w:val="1B3A5C"/>
        <w:sz w:val="22"/>
        <w:szCs w:val="22"/>
      </w:rPr>
      <w:t xml:space="preserve">MANAGEMENT DD INTERVIEW GUIDE  |  RevSpring, Inc.</w:t>
    </w:r>
    <w:r>
      <w:rPr>
        <w:rFonts w:ascii="Arial" w:cs="Arial" w:eastAsia="Arial" w:hAnsi="Arial"/>
        <w:color w:val="555555"/>
        <w:sz w:val="20"/>
        <w:szCs w:val="20"/>
      </w:rPr>
      <w:t xml:space="preserve">	Morsebridge Healthcare  |  June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lowerLetter"/>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2026-06-08T11:41:04.346Z</dcterms:created>
  <dcterms:modified xsi:type="dcterms:W3CDTF">2026-06-08T11:41:04.350Z</dcterms:modified>
</cp:coreProperties>
</file>

<file path=docProps/custom.xml><?xml version="1.0" encoding="utf-8"?>
<Properties xmlns="http://schemas.openxmlformats.org/officeDocument/2006/custom-properties" xmlns:vt="http://schemas.openxmlformats.org/officeDocument/2006/docPropsVTypes"/>
</file>