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25E" w:rsidRDefault="0084525E" w:rsidP="0084525E">
      <w:pPr>
        <w:pStyle w:val="Para"/>
        <w:ind w:firstLine="0"/>
        <w:rPr>
          <w:sz w:val="32"/>
        </w:rPr>
      </w:pPr>
      <w:r>
        <w:rPr>
          <w:noProof/>
          <w:snapToGrid/>
        </w:rPr>
        <w:pict>
          <v:shapetype id="_x0000_t32" coordsize="21600,21600" o:spt="32" o:oned="t" path="m,l21600,21600e" filled="f">
            <v:path arrowok="t" fillok="f" o:connecttype="none"/>
            <o:lock v:ext="edit" shapetype="t"/>
          </v:shapetype>
          <v:shape id="_x0000_s1028" type="#_x0000_t32" style="position:absolute;left:0;text-align:left;margin-left:183.9pt;margin-top:.45pt;width:0;height:39.3pt;z-index:251662336" o:connectortype="straight"/>
        </w:pict>
      </w:r>
      <w:r>
        <w:rPr>
          <w:noProof/>
          <w:lang w:eastAsia="zh-TW"/>
        </w:rPr>
        <w:pict>
          <v:shapetype id="_x0000_t202" coordsize="21600,21600" o:spt="202" path="m,l,21600r21600,l21600,xe">
            <v:stroke joinstyle="miter"/>
            <v:path gradientshapeok="t" o:connecttype="rect"/>
          </v:shapetype>
          <v:shape id="_x0000_s1026" type="#_x0000_t202" style="position:absolute;left:0;text-align:left;margin-left:185.4pt;margin-top:1.2pt;width:282.6pt;height:34.8pt;z-index:251660288;mso-width-relative:margin;mso-height-relative:margin" stroked="f">
            <v:textbox style="mso-next-textbox:#_x0000_s1026" inset="0,,0">
              <w:txbxContent>
                <w:p w:rsidR="0084525E" w:rsidRPr="0084525E" w:rsidRDefault="0084525E" w:rsidP="0084525E">
                  <w:pPr>
                    <w:pStyle w:val="Para"/>
                    <w:ind w:left="180" w:firstLine="0"/>
                    <w:rPr>
                      <w:sz w:val="28"/>
                    </w:rPr>
                  </w:pPr>
                  <w:r w:rsidRPr="0084525E">
                    <w:rPr>
                      <w:sz w:val="24"/>
                    </w:rPr>
                    <w:t xml:space="preserve">The Microsoft Data Warehouse Toolkit, 2nd Edition, </w:t>
                  </w:r>
                  <w:r w:rsidRPr="00C678AB">
                    <w:rPr>
                      <w:sz w:val="32"/>
                    </w:rPr>
                    <w:br/>
                  </w:r>
                  <w:r w:rsidRPr="0084525E">
                    <w:rPr>
                      <w:sz w:val="22"/>
                    </w:rPr>
                    <w:t>with the SQL Server 2008R2 platform</w:t>
                  </w:r>
                </w:p>
              </w:txbxContent>
            </v:textbox>
          </v:shape>
        </w:pict>
      </w:r>
      <w:r>
        <w:rPr>
          <w:noProof/>
          <w:snapToGrid/>
        </w:rPr>
        <w:pict>
          <v:rect id="_x0000_s1027" style="position:absolute;left:0;text-align:left;margin-left:37pt;margin-top:-.3pt;width:435.5pt;height:40.3pt;z-index:251661312" filled="f"/>
        </w:pict>
      </w:r>
      <w:r w:rsidRPr="0084525E">
        <w:rPr>
          <w:sz w:val="32"/>
        </w:rPr>
        <w:drawing>
          <wp:inline distT="0" distB="0" distL="0" distR="0">
            <wp:extent cx="1724025" cy="504825"/>
            <wp:effectExtent l="19050" t="0" r="9525" b="0"/>
            <wp:docPr id="1" name="Picture 5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cstate="print"/>
                    <a:srcRect/>
                    <a:stretch>
                      <a:fillRect/>
                    </a:stretch>
                  </pic:blipFill>
                  <pic:spPr bwMode="auto">
                    <a:xfrm>
                      <a:off x="0" y="0"/>
                      <a:ext cx="1724025" cy="504825"/>
                    </a:xfrm>
                    <a:prstGeom prst="rect">
                      <a:avLst/>
                    </a:prstGeom>
                    <a:noFill/>
                  </pic:spPr>
                </pic:pic>
              </a:graphicData>
            </a:graphic>
          </wp:inline>
        </w:drawing>
      </w:r>
    </w:p>
    <w:p w:rsidR="0084525E" w:rsidRPr="0084525E" w:rsidRDefault="0084525E" w:rsidP="0084525E">
      <w:pPr>
        <w:pStyle w:val="Para"/>
        <w:ind w:firstLine="0"/>
        <w:rPr>
          <w:sz w:val="32"/>
        </w:rPr>
      </w:pPr>
      <w:r>
        <w:rPr>
          <w:sz w:val="32"/>
        </w:rPr>
        <w:br/>
      </w:r>
      <w:r w:rsidRPr="0084525E">
        <w:rPr>
          <w:sz w:val="32"/>
        </w:rPr>
        <w:t>Web Content</w:t>
      </w:r>
    </w:p>
    <w:p w:rsidR="000F7A88" w:rsidRDefault="000F7A88" w:rsidP="00C678AB">
      <w:pPr>
        <w:pStyle w:val="Para"/>
        <w:ind w:firstLine="0"/>
      </w:pPr>
      <w:r>
        <w:t>Chapter 2 – Example of Type 1 and Type 2 attribute change tracking techniques</w:t>
      </w:r>
    </w:p>
    <w:p w:rsidR="000F7A88" w:rsidRDefault="000F7A88" w:rsidP="00483E64">
      <w:pPr>
        <w:pStyle w:val="Para"/>
      </w:pPr>
    </w:p>
    <w:p w:rsidR="00483E64" w:rsidRDefault="00483E64" w:rsidP="00483E64">
      <w:pPr>
        <w:pStyle w:val="Para"/>
      </w:pPr>
      <w:r>
        <w:t xml:space="preserve">The best way to understand the concepts of Type 1 and Type 2 change tracking, and the substantial impact of accurately tracking changes, </w:t>
      </w:r>
      <w:r w:rsidR="00C678AB">
        <w:t>is with an example. As we see</w:t>
      </w:r>
      <w:r>
        <w:t xml:space="preserve"> in the </w:t>
      </w:r>
      <w:r w:rsidR="00C678AB">
        <w:t>Data Mining chapter</w:t>
      </w:r>
      <w:r>
        <w:t>, Adventure Works Cycles collects demographic information from its Internet customers. These attributes, such as gender, homeowner status, education, and commute distance, all go into the customer dimension. Many of these attributes will change over time. If a customer moves, her commute distance will change. If a customer bought a bike when he went to college, his education status will change when he graduates. These attributes all certainly qualify as slowly changing, but should you treat them as Type 1 or Type 2 attributes?</w:t>
      </w:r>
    </w:p>
    <w:p w:rsidR="00483E64" w:rsidRDefault="00483E64" w:rsidP="00483E64">
      <w:pPr>
        <w:pStyle w:val="Para"/>
      </w:pPr>
      <w:r>
        <w:t xml:space="preserve">If you’ve been paying attention, you know the correct answer is to ask the business users how they’ll use this information. You already know from the requirements gathering information in Chapter 1 that Marketing intends to use some data mining techniques to look for demographic attributes that predict buying behaviors. In particular, they want to know if certain attributes are predictive of higher-than-average buying. They could use those attributes to create targeted marketing campaigns. Let’s examine some example customer-level data to see how decisions on handling attribute changes can affect the information you provide your users. </w:t>
      </w:r>
    </w:p>
    <w:p w:rsidR="00483E64" w:rsidRDefault="00483E64" w:rsidP="00483E64">
      <w:pPr>
        <w:pStyle w:val="Para"/>
      </w:pPr>
      <w:r>
        <w:t xml:space="preserve">Table 2.1 shows the row in the customer dimension for a customer named Jane Rider as of January 1, </w:t>
      </w:r>
      <w:r w:rsidR="00C678AB">
        <w:t>2011</w:t>
      </w:r>
      <w:r>
        <w:t>. Notice that the customer dimension includes the business key from the transaction system along with the attributes that describe Jane Rider. The business key allows users to tie back to the transaction system if need be.</w:t>
      </w:r>
    </w:p>
    <w:p w:rsidR="00C678AB" w:rsidRDefault="00C678AB" w:rsidP="00C678AB">
      <w:pPr>
        <w:pStyle w:val="TableCaption"/>
      </w:pPr>
      <w:r>
        <w:t>Table 2.1: Example Customer Dimension Table Row as of Jan 1, 2011</w:t>
      </w:r>
    </w:p>
    <w:tbl>
      <w:tblPr>
        <w:tblW w:w="9648" w:type="dxa"/>
        <w:tblLook w:val="0000"/>
      </w:tblPr>
      <w:tblGrid>
        <w:gridCol w:w="1769"/>
        <w:gridCol w:w="1903"/>
        <w:gridCol w:w="1594"/>
        <w:gridCol w:w="1592"/>
        <w:gridCol w:w="1530"/>
        <w:gridCol w:w="1260"/>
      </w:tblGrid>
      <w:tr w:rsidR="00C678AB" w:rsidTr="00C678AB">
        <w:tc>
          <w:tcPr>
            <w:tcW w:w="1769" w:type="dxa"/>
            <w:tcBorders>
              <w:bottom w:val="single" w:sz="4" w:space="0" w:color="auto"/>
            </w:tcBorders>
            <w:vAlign w:val="bottom"/>
          </w:tcPr>
          <w:p w:rsidR="00C678AB" w:rsidRDefault="00C678AB" w:rsidP="00C678AB">
            <w:pPr>
              <w:pStyle w:val="TableHead"/>
            </w:pPr>
            <w:proofErr w:type="spellStart"/>
            <w:r>
              <w:t>Customer_Key</w:t>
            </w:r>
            <w:proofErr w:type="spellEnd"/>
          </w:p>
        </w:tc>
        <w:tc>
          <w:tcPr>
            <w:tcW w:w="1903" w:type="dxa"/>
            <w:tcBorders>
              <w:bottom w:val="single" w:sz="4" w:space="0" w:color="auto"/>
            </w:tcBorders>
            <w:vAlign w:val="bottom"/>
          </w:tcPr>
          <w:p w:rsidR="00C678AB" w:rsidRDefault="00C678AB" w:rsidP="00C678AB">
            <w:pPr>
              <w:pStyle w:val="TableHead"/>
            </w:pPr>
            <w:proofErr w:type="spellStart"/>
            <w:r>
              <w:t>BKCustomer_ID</w:t>
            </w:r>
            <w:proofErr w:type="spellEnd"/>
          </w:p>
        </w:tc>
        <w:tc>
          <w:tcPr>
            <w:tcW w:w="1594" w:type="dxa"/>
            <w:tcBorders>
              <w:bottom w:val="single" w:sz="4" w:space="0" w:color="auto"/>
            </w:tcBorders>
            <w:vAlign w:val="bottom"/>
          </w:tcPr>
          <w:p w:rsidR="00C678AB" w:rsidRDefault="00C678AB" w:rsidP="00C678AB">
            <w:pPr>
              <w:pStyle w:val="TableHead"/>
            </w:pPr>
            <w:r>
              <w:t>Customer_</w:t>
            </w:r>
            <w:r>
              <w:br/>
              <w:t>Name</w:t>
            </w:r>
          </w:p>
        </w:tc>
        <w:tc>
          <w:tcPr>
            <w:tcW w:w="1592" w:type="dxa"/>
            <w:tcBorders>
              <w:bottom w:val="single" w:sz="4" w:space="0" w:color="auto"/>
            </w:tcBorders>
            <w:vAlign w:val="bottom"/>
          </w:tcPr>
          <w:p w:rsidR="00C678AB" w:rsidRDefault="00C678AB" w:rsidP="00C678AB">
            <w:pPr>
              <w:pStyle w:val="TableHead"/>
            </w:pPr>
            <w:r>
              <w:t>Commute_</w:t>
            </w:r>
            <w:r>
              <w:br/>
              <w:t>Distance</w:t>
            </w:r>
          </w:p>
        </w:tc>
        <w:tc>
          <w:tcPr>
            <w:tcW w:w="1530" w:type="dxa"/>
            <w:tcBorders>
              <w:bottom w:val="single" w:sz="4" w:space="0" w:color="auto"/>
            </w:tcBorders>
            <w:vAlign w:val="bottom"/>
          </w:tcPr>
          <w:p w:rsidR="00C678AB" w:rsidRDefault="00C678AB" w:rsidP="00C678AB">
            <w:pPr>
              <w:pStyle w:val="TableHead"/>
            </w:pPr>
            <w:r>
              <w:t>Gender</w:t>
            </w:r>
          </w:p>
        </w:tc>
        <w:tc>
          <w:tcPr>
            <w:tcW w:w="1260" w:type="dxa"/>
            <w:tcBorders>
              <w:bottom w:val="single" w:sz="4" w:space="0" w:color="auto"/>
            </w:tcBorders>
            <w:vAlign w:val="bottom"/>
          </w:tcPr>
          <w:p w:rsidR="00C678AB" w:rsidRDefault="00C678AB" w:rsidP="00C678AB">
            <w:pPr>
              <w:pStyle w:val="TableHead"/>
            </w:pPr>
            <w:r>
              <w:t>Home_</w:t>
            </w:r>
            <w:r>
              <w:br/>
              <w:t>Owner_</w:t>
            </w:r>
            <w:r>
              <w:br/>
              <w:t>Flag</w:t>
            </w:r>
          </w:p>
        </w:tc>
      </w:tr>
      <w:tr w:rsidR="00C678AB" w:rsidTr="00C678AB">
        <w:tc>
          <w:tcPr>
            <w:tcW w:w="1769" w:type="dxa"/>
            <w:tcBorders>
              <w:top w:val="single" w:sz="4" w:space="0" w:color="auto"/>
            </w:tcBorders>
          </w:tcPr>
          <w:p w:rsidR="00C678AB" w:rsidRDefault="00C678AB" w:rsidP="00C678AB">
            <w:pPr>
              <w:pStyle w:val="TableEntry"/>
            </w:pPr>
            <w:r>
              <w:t>1552</w:t>
            </w:r>
          </w:p>
        </w:tc>
        <w:tc>
          <w:tcPr>
            <w:tcW w:w="1903" w:type="dxa"/>
            <w:tcBorders>
              <w:top w:val="single" w:sz="4" w:space="0" w:color="auto"/>
            </w:tcBorders>
          </w:tcPr>
          <w:p w:rsidR="00C678AB" w:rsidRDefault="00C678AB" w:rsidP="00C678AB">
            <w:pPr>
              <w:pStyle w:val="TableEntry"/>
            </w:pPr>
            <w:r>
              <w:t>31421</w:t>
            </w:r>
          </w:p>
        </w:tc>
        <w:tc>
          <w:tcPr>
            <w:tcW w:w="1594" w:type="dxa"/>
            <w:tcBorders>
              <w:top w:val="single" w:sz="4" w:space="0" w:color="auto"/>
            </w:tcBorders>
          </w:tcPr>
          <w:p w:rsidR="00C678AB" w:rsidRDefault="00C678AB" w:rsidP="00C678AB">
            <w:pPr>
              <w:pStyle w:val="TableEntry"/>
            </w:pPr>
            <w:r>
              <w:t>Jane Rider</w:t>
            </w:r>
          </w:p>
        </w:tc>
        <w:tc>
          <w:tcPr>
            <w:tcW w:w="1592" w:type="dxa"/>
            <w:tcBorders>
              <w:top w:val="single" w:sz="4" w:space="0" w:color="auto"/>
            </w:tcBorders>
          </w:tcPr>
          <w:p w:rsidR="00C678AB" w:rsidRDefault="00C678AB" w:rsidP="00C678AB">
            <w:pPr>
              <w:pStyle w:val="TableEntry"/>
            </w:pPr>
            <w:r>
              <w:t>3</w:t>
            </w:r>
          </w:p>
        </w:tc>
        <w:tc>
          <w:tcPr>
            <w:tcW w:w="1530" w:type="dxa"/>
            <w:tcBorders>
              <w:top w:val="single" w:sz="4" w:space="0" w:color="auto"/>
            </w:tcBorders>
          </w:tcPr>
          <w:p w:rsidR="00C678AB" w:rsidRDefault="00C678AB" w:rsidP="00C678AB">
            <w:pPr>
              <w:pStyle w:val="TableEntry"/>
            </w:pPr>
            <w:r>
              <w:t>Female</w:t>
            </w:r>
          </w:p>
        </w:tc>
        <w:tc>
          <w:tcPr>
            <w:tcW w:w="1260" w:type="dxa"/>
            <w:tcBorders>
              <w:top w:val="single" w:sz="4" w:space="0" w:color="auto"/>
            </w:tcBorders>
          </w:tcPr>
          <w:p w:rsidR="00C678AB" w:rsidRDefault="00C678AB" w:rsidP="00C678AB">
            <w:pPr>
              <w:pStyle w:val="TableEntry"/>
            </w:pPr>
            <w:r>
              <w:t>No</w:t>
            </w:r>
          </w:p>
        </w:tc>
      </w:tr>
    </w:tbl>
    <w:p w:rsidR="00C678AB" w:rsidRDefault="00C678AB" w:rsidP="00483E64">
      <w:pPr>
        <w:pStyle w:val="Para"/>
      </w:pPr>
    </w:p>
    <w:p w:rsidR="00483E64" w:rsidRDefault="00483E64" w:rsidP="00483E64">
      <w:pPr>
        <w:pStyle w:val="Para"/>
      </w:pPr>
      <w:r>
        <w:t xml:space="preserve">Table 2.2 shows some example rows from an abridged version of the AWC Orders fact table in the data warehouse database. We have used surrogate keys for </w:t>
      </w:r>
      <w:r>
        <w:lastRenderedPageBreak/>
        <w:t xml:space="preserve">customer and product, but we left the order date as a date for the sake of clarity. These rows show all of Jane Rider’s AWC orders. </w:t>
      </w:r>
    </w:p>
    <w:p w:rsidR="00483E64" w:rsidRDefault="00483E64" w:rsidP="00483E64">
      <w:pPr>
        <w:pStyle w:val="Para"/>
      </w:pPr>
      <w:r>
        <w:t>A marketing analyst might want to look at these two tables together, across all customers, to see if any of the customer attributes predict behavior. For example, one might hypothesize that people with short commute distances are more likely to buy nice bikes and accessories than people with long commute distances. They might ride their bikes to work rather than drive.</w:t>
      </w:r>
    </w:p>
    <w:p w:rsidR="00C678AB" w:rsidRDefault="00C678AB" w:rsidP="00C678AB">
      <w:pPr>
        <w:pStyle w:val="TableCaption"/>
        <w:rPr>
          <w:color w:val="FFFFFF"/>
        </w:rPr>
      </w:pPr>
      <w:r>
        <w:t>Table 2.2: Example Order Fact Table Rows for Jane Rider as of Feb 22, 2011</w:t>
      </w:r>
    </w:p>
    <w:tbl>
      <w:tblPr>
        <w:tblW w:w="7655" w:type="dxa"/>
        <w:tblInd w:w="720" w:type="dxa"/>
        <w:tblLook w:val="0000"/>
      </w:tblPr>
      <w:tblGrid>
        <w:gridCol w:w="1195"/>
        <w:gridCol w:w="1769"/>
        <w:gridCol w:w="1574"/>
        <w:gridCol w:w="1426"/>
        <w:gridCol w:w="1793"/>
      </w:tblGrid>
      <w:tr w:rsidR="00C678AB" w:rsidTr="00C678AB">
        <w:tc>
          <w:tcPr>
            <w:tcW w:w="1285" w:type="dxa"/>
          </w:tcPr>
          <w:p w:rsidR="00C678AB" w:rsidRDefault="00C678AB" w:rsidP="00C678AB">
            <w:pPr>
              <w:pStyle w:val="TableHead"/>
            </w:pPr>
            <w:r>
              <w:t>Date</w:t>
            </w:r>
          </w:p>
        </w:tc>
        <w:tc>
          <w:tcPr>
            <w:tcW w:w="1644" w:type="dxa"/>
          </w:tcPr>
          <w:p w:rsidR="00C678AB" w:rsidRDefault="00C678AB" w:rsidP="00C678AB">
            <w:pPr>
              <w:pStyle w:val="TableHead"/>
            </w:pPr>
            <w:proofErr w:type="spellStart"/>
            <w:r>
              <w:t>Customer_Key</w:t>
            </w:r>
            <w:proofErr w:type="spellEnd"/>
          </w:p>
        </w:tc>
        <w:tc>
          <w:tcPr>
            <w:tcW w:w="1530" w:type="dxa"/>
          </w:tcPr>
          <w:p w:rsidR="00C678AB" w:rsidRDefault="00C678AB" w:rsidP="00C678AB">
            <w:pPr>
              <w:pStyle w:val="TableHead"/>
            </w:pPr>
            <w:proofErr w:type="spellStart"/>
            <w:r>
              <w:t>Product_Key</w:t>
            </w:r>
            <w:proofErr w:type="spellEnd"/>
          </w:p>
        </w:tc>
        <w:tc>
          <w:tcPr>
            <w:tcW w:w="1530" w:type="dxa"/>
          </w:tcPr>
          <w:p w:rsidR="00C678AB" w:rsidRDefault="00C678AB" w:rsidP="00C678AB">
            <w:pPr>
              <w:pStyle w:val="TableHead"/>
            </w:pPr>
            <w:proofErr w:type="spellStart"/>
            <w:r>
              <w:t>Item_Count</w:t>
            </w:r>
            <w:proofErr w:type="spellEnd"/>
          </w:p>
        </w:tc>
        <w:tc>
          <w:tcPr>
            <w:tcW w:w="1666" w:type="dxa"/>
          </w:tcPr>
          <w:p w:rsidR="00C678AB" w:rsidRDefault="00C678AB" w:rsidP="00C678AB">
            <w:pPr>
              <w:pStyle w:val="TableHead"/>
            </w:pPr>
            <w:proofErr w:type="spellStart"/>
            <w:r>
              <w:t>Dollar_Amount</w:t>
            </w:r>
            <w:proofErr w:type="spellEnd"/>
          </w:p>
        </w:tc>
      </w:tr>
      <w:tr w:rsidR="00C678AB" w:rsidTr="00C678AB">
        <w:tc>
          <w:tcPr>
            <w:tcW w:w="1285" w:type="dxa"/>
          </w:tcPr>
          <w:p w:rsidR="00C678AB" w:rsidRDefault="00C678AB" w:rsidP="00C678AB">
            <w:pPr>
              <w:pStyle w:val="TableEntry"/>
            </w:pPr>
            <w:r>
              <w:t>1/7/2009</w:t>
            </w:r>
          </w:p>
        </w:tc>
        <w:tc>
          <w:tcPr>
            <w:tcW w:w="1644" w:type="dxa"/>
          </w:tcPr>
          <w:p w:rsidR="00C678AB" w:rsidRDefault="00C678AB" w:rsidP="00C678AB">
            <w:pPr>
              <w:pStyle w:val="TableEntry"/>
            </w:pPr>
            <w:r>
              <w:t>1552</w:t>
            </w:r>
          </w:p>
        </w:tc>
        <w:tc>
          <w:tcPr>
            <w:tcW w:w="1530" w:type="dxa"/>
          </w:tcPr>
          <w:p w:rsidR="00C678AB" w:rsidRDefault="00C678AB" w:rsidP="00C678AB">
            <w:pPr>
              <w:pStyle w:val="TableEntry"/>
            </w:pPr>
            <w:r>
              <w:t>95</w:t>
            </w:r>
          </w:p>
        </w:tc>
        <w:tc>
          <w:tcPr>
            <w:tcW w:w="1530" w:type="dxa"/>
          </w:tcPr>
          <w:p w:rsidR="00C678AB" w:rsidRDefault="00C678AB" w:rsidP="00C678AB">
            <w:pPr>
              <w:pStyle w:val="TableEntry"/>
            </w:pPr>
            <w:r>
              <w:t>1</w:t>
            </w:r>
          </w:p>
        </w:tc>
        <w:tc>
          <w:tcPr>
            <w:tcW w:w="1666" w:type="dxa"/>
          </w:tcPr>
          <w:p w:rsidR="00C678AB" w:rsidRDefault="00C678AB" w:rsidP="00C678AB">
            <w:pPr>
              <w:pStyle w:val="TableEntry"/>
              <w:jc w:val="right"/>
            </w:pPr>
            <w:r>
              <w:t>1,798.00</w:t>
            </w:r>
          </w:p>
        </w:tc>
      </w:tr>
      <w:tr w:rsidR="00C678AB" w:rsidTr="00C678AB">
        <w:tc>
          <w:tcPr>
            <w:tcW w:w="1285" w:type="dxa"/>
          </w:tcPr>
          <w:p w:rsidR="00C678AB" w:rsidRDefault="00C678AB" w:rsidP="00C678AB">
            <w:pPr>
              <w:pStyle w:val="TableEntry"/>
            </w:pPr>
            <w:r>
              <w:t>3/2/2009</w:t>
            </w:r>
          </w:p>
        </w:tc>
        <w:tc>
          <w:tcPr>
            <w:tcW w:w="1644" w:type="dxa"/>
          </w:tcPr>
          <w:p w:rsidR="00C678AB" w:rsidRDefault="00C678AB" w:rsidP="00C678AB">
            <w:pPr>
              <w:pStyle w:val="TableEntry"/>
            </w:pPr>
            <w:r>
              <w:t>1552</w:t>
            </w:r>
          </w:p>
        </w:tc>
        <w:tc>
          <w:tcPr>
            <w:tcW w:w="1530" w:type="dxa"/>
          </w:tcPr>
          <w:p w:rsidR="00C678AB" w:rsidRDefault="00C678AB" w:rsidP="00C678AB">
            <w:pPr>
              <w:pStyle w:val="TableEntry"/>
            </w:pPr>
            <w:r>
              <w:t>37</w:t>
            </w:r>
          </w:p>
        </w:tc>
        <w:tc>
          <w:tcPr>
            <w:tcW w:w="1530" w:type="dxa"/>
          </w:tcPr>
          <w:p w:rsidR="00C678AB" w:rsidRDefault="00C678AB" w:rsidP="00C678AB">
            <w:pPr>
              <w:pStyle w:val="TableEntry"/>
            </w:pPr>
            <w:r>
              <w:t>1</w:t>
            </w:r>
          </w:p>
        </w:tc>
        <w:tc>
          <w:tcPr>
            <w:tcW w:w="1666" w:type="dxa"/>
          </w:tcPr>
          <w:p w:rsidR="00C678AB" w:rsidRDefault="00C678AB" w:rsidP="00C678AB">
            <w:pPr>
              <w:pStyle w:val="TableEntry"/>
              <w:jc w:val="right"/>
            </w:pPr>
            <w:r>
              <w:t>27.95</w:t>
            </w:r>
          </w:p>
        </w:tc>
      </w:tr>
      <w:tr w:rsidR="00C678AB" w:rsidTr="00C678AB">
        <w:tc>
          <w:tcPr>
            <w:tcW w:w="1285" w:type="dxa"/>
          </w:tcPr>
          <w:p w:rsidR="00C678AB" w:rsidRDefault="00C678AB" w:rsidP="00C678AB">
            <w:pPr>
              <w:pStyle w:val="TableEntry"/>
            </w:pPr>
            <w:r>
              <w:t>5/7/2010</w:t>
            </w:r>
          </w:p>
        </w:tc>
        <w:tc>
          <w:tcPr>
            <w:tcW w:w="1644" w:type="dxa"/>
          </w:tcPr>
          <w:p w:rsidR="00C678AB" w:rsidRDefault="00C678AB" w:rsidP="00C678AB">
            <w:pPr>
              <w:pStyle w:val="TableEntry"/>
            </w:pPr>
            <w:r>
              <w:t>1552</w:t>
            </w:r>
          </w:p>
        </w:tc>
        <w:tc>
          <w:tcPr>
            <w:tcW w:w="1530" w:type="dxa"/>
          </w:tcPr>
          <w:p w:rsidR="00C678AB" w:rsidRDefault="00C678AB" w:rsidP="00C678AB">
            <w:pPr>
              <w:pStyle w:val="TableEntry"/>
            </w:pPr>
            <w:r>
              <w:t>87</w:t>
            </w:r>
          </w:p>
        </w:tc>
        <w:tc>
          <w:tcPr>
            <w:tcW w:w="1530" w:type="dxa"/>
          </w:tcPr>
          <w:p w:rsidR="00C678AB" w:rsidRDefault="00C678AB" w:rsidP="00C678AB">
            <w:pPr>
              <w:pStyle w:val="TableEntry"/>
            </w:pPr>
            <w:r>
              <w:t>2</w:t>
            </w:r>
          </w:p>
        </w:tc>
        <w:tc>
          <w:tcPr>
            <w:tcW w:w="1666" w:type="dxa"/>
          </w:tcPr>
          <w:p w:rsidR="00C678AB" w:rsidRDefault="00C678AB" w:rsidP="00C678AB">
            <w:pPr>
              <w:pStyle w:val="TableEntry"/>
              <w:jc w:val="right"/>
            </w:pPr>
            <w:r>
              <w:t>320.26</w:t>
            </w:r>
          </w:p>
        </w:tc>
      </w:tr>
      <w:tr w:rsidR="00C678AB" w:rsidTr="00C678AB">
        <w:tc>
          <w:tcPr>
            <w:tcW w:w="1285" w:type="dxa"/>
          </w:tcPr>
          <w:p w:rsidR="00C678AB" w:rsidRDefault="00C678AB" w:rsidP="00C678AB">
            <w:pPr>
              <w:pStyle w:val="TableEntry"/>
            </w:pPr>
            <w:r>
              <w:t>8/21/2010</w:t>
            </w:r>
          </w:p>
        </w:tc>
        <w:tc>
          <w:tcPr>
            <w:tcW w:w="1644" w:type="dxa"/>
          </w:tcPr>
          <w:p w:rsidR="00C678AB" w:rsidRDefault="00C678AB" w:rsidP="00C678AB">
            <w:pPr>
              <w:pStyle w:val="TableEntry"/>
            </w:pPr>
            <w:r>
              <w:t>1552</w:t>
            </w:r>
          </w:p>
        </w:tc>
        <w:tc>
          <w:tcPr>
            <w:tcW w:w="1530" w:type="dxa"/>
          </w:tcPr>
          <w:p w:rsidR="00C678AB" w:rsidRDefault="00C678AB" w:rsidP="00C678AB">
            <w:pPr>
              <w:pStyle w:val="TableEntry"/>
            </w:pPr>
            <w:r>
              <w:t>33</w:t>
            </w:r>
          </w:p>
        </w:tc>
        <w:tc>
          <w:tcPr>
            <w:tcW w:w="1530" w:type="dxa"/>
          </w:tcPr>
          <w:p w:rsidR="00C678AB" w:rsidRDefault="00C678AB" w:rsidP="00C678AB">
            <w:pPr>
              <w:pStyle w:val="TableEntry"/>
            </w:pPr>
            <w:r>
              <w:t>2</w:t>
            </w:r>
          </w:p>
        </w:tc>
        <w:tc>
          <w:tcPr>
            <w:tcW w:w="1666" w:type="dxa"/>
          </w:tcPr>
          <w:p w:rsidR="00C678AB" w:rsidRDefault="00C678AB" w:rsidP="00C678AB">
            <w:pPr>
              <w:pStyle w:val="TableEntry"/>
              <w:jc w:val="right"/>
            </w:pPr>
            <w:r>
              <w:t>129.99</w:t>
            </w:r>
          </w:p>
        </w:tc>
      </w:tr>
      <w:tr w:rsidR="00C678AB" w:rsidTr="00C678AB">
        <w:tc>
          <w:tcPr>
            <w:tcW w:w="1285" w:type="dxa"/>
          </w:tcPr>
          <w:p w:rsidR="00C678AB" w:rsidRDefault="00C678AB" w:rsidP="00C678AB">
            <w:pPr>
              <w:pStyle w:val="TableEntry"/>
            </w:pPr>
            <w:r>
              <w:t>2/21/2011</w:t>
            </w:r>
          </w:p>
        </w:tc>
        <w:tc>
          <w:tcPr>
            <w:tcW w:w="1644" w:type="dxa"/>
          </w:tcPr>
          <w:p w:rsidR="00C678AB" w:rsidRDefault="00C678AB" w:rsidP="00C678AB">
            <w:pPr>
              <w:pStyle w:val="TableEntry"/>
            </w:pPr>
            <w:r>
              <w:t>1552</w:t>
            </w:r>
          </w:p>
        </w:tc>
        <w:tc>
          <w:tcPr>
            <w:tcW w:w="1530" w:type="dxa"/>
          </w:tcPr>
          <w:p w:rsidR="00C678AB" w:rsidRDefault="00C678AB" w:rsidP="00C678AB">
            <w:pPr>
              <w:pStyle w:val="TableEntry"/>
            </w:pPr>
            <w:r>
              <w:t>42</w:t>
            </w:r>
          </w:p>
        </w:tc>
        <w:tc>
          <w:tcPr>
            <w:tcW w:w="1530" w:type="dxa"/>
          </w:tcPr>
          <w:p w:rsidR="00C678AB" w:rsidRDefault="00C678AB" w:rsidP="00C678AB">
            <w:pPr>
              <w:pStyle w:val="TableEntry"/>
            </w:pPr>
            <w:r>
              <w:t>1</w:t>
            </w:r>
          </w:p>
        </w:tc>
        <w:tc>
          <w:tcPr>
            <w:tcW w:w="1666" w:type="dxa"/>
          </w:tcPr>
          <w:p w:rsidR="00C678AB" w:rsidRDefault="00C678AB" w:rsidP="00C678AB">
            <w:pPr>
              <w:pStyle w:val="TableEntry"/>
              <w:jc w:val="right"/>
            </w:pPr>
            <w:r>
              <w:t>19.95</w:t>
            </w:r>
          </w:p>
        </w:tc>
      </w:tr>
    </w:tbl>
    <w:p w:rsidR="00483E64" w:rsidRDefault="00483E64" w:rsidP="00483E64">
      <w:pPr>
        <w:pStyle w:val="H3"/>
      </w:pPr>
      <w:r>
        <w:t>Overwriting Values: The Type 1 Change</w:t>
      </w:r>
    </w:p>
    <w:p w:rsidR="00483E64" w:rsidRDefault="00483E64" w:rsidP="00483E64">
      <w:pPr>
        <w:pStyle w:val="Para"/>
      </w:pPr>
      <w:r>
        <w:t xml:space="preserve">A few additional details help demonstrate the importance of appropriately handling attribute changes. To the untrained eye, attributes such as commute distance and homeowner flag might not seem important to the business, so you might treat them as Type 1 attributes and overwrite the existing values when changes occur. As it turns out, Jane took advantage of low mortgage interest rates and moved into a new home on January 2, </w:t>
      </w:r>
      <w:r w:rsidR="00C678AB">
        <w:t>2011</w:t>
      </w:r>
      <w:r>
        <w:t xml:space="preserve">, changing her commute distance </w:t>
      </w:r>
      <w:r w:rsidR="00177EE1">
        <w:t xml:space="preserve">from 3 miles </w:t>
      </w:r>
      <w:r>
        <w:t>to 31 miles. If you do a Type 1 overwrite, Jane’s commute distance value in Table 2.1 will change to 31, and her homeowner flag will change to Yes.</w:t>
      </w:r>
    </w:p>
    <w:p w:rsidR="00483E64" w:rsidRDefault="00483E64" w:rsidP="00483E64">
      <w:pPr>
        <w:pStyle w:val="Para"/>
      </w:pPr>
      <w:r>
        <w:t xml:space="preserve">The timing of the attribute change events is important to understanding their impact on the analysis. If the marketing analyst decided to investigate the relationship between commute distance and orders on March 1, </w:t>
      </w:r>
      <w:r w:rsidR="00C678AB">
        <w:t>2011</w:t>
      </w:r>
      <w:r>
        <w:t>, after the overwrite took place, all of Jane Rider’s orders would be counted as occurring with a commute distance of 31 miles. By overwriting commute distance when a change occurs, you’re no longer tracking the actual commute distance that was in effect at the time the order was placed. Instead, you’re assigning all historical orders to the current attribute value. This means that any time your analysts try to do historical correlation analysis, they risk drawing incorrect conclusions.</w:t>
      </w:r>
    </w:p>
    <w:p w:rsidR="00483E64" w:rsidRDefault="00483E64" w:rsidP="00483E64">
      <w:pPr>
        <w:pStyle w:val="Para"/>
      </w:pPr>
      <w:r>
        <w:t xml:space="preserve">Does this matter? Only the business users can say. If there aren’t a significant number of rows that change, or if the attribute is not considered relevant, it probably doesn’t matter if you overwrite the old value when a change occurs. However, you must be extremely careful in making this decision—it requires detailed exploration of the potential impact with knowledgeable business folks. </w:t>
      </w:r>
    </w:p>
    <w:p w:rsidR="00483E64" w:rsidRDefault="00483E64" w:rsidP="00483E64">
      <w:pPr>
        <w:pStyle w:val="Para"/>
      </w:pPr>
      <w:r>
        <w:lastRenderedPageBreak/>
        <w:t>The short answer is it usually does matter. In the example case, the analyst may find a significant correlation between long commute distances and larger orders. This finding might then be used to design a marketing campaign targeted at people with long commute distances; a campaign that will likely be ineffective. In this case, the errors introduced by the Type 1 overwrite mainly costs money and time. In some cases, as in health care, overwriting attribute values might cost even more.</w:t>
      </w:r>
    </w:p>
    <w:p w:rsidR="00483E64" w:rsidRDefault="00483E64" w:rsidP="00483E64">
      <w:pPr>
        <w:pStyle w:val="H3"/>
      </w:pPr>
      <w:r>
        <w:t>Tracking Historical Values—the Type 2 Change</w:t>
      </w:r>
    </w:p>
    <w:p w:rsidR="00483E64" w:rsidRDefault="00483E64" w:rsidP="00483E64">
      <w:pPr>
        <w:pStyle w:val="Para"/>
      </w:pPr>
      <w:r>
        <w:t xml:space="preserve">Let’s see how the same example data looks if you tracked the changes using the Type 2 approach. This will affect both the fact and dimension tables. Let’s consider the dimension table first: When Jane Rider moves on January 2, </w:t>
      </w:r>
      <w:r w:rsidR="00C678AB">
        <w:t>2011</w:t>
      </w:r>
      <w:r>
        <w:t>, add a new row to the customer dimension, with a new surrogate key, as shown in Table 2.3.</w:t>
      </w:r>
    </w:p>
    <w:p w:rsidR="00483E64" w:rsidRDefault="00483E64" w:rsidP="00483E64">
      <w:pPr>
        <w:pStyle w:val="TableCaption"/>
      </w:pPr>
      <w:r>
        <w:t xml:space="preserve">Table 2.3: Example Customer Dimension Table Row as of Jan 2, </w:t>
      </w:r>
      <w:r w:rsidR="00C678AB">
        <w:t>2011</w:t>
      </w:r>
      <w:r w:rsidR="00177EE1">
        <w:t xml:space="preserve"> with </w:t>
      </w:r>
      <w:r>
        <w:t>Type 2 Change</w:t>
      </w:r>
      <w:r w:rsidR="00177EE1">
        <w:t xml:space="preserve"> Tracking</w:t>
      </w:r>
    </w:p>
    <w:tbl>
      <w:tblPr>
        <w:tblW w:w="9828" w:type="dxa"/>
        <w:tblLayout w:type="fixed"/>
        <w:tblLook w:val="0000"/>
      </w:tblPr>
      <w:tblGrid>
        <w:gridCol w:w="1251"/>
        <w:gridCol w:w="1197"/>
        <w:gridCol w:w="1381"/>
        <w:gridCol w:w="1409"/>
        <w:gridCol w:w="990"/>
        <w:gridCol w:w="1080"/>
        <w:gridCol w:w="1170"/>
        <w:gridCol w:w="1350"/>
      </w:tblGrid>
      <w:tr w:rsidR="00177EE1" w:rsidTr="00177EE1">
        <w:tc>
          <w:tcPr>
            <w:tcW w:w="1251" w:type="dxa"/>
            <w:vAlign w:val="bottom"/>
          </w:tcPr>
          <w:p w:rsidR="00483E64" w:rsidRDefault="00177EE1" w:rsidP="00177EE1">
            <w:pPr>
              <w:pStyle w:val="TableHead"/>
            </w:pPr>
            <w:proofErr w:type="spellStart"/>
            <w:r>
              <w:t>Customer_Key</w:t>
            </w:r>
            <w:proofErr w:type="spellEnd"/>
          </w:p>
        </w:tc>
        <w:tc>
          <w:tcPr>
            <w:tcW w:w="1197" w:type="dxa"/>
            <w:vAlign w:val="bottom"/>
          </w:tcPr>
          <w:p w:rsidR="00483E64" w:rsidRDefault="00177EE1" w:rsidP="00177EE1">
            <w:pPr>
              <w:pStyle w:val="TableHead"/>
            </w:pPr>
            <w:proofErr w:type="spellStart"/>
            <w:r>
              <w:t>BKCustomer_Id</w:t>
            </w:r>
            <w:proofErr w:type="spellEnd"/>
          </w:p>
        </w:tc>
        <w:tc>
          <w:tcPr>
            <w:tcW w:w="1381" w:type="dxa"/>
            <w:vAlign w:val="bottom"/>
          </w:tcPr>
          <w:p w:rsidR="00483E64" w:rsidRDefault="00177EE1" w:rsidP="00177EE1">
            <w:pPr>
              <w:pStyle w:val="TableHead"/>
            </w:pPr>
            <w:proofErr w:type="spellStart"/>
            <w:r>
              <w:t>Customer_Name</w:t>
            </w:r>
            <w:proofErr w:type="spellEnd"/>
          </w:p>
        </w:tc>
        <w:tc>
          <w:tcPr>
            <w:tcW w:w="1409" w:type="dxa"/>
            <w:vAlign w:val="bottom"/>
          </w:tcPr>
          <w:p w:rsidR="00483E64" w:rsidRDefault="00177EE1" w:rsidP="00177EE1">
            <w:pPr>
              <w:pStyle w:val="TableHead"/>
            </w:pPr>
            <w:proofErr w:type="spellStart"/>
            <w:r>
              <w:t>Commute_Distance</w:t>
            </w:r>
            <w:proofErr w:type="spellEnd"/>
          </w:p>
        </w:tc>
        <w:tc>
          <w:tcPr>
            <w:tcW w:w="990" w:type="dxa"/>
            <w:vAlign w:val="bottom"/>
          </w:tcPr>
          <w:p w:rsidR="00483E64" w:rsidRDefault="00177EE1" w:rsidP="00177EE1">
            <w:pPr>
              <w:pStyle w:val="TableHead"/>
            </w:pPr>
            <w:r>
              <w:t>Gender</w:t>
            </w:r>
          </w:p>
        </w:tc>
        <w:tc>
          <w:tcPr>
            <w:tcW w:w="1080" w:type="dxa"/>
            <w:vAlign w:val="bottom"/>
          </w:tcPr>
          <w:p w:rsidR="00483E64" w:rsidRDefault="00177EE1" w:rsidP="00177EE1">
            <w:pPr>
              <w:pStyle w:val="TableHead"/>
            </w:pPr>
            <w:proofErr w:type="spellStart"/>
            <w:r>
              <w:t>Home_Owner_Flag</w:t>
            </w:r>
            <w:proofErr w:type="spellEnd"/>
          </w:p>
        </w:tc>
        <w:tc>
          <w:tcPr>
            <w:tcW w:w="1170" w:type="dxa"/>
            <w:vAlign w:val="bottom"/>
          </w:tcPr>
          <w:p w:rsidR="00483E64" w:rsidRDefault="00177EE1" w:rsidP="00177EE1">
            <w:pPr>
              <w:pStyle w:val="TableHead"/>
            </w:pPr>
            <w:proofErr w:type="spellStart"/>
            <w:r>
              <w:t>Eff_Date</w:t>
            </w:r>
            <w:proofErr w:type="spellEnd"/>
          </w:p>
        </w:tc>
        <w:tc>
          <w:tcPr>
            <w:tcW w:w="1350" w:type="dxa"/>
            <w:vAlign w:val="bottom"/>
          </w:tcPr>
          <w:p w:rsidR="00483E64" w:rsidRDefault="00177EE1" w:rsidP="00177EE1">
            <w:pPr>
              <w:pStyle w:val="TableHead"/>
            </w:pPr>
            <w:proofErr w:type="spellStart"/>
            <w:r>
              <w:t>End_Date</w:t>
            </w:r>
            <w:proofErr w:type="spellEnd"/>
          </w:p>
        </w:tc>
      </w:tr>
      <w:tr w:rsidR="00177EE1" w:rsidTr="00177EE1">
        <w:tc>
          <w:tcPr>
            <w:tcW w:w="1251" w:type="dxa"/>
          </w:tcPr>
          <w:p w:rsidR="00483E64" w:rsidRDefault="00483E64" w:rsidP="00C678AB">
            <w:pPr>
              <w:pStyle w:val="TableEntry"/>
            </w:pPr>
            <w:r>
              <w:t>1552</w:t>
            </w:r>
          </w:p>
        </w:tc>
        <w:tc>
          <w:tcPr>
            <w:tcW w:w="1197" w:type="dxa"/>
          </w:tcPr>
          <w:p w:rsidR="00483E64" w:rsidRDefault="00483E64" w:rsidP="00C678AB">
            <w:pPr>
              <w:pStyle w:val="TableEntry"/>
            </w:pPr>
            <w:r>
              <w:t>31421</w:t>
            </w:r>
          </w:p>
        </w:tc>
        <w:tc>
          <w:tcPr>
            <w:tcW w:w="1381" w:type="dxa"/>
          </w:tcPr>
          <w:p w:rsidR="00483E64" w:rsidRDefault="00483E64" w:rsidP="00C678AB">
            <w:pPr>
              <w:pStyle w:val="TableEntry"/>
            </w:pPr>
            <w:r>
              <w:t>Jane Rider</w:t>
            </w:r>
          </w:p>
        </w:tc>
        <w:tc>
          <w:tcPr>
            <w:tcW w:w="1409" w:type="dxa"/>
          </w:tcPr>
          <w:p w:rsidR="00483E64" w:rsidRDefault="00483E64" w:rsidP="00C678AB">
            <w:pPr>
              <w:pStyle w:val="TableEntry"/>
            </w:pPr>
            <w:r>
              <w:t>3</w:t>
            </w:r>
          </w:p>
        </w:tc>
        <w:tc>
          <w:tcPr>
            <w:tcW w:w="990" w:type="dxa"/>
          </w:tcPr>
          <w:p w:rsidR="00483E64" w:rsidRDefault="00483E64" w:rsidP="00C678AB">
            <w:pPr>
              <w:pStyle w:val="TableEntry"/>
            </w:pPr>
            <w:r>
              <w:t>Female</w:t>
            </w:r>
          </w:p>
        </w:tc>
        <w:tc>
          <w:tcPr>
            <w:tcW w:w="1080" w:type="dxa"/>
          </w:tcPr>
          <w:p w:rsidR="00483E64" w:rsidRDefault="00483E64" w:rsidP="00C678AB">
            <w:pPr>
              <w:pStyle w:val="TableEntry"/>
            </w:pPr>
            <w:r>
              <w:t>No</w:t>
            </w:r>
          </w:p>
        </w:tc>
        <w:tc>
          <w:tcPr>
            <w:tcW w:w="1170" w:type="dxa"/>
          </w:tcPr>
          <w:p w:rsidR="00483E64" w:rsidRDefault="00483E64" w:rsidP="00C678AB">
            <w:pPr>
              <w:pStyle w:val="TableEntry"/>
            </w:pPr>
            <w:r>
              <w:t>1/7/</w:t>
            </w:r>
            <w:r w:rsidR="00C678AB">
              <w:t>2009</w:t>
            </w:r>
          </w:p>
        </w:tc>
        <w:tc>
          <w:tcPr>
            <w:tcW w:w="1350" w:type="dxa"/>
          </w:tcPr>
          <w:p w:rsidR="00483E64" w:rsidRDefault="00483E64" w:rsidP="00C678AB">
            <w:pPr>
              <w:pStyle w:val="TableEntry"/>
            </w:pPr>
            <w:r>
              <w:t>1/1/</w:t>
            </w:r>
            <w:r w:rsidR="00C678AB">
              <w:t>2011</w:t>
            </w:r>
          </w:p>
        </w:tc>
      </w:tr>
      <w:tr w:rsidR="00177EE1" w:rsidTr="00177EE1">
        <w:tc>
          <w:tcPr>
            <w:tcW w:w="1251" w:type="dxa"/>
          </w:tcPr>
          <w:p w:rsidR="00483E64" w:rsidRDefault="00483E64" w:rsidP="00C678AB">
            <w:pPr>
              <w:pStyle w:val="TableEntry"/>
            </w:pPr>
            <w:r>
              <w:t>2387</w:t>
            </w:r>
          </w:p>
        </w:tc>
        <w:tc>
          <w:tcPr>
            <w:tcW w:w="1197" w:type="dxa"/>
          </w:tcPr>
          <w:p w:rsidR="00483E64" w:rsidRDefault="00483E64" w:rsidP="00C678AB">
            <w:pPr>
              <w:pStyle w:val="TableEntry"/>
            </w:pPr>
            <w:r>
              <w:t>31421</w:t>
            </w:r>
          </w:p>
        </w:tc>
        <w:tc>
          <w:tcPr>
            <w:tcW w:w="1381" w:type="dxa"/>
          </w:tcPr>
          <w:p w:rsidR="00483E64" w:rsidRDefault="00483E64" w:rsidP="00C678AB">
            <w:pPr>
              <w:pStyle w:val="TableEntry"/>
            </w:pPr>
            <w:r>
              <w:t>Jane Rider</w:t>
            </w:r>
          </w:p>
        </w:tc>
        <w:tc>
          <w:tcPr>
            <w:tcW w:w="1409" w:type="dxa"/>
          </w:tcPr>
          <w:p w:rsidR="00483E64" w:rsidRDefault="00483E64" w:rsidP="00C678AB">
            <w:pPr>
              <w:pStyle w:val="TableEntry"/>
            </w:pPr>
            <w:r>
              <w:t>31</w:t>
            </w:r>
          </w:p>
        </w:tc>
        <w:tc>
          <w:tcPr>
            <w:tcW w:w="990" w:type="dxa"/>
          </w:tcPr>
          <w:p w:rsidR="00483E64" w:rsidRDefault="00483E64" w:rsidP="00C678AB">
            <w:pPr>
              <w:pStyle w:val="TableEntry"/>
            </w:pPr>
            <w:r>
              <w:t>Female</w:t>
            </w:r>
          </w:p>
        </w:tc>
        <w:tc>
          <w:tcPr>
            <w:tcW w:w="1080" w:type="dxa"/>
          </w:tcPr>
          <w:p w:rsidR="00483E64" w:rsidRDefault="00483E64" w:rsidP="00C678AB">
            <w:pPr>
              <w:pStyle w:val="TableEntry"/>
            </w:pPr>
            <w:r>
              <w:t>Yes</w:t>
            </w:r>
          </w:p>
        </w:tc>
        <w:tc>
          <w:tcPr>
            <w:tcW w:w="1170" w:type="dxa"/>
          </w:tcPr>
          <w:p w:rsidR="00483E64" w:rsidRDefault="00483E64" w:rsidP="00C678AB">
            <w:pPr>
              <w:pStyle w:val="TableEntry"/>
            </w:pPr>
            <w:r>
              <w:t>1/2/</w:t>
            </w:r>
            <w:r w:rsidR="00C678AB">
              <w:t>2011</w:t>
            </w:r>
          </w:p>
        </w:tc>
        <w:tc>
          <w:tcPr>
            <w:tcW w:w="1350" w:type="dxa"/>
          </w:tcPr>
          <w:p w:rsidR="00483E64" w:rsidRDefault="00483E64" w:rsidP="00C678AB">
            <w:pPr>
              <w:pStyle w:val="TableEntry"/>
            </w:pPr>
            <w:r>
              <w:t>12/31/9999</w:t>
            </w:r>
          </w:p>
        </w:tc>
      </w:tr>
    </w:tbl>
    <w:p w:rsidR="00177EE1" w:rsidRDefault="00177EE1" w:rsidP="00483E64">
      <w:pPr>
        <w:pStyle w:val="Para"/>
      </w:pPr>
    </w:p>
    <w:p w:rsidR="00483E64" w:rsidRDefault="00483E64" w:rsidP="00483E64">
      <w:pPr>
        <w:pStyle w:val="Para"/>
      </w:pPr>
      <w:r>
        <w:t xml:space="preserve">The customer dimension table has been augmented to help manage the Type 2 process. Two columns have been added to indicate the effective date and end date of each row. This is how you can tell exactly which row was in effect at any given time. </w:t>
      </w:r>
    </w:p>
    <w:p w:rsidR="00483E64" w:rsidRDefault="00483E64" w:rsidP="00483E64">
      <w:pPr>
        <w:pStyle w:val="Para"/>
      </w:pPr>
      <w:r>
        <w:t xml:space="preserve">As Table 2.4 shows, the fact table has to change as well because it has a row that occurred after the Type 2 change occurred. The last row of the fact table needs to join to the row in the dimension that was in effect when the order occurred on February 21, </w:t>
      </w:r>
      <w:r w:rsidR="00C678AB">
        <w:t>2011</w:t>
      </w:r>
      <w:r>
        <w:t>. This</w:t>
      </w:r>
      <w:r w:rsidR="00177EE1">
        <w:t xml:space="preserve"> is the new dimension row with </w:t>
      </w:r>
      <w:proofErr w:type="spellStart"/>
      <w:r w:rsidR="00177EE1">
        <w:t>Customer_K</w:t>
      </w:r>
      <w:r>
        <w:t>ey</w:t>
      </w:r>
      <w:proofErr w:type="spellEnd"/>
      <w:r>
        <w:t xml:space="preserve"> = 2387.</w:t>
      </w:r>
    </w:p>
    <w:p w:rsidR="00177EE1" w:rsidRDefault="00177EE1" w:rsidP="00177EE1">
      <w:pPr>
        <w:pStyle w:val="TableCaption"/>
      </w:pPr>
      <w:r>
        <w:t>Table 2.4: Updated Order Fact Table Rows for Jane Rider as of Feb 22, 2011</w:t>
      </w:r>
    </w:p>
    <w:tbl>
      <w:tblPr>
        <w:tblW w:w="7655" w:type="dxa"/>
        <w:tblInd w:w="720" w:type="dxa"/>
        <w:tblLook w:val="0000"/>
      </w:tblPr>
      <w:tblGrid>
        <w:gridCol w:w="1195"/>
        <w:gridCol w:w="1769"/>
        <w:gridCol w:w="1574"/>
        <w:gridCol w:w="1573"/>
        <w:gridCol w:w="1793"/>
      </w:tblGrid>
      <w:tr w:rsidR="00177EE1" w:rsidTr="000B3C1F">
        <w:tc>
          <w:tcPr>
            <w:tcW w:w="1285" w:type="dxa"/>
          </w:tcPr>
          <w:p w:rsidR="00177EE1" w:rsidRDefault="00177EE1" w:rsidP="000B3C1F">
            <w:pPr>
              <w:pStyle w:val="TableHead"/>
            </w:pPr>
            <w:r>
              <w:t>Date</w:t>
            </w:r>
          </w:p>
        </w:tc>
        <w:tc>
          <w:tcPr>
            <w:tcW w:w="1644" w:type="dxa"/>
          </w:tcPr>
          <w:p w:rsidR="00177EE1" w:rsidRDefault="00177EE1" w:rsidP="000B3C1F">
            <w:pPr>
              <w:pStyle w:val="TableHead"/>
            </w:pPr>
            <w:proofErr w:type="spellStart"/>
            <w:r>
              <w:t>Customer_Key</w:t>
            </w:r>
            <w:proofErr w:type="spellEnd"/>
          </w:p>
        </w:tc>
        <w:tc>
          <w:tcPr>
            <w:tcW w:w="1530" w:type="dxa"/>
          </w:tcPr>
          <w:p w:rsidR="00177EE1" w:rsidRDefault="00177EE1" w:rsidP="000B3C1F">
            <w:pPr>
              <w:pStyle w:val="TableHead"/>
            </w:pPr>
            <w:proofErr w:type="spellStart"/>
            <w:r>
              <w:t>Product_Key</w:t>
            </w:r>
            <w:proofErr w:type="spellEnd"/>
          </w:p>
        </w:tc>
        <w:tc>
          <w:tcPr>
            <w:tcW w:w="1530" w:type="dxa"/>
          </w:tcPr>
          <w:p w:rsidR="00177EE1" w:rsidRDefault="00177EE1" w:rsidP="000B3C1F">
            <w:pPr>
              <w:pStyle w:val="TableHead"/>
            </w:pPr>
            <w:proofErr w:type="spellStart"/>
            <w:r>
              <w:t>Item_COUNT</w:t>
            </w:r>
            <w:proofErr w:type="spellEnd"/>
          </w:p>
        </w:tc>
        <w:tc>
          <w:tcPr>
            <w:tcW w:w="1666" w:type="dxa"/>
          </w:tcPr>
          <w:p w:rsidR="00177EE1" w:rsidRDefault="00177EE1" w:rsidP="00177EE1">
            <w:pPr>
              <w:pStyle w:val="TableHead"/>
              <w:jc w:val="right"/>
            </w:pPr>
            <w:proofErr w:type="spellStart"/>
            <w:r>
              <w:t>Dollar_Amount</w:t>
            </w:r>
            <w:proofErr w:type="spellEnd"/>
          </w:p>
        </w:tc>
      </w:tr>
      <w:tr w:rsidR="00177EE1" w:rsidTr="000B3C1F">
        <w:tc>
          <w:tcPr>
            <w:tcW w:w="1285" w:type="dxa"/>
          </w:tcPr>
          <w:p w:rsidR="00177EE1" w:rsidRDefault="00177EE1" w:rsidP="000B3C1F">
            <w:pPr>
              <w:pStyle w:val="TableEntry"/>
            </w:pPr>
            <w:r>
              <w:t>1/7/2009</w:t>
            </w:r>
          </w:p>
        </w:tc>
        <w:tc>
          <w:tcPr>
            <w:tcW w:w="1644" w:type="dxa"/>
          </w:tcPr>
          <w:p w:rsidR="00177EE1" w:rsidRDefault="00177EE1" w:rsidP="000B3C1F">
            <w:pPr>
              <w:pStyle w:val="TableEntry"/>
            </w:pPr>
            <w:r>
              <w:t>1552</w:t>
            </w:r>
          </w:p>
        </w:tc>
        <w:tc>
          <w:tcPr>
            <w:tcW w:w="1530" w:type="dxa"/>
          </w:tcPr>
          <w:p w:rsidR="00177EE1" w:rsidRDefault="00177EE1" w:rsidP="000B3C1F">
            <w:pPr>
              <w:pStyle w:val="TableEntry"/>
            </w:pPr>
            <w:r>
              <w:t>95</w:t>
            </w:r>
          </w:p>
        </w:tc>
        <w:tc>
          <w:tcPr>
            <w:tcW w:w="1530" w:type="dxa"/>
          </w:tcPr>
          <w:p w:rsidR="00177EE1" w:rsidRDefault="00177EE1" w:rsidP="000B3C1F">
            <w:pPr>
              <w:pStyle w:val="TableEntry"/>
            </w:pPr>
            <w:r>
              <w:t>1</w:t>
            </w:r>
          </w:p>
        </w:tc>
        <w:tc>
          <w:tcPr>
            <w:tcW w:w="1666" w:type="dxa"/>
          </w:tcPr>
          <w:p w:rsidR="00177EE1" w:rsidRDefault="00177EE1" w:rsidP="00177EE1">
            <w:pPr>
              <w:pStyle w:val="TableEntry"/>
              <w:jc w:val="right"/>
            </w:pPr>
            <w:r>
              <w:t>1,798.00</w:t>
            </w:r>
          </w:p>
        </w:tc>
      </w:tr>
      <w:tr w:rsidR="00177EE1" w:rsidTr="000B3C1F">
        <w:tc>
          <w:tcPr>
            <w:tcW w:w="1285" w:type="dxa"/>
          </w:tcPr>
          <w:p w:rsidR="00177EE1" w:rsidRDefault="00177EE1" w:rsidP="000B3C1F">
            <w:pPr>
              <w:pStyle w:val="TableEntry"/>
            </w:pPr>
            <w:r>
              <w:t>3/2/2009</w:t>
            </w:r>
          </w:p>
        </w:tc>
        <w:tc>
          <w:tcPr>
            <w:tcW w:w="1644" w:type="dxa"/>
          </w:tcPr>
          <w:p w:rsidR="00177EE1" w:rsidRDefault="00177EE1" w:rsidP="000B3C1F">
            <w:pPr>
              <w:pStyle w:val="TableEntry"/>
            </w:pPr>
            <w:r>
              <w:t>1552</w:t>
            </w:r>
          </w:p>
        </w:tc>
        <w:tc>
          <w:tcPr>
            <w:tcW w:w="1530" w:type="dxa"/>
          </w:tcPr>
          <w:p w:rsidR="00177EE1" w:rsidRDefault="00177EE1" w:rsidP="000B3C1F">
            <w:pPr>
              <w:pStyle w:val="TableEntry"/>
            </w:pPr>
            <w:r>
              <w:t>37</w:t>
            </w:r>
          </w:p>
        </w:tc>
        <w:tc>
          <w:tcPr>
            <w:tcW w:w="1530" w:type="dxa"/>
          </w:tcPr>
          <w:p w:rsidR="00177EE1" w:rsidRDefault="00177EE1" w:rsidP="000B3C1F">
            <w:pPr>
              <w:pStyle w:val="TableEntry"/>
            </w:pPr>
            <w:r>
              <w:t>1</w:t>
            </w:r>
          </w:p>
        </w:tc>
        <w:tc>
          <w:tcPr>
            <w:tcW w:w="1666" w:type="dxa"/>
          </w:tcPr>
          <w:p w:rsidR="00177EE1" w:rsidRDefault="00177EE1" w:rsidP="00177EE1">
            <w:pPr>
              <w:pStyle w:val="TableEntry"/>
              <w:jc w:val="right"/>
            </w:pPr>
            <w:r>
              <w:t>27.95</w:t>
            </w:r>
          </w:p>
        </w:tc>
      </w:tr>
      <w:tr w:rsidR="00177EE1" w:rsidTr="000B3C1F">
        <w:tc>
          <w:tcPr>
            <w:tcW w:w="1285" w:type="dxa"/>
          </w:tcPr>
          <w:p w:rsidR="00177EE1" w:rsidRDefault="00177EE1" w:rsidP="000B3C1F">
            <w:pPr>
              <w:pStyle w:val="TableEntry"/>
            </w:pPr>
            <w:r>
              <w:t>5/7/2010</w:t>
            </w:r>
          </w:p>
        </w:tc>
        <w:tc>
          <w:tcPr>
            <w:tcW w:w="1644" w:type="dxa"/>
          </w:tcPr>
          <w:p w:rsidR="00177EE1" w:rsidRDefault="00177EE1" w:rsidP="000B3C1F">
            <w:pPr>
              <w:pStyle w:val="TableEntry"/>
            </w:pPr>
            <w:r>
              <w:t>1552</w:t>
            </w:r>
          </w:p>
        </w:tc>
        <w:tc>
          <w:tcPr>
            <w:tcW w:w="1530" w:type="dxa"/>
          </w:tcPr>
          <w:p w:rsidR="00177EE1" w:rsidRDefault="00177EE1" w:rsidP="000B3C1F">
            <w:pPr>
              <w:pStyle w:val="TableEntry"/>
            </w:pPr>
            <w:r>
              <w:t>87</w:t>
            </w:r>
          </w:p>
        </w:tc>
        <w:tc>
          <w:tcPr>
            <w:tcW w:w="1530" w:type="dxa"/>
          </w:tcPr>
          <w:p w:rsidR="00177EE1" w:rsidRDefault="00177EE1" w:rsidP="000B3C1F">
            <w:pPr>
              <w:pStyle w:val="TableEntry"/>
            </w:pPr>
            <w:r>
              <w:t>2</w:t>
            </w:r>
          </w:p>
        </w:tc>
        <w:tc>
          <w:tcPr>
            <w:tcW w:w="1666" w:type="dxa"/>
          </w:tcPr>
          <w:p w:rsidR="00177EE1" w:rsidRDefault="00177EE1" w:rsidP="00177EE1">
            <w:pPr>
              <w:pStyle w:val="TableEntry"/>
              <w:jc w:val="right"/>
            </w:pPr>
            <w:r>
              <w:t>320.26</w:t>
            </w:r>
          </w:p>
        </w:tc>
      </w:tr>
      <w:tr w:rsidR="00177EE1" w:rsidTr="000B3C1F">
        <w:tc>
          <w:tcPr>
            <w:tcW w:w="1285" w:type="dxa"/>
          </w:tcPr>
          <w:p w:rsidR="00177EE1" w:rsidRDefault="00177EE1" w:rsidP="000B3C1F">
            <w:pPr>
              <w:pStyle w:val="TableEntry"/>
            </w:pPr>
            <w:r>
              <w:t>8/21/2010</w:t>
            </w:r>
          </w:p>
        </w:tc>
        <w:tc>
          <w:tcPr>
            <w:tcW w:w="1644" w:type="dxa"/>
          </w:tcPr>
          <w:p w:rsidR="00177EE1" w:rsidRDefault="00177EE1" w:rsidP="000B3C1F">
            <w:pPr>
              <w:pStyle w:val="TableEntry"/>
            </w:pPr>
            <w:r>
              <w:t>1552</w:t>
            </w:r>
          </w:p>
        </w:tc>
        <w:tc>
          <w:tcPr>
            <w:tcW w:w="1530" w:type="dxa"/>
          </w:tcPr>
          <w:p w:rsidR="00177EE1" w:rsidRDefault="00177EE1" w:rsidP="000B3C1F">
            <w:pPr>
              <w:pStyle w:val="TableEntry"/>
            </w:pPr>
            <w:r>
              <w:t>33</w:t>
            </w:r>
          </w:p>
        </w:tc>
        <w:tc>
          <w:tcPr>
            <w:tcW w:w="1530" w:type="dxa"/>
          </w:tcPr>
          <w:p w:rsidR="00177EE1" w:rsidRDefault="00177EE1" w:rsidP="000B3C1F">
            <w:pPr>
              <w:pStyle w:val="TableEntry"/>
            </w:pPr>
            <w:r>
              <w:t>2</w:t>
            </w:r>
          </w:p>
        </w:tc>
        <w:tc>
          <w:tcPr>
            <w:tcW w:w="1666" w:type="dxa"/>
          </w:tcPr>
          <w:p w:rsidR="00177EE1" w:rsidRDefault="00177EE1" w:rsidP="00177EE1">
            <w:pPr>
              <w:pStyle w:val="TableEntry"/>
              <w:jc w:val="right"/>
            </w:pPr>
            <w:r>
              <w:t>129.99</w:t>
            </w:r>
          </w:p>
        </w:tc>
      </w:tr>
      <w:tr w:rsidR="00177EE1" w:rsidTr="000B3C1F">
        <w:tc>
          <w:tcPr>
            <w:tcW w:w="1285" w:type="dxa"/>
          </w:tcPr>
          <w:p w:rsidR="00177EE1" w:rsidRDefault="00177EE1" w:rsidP="000B3C1F">
            <w:pPr>
              <w:pStyle w:val="TableEntry"/>
            </w:pPr>
            <w:r>
              <w:t>2/21/2011</w:t>
            </w:r>
          </w:p>
        </w:tc>
        <w:tc>
          <w:tcPr>
            <w:tcW w:w="1644" w:type="dxa"/>
          </w:tcPr>
          <w:p w:rsidR="00177EE1" w:rsidRDefault="00177EE1" w:rsidP="000B3C1F">
            <w:pPr>
              <w:pStyle w:val="TableEntry"/>
            </w:pPr>
            <w:r>
              <w:t>2387</w:t>
            </w:r>
          </w:p>
        </w:tc>
        <w:tc>
          <w:tcPr>
            <w:tcW w:w="1530" w:type="dxa"/>
          </w:tcPr>
          <w:p w:rsidR="00177EE1" w:rsidRDefault="00177EE1" w:rsidP="000B3C1F">
            <w:pPr>
              <w:pStyle w:val="TableEntry"/>
            </w:pPr>
            <w:r>
              <w:t>42</w:t>
            </w:r>
          </w:p>
        </w:tc>
        <w:tc>
          <w:tcPr>
            <w:tcW w:w="1530" w:type="dxa"/>
          </w:tcPr>
          <w:p w:rsidR="00177EE1" w:rsidRDefault="00177EE1" w:rsidP="000B3C1F">
            <w:pPr>
              <w:pStyle w:val="TableEntry"/>
            </w:pPr>
            <w:r>
              <w:t>1</w:t>
            </w:r>
          </w:p>
        </w:tc>
        <w:tc>
          <w:tcPr>
            <w:tcW w:w="1666" w:type="dxa"/>
          </w:tcPr>
          <w:p w:rsidR="00177EE1" w:rsidRDefault="00177EE1" w:rsidP="00177EE1">
            <w:pPr>
              <w:pStyle w:val="TableEntry"/>
              <w:jc w:val="right"/>
            </w:pPr>
            <w:r>
              <w:t>19.95</w:t>
            </w:r>
          </w:p>
        </w:tc>
      </w:tr>
    </w:tbl>
    <w:p w:rsidR="00177EE1" w:rsidRDefault="00177EE1" w:rsidP="00483E64">
      <w:pPr>
        <w:pStyle w:val="Para"/>
      </w:pPr>
    </w:p>
    <w:p w:rsidR="00483E64" w:rsidRDefault="00483E64" w:rsidP="00483E64">
      <w:pPr>
        <w:pStyle w:val="Para"/>
      </w:pPr>
      <w:r>
        <w:t>The correct assignment of dimension keys to fact table rows is handled as a matter of course in the ETL process. Integration Services even has a wizard to define this process. We have to go back and update the fact table in our example because we didn’t start with Type 2 attributes in the first place. It would have been much better if we had designed the customer dimension as a Type 2 SCD originally. This should give you a feel for what you will have to do if you don’t use Type 2 change tracking as well.</w:t>
      </w:r>
    </w:p>
    <w:p w:rsidR="00483E64" w:rsidRDefault="00483E64" w:rsidP="00483E64">
      <w:pPr>
        <w:pStyle w:val="Para"/>
      </w:pPr>
      <w:r>
        <w:t>Now when the marketing analyst does the analysis, the data will show $2,276.20 in orders associated with a 3-mile commute distance and $19.95 associated with a 31-mile commute distance. The way to decide whether to track attribute changes as Type 1 or Type 2 is to ask, “Does it matter?” From the marketing analyst’s perspective in this example, accurately tracking changes over time obviously matters a lot.</w:t>
      </w:r>
    </w:p>
    <w:p w:rsidR="00F95ADE" w:rsidRPr="00483E64" w:rsidRDefault="00F95ADE" w:rsidP="00483E64"/>
    <w:sectPr w:rsidR="00F95ADE" w:rsidRPr="00483E64" w:rsidSect="00820A9F">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7EE1" w:rsidRDefault="00177EE1" w:rsidP="00177EE1">
      <w:pPr>
        <w:spacing w:after="0" w:line="240" w:lineRule="auto"/>
      </w:pPr>
      <w:r>
        <w:separator/>
      </w:r>
    </w:p>
  </w:endnote>
  <w:endnote w:type="continuationSeparator" w:id="0">
    <w:p w:rsidR="00177EE1" w:rsidRDefault="00177EE1" w:rsidP="00177E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525E" w:rsidRPr="0084525E" w:rsidRDefault="0084525E" w:rsidP="0084525E">
    <w:pPr>
      <w:pStyle w:val="Footer"/>
      <w:pBdr>
        <w:top w:val="single" w:sz="4" w:space="1" w:color="auto"/>
      </w:pBdr>
    </w:pPr>
    <w:r>
      <w:rPr>
        <w:rFonts w:asciiTheme="majorHAnsi" w:hAnsiTheme="majorHAnsi"/>
      </w:rPr>
      <w:t>Copyright © Kimball Group 2011, all rights reserved</w:t>
    </w:r>
    <w:r>
      <w:rPr>
        <w:rFonts w:asciiTheme="majorHAnsi" w:hAnsiTheme="majorHAnsi"/>
      </w:rPr>
      <w:ptab w:relativeTo="margin" w:alignment="right" w:leader="none"/>
    </w:r>
    <w:r w:rsidRPr="0084525E">
      <w:rPr>
        <w:rFonts w:asciiTheme="majorHAnsi" w:hAnsiTheme="majorHAnsi"/>
      </w:rPr>
      <w:fldChar w:fldCharType="begin"/>
    </w:r>
    <w:r w:rsidRPr="0084525E">
      <w:rPr>
        <w:rFonts w:asciiTheme="majorHAnsi" w:hAnsiTheme="majorHAnsi"/>
      </w:rPr>
      <w:instrText xml:space="preserve"> PAGE   \* MERGEFORMAT </w:instrText>
    </w:r>
    <w:r w:rsidRPr="0084525E">
      <w:rPr>
        <w:rFonts w:asciiTheme="majorHAnsi" w:hAnsiTheme="majorHAnsi"/>
      </w:rPr>
      <w:fldChar w:fldCharType="separate"/>
    </w:r>
    <w:r>
      <w:rPr>
        <w:rFonts w:asciiTheme="majorHAnsi" w:hAnsiTheme="majorHAnsi"/>
        <w:noProof/>
      </w:rPr>
      <w:t>1</w:t>
    </w:r>
    <w:r w:rsidRPr="0084525E">
      <w:rPr>
        <w:rFonts w:asciiTheme="majorHAnsi" w:hAnsiTheme="majorHAns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7EE1" w:rsidRDefault="00177EE1" w:rsidP="00177EE1">
      <w:pPr>
        <w:spacing w:after="0" w:line="240" w:lineRule="auto"/>
      </w:pPr>
      <w:r>
        <w:separator/>
      </w:r>
    </w:p>
  </w:footnote>
  <w:footnote w:type="continuationSeparator" w:id="0">
    <w:p w:rsidR="00177EE1" w:rsidRDefault="00177EE1" w:rsidP="00177EE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A3BFF"/>
    <w:rsid w:val="000D19F2"/>
    <w:rsid w:val="000F7A88"/>
    <w:rsid w:val="00177EE1"/>
    <w:rsid w:val="001A1D7C"/>
    <w:rsid w:val="001D0439"/>
    <w:rsid w:val="003F396F"/>
    <w:rsid w:val="00483E64"/>
    <w:rsid w:val="00820A9F"/>
    <w:rsid w:val="0084525E"/>
    <w:rsid w:val="00AA3BFF"/>
    <w:rsid w:val="00C2255B"/>
    <w:rsid w:val="00C46D9C"/>
    <w:rsid w:val="00C678AB"/>
    <w:rsid w:val="00EF79D9"/>
    <w:rsid w:val="00F95A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2"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E64"/>
    <w:rPr>
      <w:rFonts w:ascii="Calibri" w:eastAsia="Calibri" w:hAnsi="Calibri"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rsid w:val="00483E64"/>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H3">
    <w:name w:val="H3"/>
    <w:next w:val="Para"/>
    <w:rsid w:val="00483E64"/>
    <w:pPr>
      <w:keepNext/>
      <w:spacing w:before="360" w:after="240" w:line="240" w:lineRule="auto"/>
      <w:outlineLvl w:val="3"/>
    </w:pPr>
    <w:rPr>
      <w:rFonts w:ascii="Arial" w:eastAsia="Times New Roman" w:hAnsi="Arial" w:cs="Times New Roman"/>
      <w:b/>
      <w:snapToGrid w:val="0"/>
      <w:sz w:val="32"/>
      <w:szCs w:val="20"/>
    </w:rPr>
  </w:style>
  <w:style w:type="paragraph" w:customStyle="1" w:styleId="TableCaption">
    <w:name w:val="TableCaption"/>
    <w:basedOn w:val="Normal"/>
    <w:rsid w:val="00483E64"/>
    <w:pPr>
      <w:keepNext/>
      <w:widowControl w:val="0"/>
      <w:spacing w:before="240" w:after="120" w:line="240" w:lineRule="auto"/>
    </w:pPr>
    <w:rPr>
      <w:rFonts w:ascii="Arial" w:eastAsia="Times New Roman" w:hAnsi="Arial"/>
      <w:b/>
      <w:snapToGrid w:val="0"/>
      <w:sz w:val="24"/>
    </w:rPr>
  </w:style>
  <w:style w:type="paragraph" w:customStyle="1" w:styleId="TableHead">
    <w:name w:val="TableHead"/>
    <w:rsid w:val="00483E64"/>
    <w:pPr>
      <w:keepNext/>
      <w:spacing w:after="0" w:line="240" w:lineRule="auto"/>
    </w:pPr>
    <w:rPr>
      <w:rFonts w:ascii="Arial" w:eastAsia="Times New Roman" w:hAnsi="Arial" w:cs="Times New Roman"/>
      <w:b/>
      <w:szCs w:val="20"/>
    </w:rPr>
  </w:style>
  <w:style w:type="paragraph" w:customStyle="1" w:styleId="TableEntry">
    <w:name w:val="TableEntry"/>
    <w:rsid w:val="00483E64"/>
    <w:pPr>
      <w:spacing w:after="60" w:line="240" w:lineRule="auto"/>
    </w:pPr>
    <w:rPr>
      <w:rFonts w:ascii="Arial" w:eastAsia="Times New Roman" w:hAnsi="Arial" w:cs="Times New Roman"/>
      <w:szCs w:val="20"/>
    </w:rPr>
  </w:style>
  <w:style w:type="paragraph" w:styleId="Header">
    <w:name w:val="header"/>
    <w:basedOn w:val="Normal"/>
    <w:link w:val="HeaderChar"/>
    <w:uiPriority w:val="99"/>
    <w:semiHidden/>
    <w:unhideWhenUsed/>
    <w:rsid w:val="00177EE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77EE1"/>
    <w:rPr>
      <w:rFonts w:ascii="Calibri" w:eastAsia="Calibri" w:hAnsi="Calibri" w:cs="Times New Roman"/>
      <w:szCs w:val="20"/>
    </w:rPr>
  </w:style>
  <w:style w:type="paragraph" w:styleId="Footer">
    <w:name w:val="footer"/>
    <w:basedOn w:val="Normal"/>
    <w:link w:val="FooterChar"/>
    <w:uiPriority w:val="99"/>
    <w:unhideWhenUsed/>
    <w:rsid w:val="00177E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EE1"/>
    <w:rPr>
      <w:rFonts w:ascii="Calibri" w:eastAsia="Calibri" w:hAnsi="Calibri" w:cs="Times New Roman"/>
      <w:szCs w:val="20"/>
    </w:rPr>
  </w:style>
  <w:style w:type="paragraph" w:styleId="BalloonText">
    <w:name w:val="Balloon Text"/>
    <w:basedOn w:val="Normal"/>
    <w:link w:val="BalloonTextChar"/>
    <w:uiPriority w:val="99"/>
    <w:semiHidden/>
    <w:unhideWhenUsed/>
    <w:rsid w:val="00177E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EE1"/>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kimballgroup.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0C9732-DB30-4BCE-A4EE-8011A6518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4</Pages>
  <Words>1133</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7577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Warren Thornthwaite</dc:creator>
  <cp:lastModifiedBy> Warren Thornthwaite</cp:lastModifiedBy>
  <cp:revision>3</cp:revision>
  <dcterms:created xsi:type="dcterms:W3CDTF">2010-01-15T19:53:00Z</dcterms:created>
  <dcterms:modified xsi:type="dcterms:W3CDTF">2011-02-11T19:41:00Z</dcterms:modified>
</cp:coreProperties>
</file>