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C5F8A"/>
          <w:spacing w:val="40"/>
          <w:sz w:val="28"/>
          <w:szCs w:val="28"/>
        </w:rPr>
        <w:t xml:space="preserve">DECODELABS</w:t>
      </w:r>
    </w:p>
    <w:p>
      <w:pPr>
        <w:spacing w:after="200" w:before="200"/>
        <w:jc w:val="center"/>
      </w:pPr>
      <w:r>
        <w:rPr>
          <w:color w:val="5C6B73"/>
          <w:sz w:val="22"/>
          <w:szCs w:val="22"/>
        </w:rPr>
        <w:t xml:space="preserve">Industrial Training Kit — Batch 2026</w:t>
      </w:r>
    </w:p>
    <w:p>
      <w:pPr>
        <w:spacing w:after="200" w:before="600"/>
        <w:jc w:val="center"/>
      </w:pPr>
      <w:r>
        <w:rPr>
          <w:b/>
          <w:bCs/>
          <w:color w:val="1A1A1A"/>
          <w:sz w:val="44"/>
          <w:szCs w:val="44"/>
        </w:rPr>
        <w:t xml:space="preserve">Project 3: SQL Data Analysis</w:t>
      </w:r>
    </w:p>
    <w:p>
      <w:pPr>
        <w:spacing w:after="800"/>
        <w:jc w:val="center"/>
      </w:pPr>
      <w:r>
        <w:rPr>
          <w:i/>
          <w:iCs/>
          <w:color w:val="5C6B73"/>
          <w:sz w:val="24"/>
          <w:szCs w:val="24"/>
        </w:rPr>
        <w:t xml:space="preserve">Querying for Truth — E-Commerce Orders Database</w:t>
      </w:r>
    </w:p>
    <w:p>
      <w:pPr>
        <w:spacing w:before="1600"/>
        <w:jc w:val="center"/>
      </w:pPr>
      <w:r>
        <w:rPr>
          <w:color w:val="1A1A1A"/>
          <w:sz w:val="21"/>
          <w:szCs w:val="21"/>
        </w:rPr>
        <w:t xml:space="preserve">Prepared by: Data Analyst Intern</w:t>
      </w:r>
    </w:p>
    <w:p>
      <w:pPr>
        <w:spacing w:after="3000"/>
        <w:jc w:val="center"/>
      </w:pPr>
      <w:r>
        <w:rPr>
          <w:color w:val="1A1A1A"/>
          <w:sz w:val="21"/>
          <w:szCs w:val="21"/>
        </w:rPr>
        <w:t xml:space="preserve">Date: July 2026</w:t>
      </w:r>
    </w:p>
    <w:p>
      <w:r>
        <w:br w:type="page"/>
      </w:r>
    </w:p>
    <w:p>
      <w:pPr>
        <w:pStyle w:val="Heading1"/>
        <w:pBdr>
          <w:bottom w:val="single" w:color="2C5F8A" w:sz="8" w:space="4"/>
        </w:pBdr>
        <w:spacing w:after="160" w:before="360"/>
      </w:pPr>
      <w:r>
        <w:rPr>
          <w:b/>
          <w:bCs/>
          <w:color w:val="2C5F8A"/>
          <w:sz w:val="30"/>
          <w:szCs w:val="30"/>
        </w:rPr>
        <w:t xml:space="preserve">1. Problem Statement</w:t>
      </w:r>
    </w:p>
    <w:p>
      <w:pPr>
        <w:spacing w:after="150" w:line="300"/>
      </w:pPr>
      <w:r>
        <w:rPr>
          <w:color w:val="1A1A1A"/>
          <w:sz w:val="21"/>
          <w:szCs w:val="21"/>
        </w:rPr>
        <w:t xml:space="preserve">DecodeLabs' order database holds 1,200 transactions across seven products, five payment methods, and five marketing channels. Business stakeholders don't need raw rows — they need specific, aggregated answers: which products earn the most, which channels convert best, and where fulfillment is breaking down.</w:t>
      </w:r>
    </w:p>
    <w:p>
      <w:pPr>
        <w:spacing w:after="150" w:line="300"/>
      </w:pPr>
      <w:r>
        <w:rPr>
          <w:color w:val="1A1A1A"/>
          <w:sz w:val="21"/>
          <w:szCs w:val="21"/>
        </w:rPr>
        <w:t xml:space="preserve">This project answers those questions using pure SQL: filtering with WHERE, sorting with ORDER BY, bucketing with GROUP BY, and summarizing with COUNT, SUM, and AVG — the same declarative toolkit that powers every production reporting pipeline.</w:t>
      </w:r>
    </w:p>
    <w:p>
      <w:pPr>
        <w:pStyle w:val="Heading1"/>
        <w:pBdr>
          <w:bottom w:val="single" w:color="2C5F8A" w:sz="8" w:space="4"/>
        </w:pBdr>
        <w:spacing w:after="160" w:before="360"/>
      </w:pPr>
      <w:r>
        <w:rPr>
          <w:b/>
          <w:bCs/>
          <w:color w:val="2C5F8A"/>
          <w:sz w:val="30"/>
          <w:szCs w:val="30"/>
        </w:rPr>
        <w:t xml:space="preserve">2. Methodology</w:t>
      </w:r>
    </w:p>
    <w:p>
      <w:pPr>
        <w:spacing w:after="150" w:line="300"/>
      </w:pPr>
      <w:r>
        <w:rPr>
          <w:color w:val="1A1A1A"/>
          <w:sz w:val="21"/>
          <w:szCs w:val="21"/>
        </w:rPr>
        <w:t xml:space="preserve">All queries were run against a SQLite database (orders.db) built from the 1,200-row order export, using the engine's logical execution 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4F5" w:val="clear"/>
            <w:tcMar>
              <w:top w:type="dxa" w:w="120"/>
              <w:left w:type="dxa" w:w="160"/>
              <w:bottom w:type="dxa" w:w="120"/>
              <w:right w:type="dxa" w:w="160"/>
            </w:tcMar>
          </w:tcPr>
          <w:p>
            <w:pPr>
              <w:spacing w:after="20"/>
            </w:pPr>
            <w:r>
              <w:rPr>
                <w:rFonts w:ascii="Consolas" w:cs="Consolas" w:eastAsia="Consolas" w:hAnsi="Consolas"/>
                <w:color w:val="1B3A4B"/>
                <w:sz w:val="18"/>
                <w:szCs w:val="18"/>
              </w:rPr>
              <w:t xml:space="preserve">FROM  →  WHERE  →  GROUP BY  →  HAVING  →  SELECT  →  ORDER BY</w:t>
            </w:r>
          </w:p>
        </w:tc>
      </w:tr>
    </w:tbl>
    <w:p>
      <w:pPr>
        <w:spacing w:after="150" w:line="300"/>
      </w:pPr>
      <w:r>
        <w:rPr>
          <w:color w:val="1A1A1A"/>
          <w:sz w:val="21"/>
          <w:szCs w:val="21"/>
        </w:rPr>
        <w:t xml:space="preserve">This matters in practice: a column alias created in SELECT (step 5) cannot be referenced inside WHERE (step 2), because the engine hasn't computed it yet. Every query below was written with this execution order in mind, not the order it's typed in.</w:t>
      </w:r>
    </w:p>
    <w:p>
      <w:pPr>
        <w:pStyle w:val="ListParagraph"/>
        <w:numPr>
          <w:ilvl w:val="0"/>
          <w:numId w:val="1"/>
        </w:numPr>
        <w:spacing w:after="80" w:line="280"/>
      </w:pPr>
      <w:r>
        <w:rPr>
          <w:color w:val="1A1A1A"/>
          <w:sz w:val="21"/>
          <w:szCs w:val="21"/>
        </w:rPr>
        <w:t xml:space="preserve">39 queries were written, organized into 7 sections (A–G): basic SELECT, WHERE filtering, ORDER BY sorting, GROUP BY bucketing, aggregation (COUNT/SUM/AVG), HAVING, and advanced combined queries.</w:t>
      </w:r>
    </w:p>
    <w:p>
      <w:pPr>
        <w:pStyle w:val="ListParagraph"/>
        <w:numPr>
          <w:ilvl w:val="0"/>
          <w:numId w:val="1"/>
        </w:numPr>
        <w:spacing w:after="80" w:line="280"/>
      </w:pPr>
      <w:r>
        <w:rPr>
          <w:color w:val="1A1A1A"/>
          <w:sz w:val="21"/>
          <w:szCs w:val="21"/>
        </w:rPr>
        <w:t xml:space="preserve">Every query was executed against the live database and validated — 0 syntax errors, 0 execution errors, results captured for this report.</w:t>
      </w:r>
    </w:p>
    <w:p>
      <w:pPr>
        <w:pStyle w:val="Heading1"/>
        <w:pBdr>
          <w:bottom w:val="single" w:color="2C5F8A" w:sz="8" w:space="4"/>
        </w:pBdr>
        <w:spacing w:after="160" w:before="360"/>
      </w:pPr>
      <w:r>
        <w:rPr>
          <w:b/>
          <w:bCs/>
          <w:color w:val="2C5F8A"/>
          <w:sz w:val="30"/>
          <w:szCs w:val="30"/>
        </w:rPr>
        <w:t xml:space="preserve">3. SELECT and WHERE: Isolating What Matters</w:t>
      </w:r>
    </w:p>
    <w:p>
      <w:pPr>
        <w:spacing w:after="150" w:line="300"/>
      </w:pPr>
      <w:r>
        <w:rPr>
          <w:color w:val="1A1A1A"/>
          <w:sz w:val="21"/>
          <w:szCs w:val="21"/>
        </w:rPr>
        <w:t xml:space="preserve">Before any aggregation, individual rows must be filtered down to what's relevant. A few representative examples:</w:t>
      </w:r>
    </w:p>
    <w:p>
      <w:pPr>
        <w:pStyle w:val="Heading2"/>
        <w:spacing w:after="100" w:before="260"/>
      </w:pPr>
      <w:r>
        <w:rPr>
          <w:b/>
          <w:bCs/>
          <w:color w:val="1A1A1A"/>
          <w:sz w:val="23"/>
          <w:szCs w:val="23"/>
        </w:rPr>
        <w:t xml:space="preserve">Cancelled or Returned orders (the at-risk segment)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4F5" w:val="clear"/>
            <w:tcMar>
              <w:top w:type="dxa" w:w="120"/>
              <w:left w:type="dxa" w:w="160"/>
              <w:bottom w:type="dxa" w:w="120"/>
              <w:right w:type="dxa" w:w="160"/>
            </w:tcMar>
          </w:tcPr>
          <w:p>
            <w:pPr>
              <w:spacing w:after="20"/>
            </w:pPr>
            <w:r>
              <w:rPr>
                <w:rFonts w:ascii="Consolas" w:cs="Consolas" w:eastAsia="Consolas" w:hAnsi="Consolas"/>
                <w:color w:val="1B3A4B"/>
                <w:sz w:val="18"/>
                <w:szCs w:val="18"/>
              </w:rPr>
              <w:t xml:space="preserve">SELECT OrderID, Product, OrderStatus, TotalPrice</w:t>
            </w:r>
          </w:p>
          <w:p>
            <w:pPr>
              <w:spacing w:after="20"/>
            </w:pPr>
            <w:r>
              <w:rPr>
                <w:rFonts w:ascii="Consolas" w:cs="Consolas" w:eastAsia="Consolas" w:hAnsi="Consolas"/>
                <w:color w:val="1B3A4B"/>
                <w:sz w:val="18"/>
                <w:szCs w:val="18"/>
              </w:rPr>
              <w:t xml:space="preserve">FROM orders</w:t>
            </w:r>
          </w:p>
          <w:p>
            <w:pPr>
              <w:spacing w:after="20"/>
            </w:pPr>
            <w:r>
              <w:rPr>
                <w:rFonts w:ascii="Consolas" w:cs="Consolas" w:eastAsia="Consolas" w:hAnsi="Consolas"/>
                <w:color w:val="1B3A4B"/>
                <w:sz w:val="18"/>
                <w:szCs w:val="18"/>
              </w:rPr>
              <w:t xml:space="preserve">WHERE OrderStatus IN ('Cancelled', 'Returned');</w:t>
            </w:r>
          </w:p>
        </w:tc>
      </w:tr>
    </w:tbl>
    <w:p>
      <w:pPr>
        <w:spacing w:after="150" w:line="300"/>
      </w:pPr>
      <w:r>
        <w:rPr>
          <w:i/>
          <w:iCs/>
          <w:color w:val="5C6B73"/>
          <w:sz w:val="21"/>
          <w:szCs w:val="21"/>
        </w:rPr>
        <w:t xml:space="preserve">Result: 497 rows returned — 41.4% of the entire order base.</w:t>
      </w:r>
    </w:p>
    <w:p>
      <w:pPr>
        <w:pStyle w:val="Heading2"/>
        <w:spacing w:after="100" w:before="260"/>
      </w:pPr>
      <w:r>
        <w:rPr>
          <w:b/>
          <w:bCs/>
          <w:color w:val="1A1A1A"/>
          <w:sz w:val="23"/>
          <w:szCs w:val="23"/>
        </w:rPr>
        <w:t xml:space="preserve">High-value orders over $2,000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4F5" w:val="clear"/>
            <w:tcMar>
              <w:top w:type="dxa" w:w="120"/>
              <w:left w:type="dxa" w:w="160"/>
              <w:bottom w:type="dxa" w:w="120"/>
              <w:right w:type="dxa" w:w="160"/>
            </w:tcMar>
          </w:tcPr>
          <w:p>
            <w:pPr>
              <w:spacing w:after="20"/>
            </w:pPr>
            <w:r>
              <w:rPr>
                <w:rFonts w:ascii="Consolas" w:cs="Consolas" w:eastAsia="Consolas" w:hAnsi="Consolas"/>
                <w:color w:val="1B3A4B"/>
                <w:sz w:val="18"/>
                <w:szCs w:val="18"/>
              </w:rPr>
              <w:t xml:space="preserve">SELECT OrderID, Product, Quantity, UnitPrice, TotalPrice</w:t>
            </w:r>
          </w:p>
          <w:p>
            <w:pPr>
              <w:spacing w:after="20"/>
            </w:pPr>
            <w:r>
              <w:rPr>
                <w:rFonts w:ascii="Consolas" w:cs="Consolas" w:eastAsia="Consolas" w:hAnsi="Consolas"/>
                <w:color w:val="1B3A4B"/>
                <w:sz w:val="18"/>
                <w:szCs w:val="18"/>
              </w:rPr>
              <w:t xml:space="preserve">FROM orders</w:t>
            </w:r>
          </w:p>
          <w:p>
            <w:pPr>
              <w:spacing w:after="20"/>
            </w:pPr>
            <w:r>
              <w:rPr>
                <w:rFonts w:ascii="Consolas" w:cs="Consolas" w:eastAsia="Consolas" w:hAnsi="Consolas"/>
                <w:color w:val="1B3A4B"/>
                <w:sz w:val="18"/>
                <w:szCs w:val="18"/>
              </w:rPr>
              <w:t xml:space="preserve">WHERE TotalPrice &gt; 2000;</w:t>
            </w:r>
          </w:p>
        </w:tc>
      </w:tr>
    </w:tbl>
    <w:p>
      <w:pPr>
        <w:spacing w:after="150" w:line="300"/>
      </w:pPr>
      <w:r>
        <w:rPr>
          <w:i/>
          <w:iCs/>
          <w:color w:val="5C6B73"/>
          <w:sz w:val="21"/>
          <w:szCs w:val="21"/>
        </w:rPr>
        <w:t xml:space="preserve">Result: 180 orders (15% of all orders) exceed the $2,000 threshold.</w:t>
      </w:r>
    </w:p>
    <w:p>
      <w:pPr>
        <w:pStyle w:val="Heading1"/>
        <w:pBdr>
          <w:bottom w:val="single" w:color="2C5F8A" w:sz="8" w:space="4"/>
        </w:pBdr>
        <w:spacing w:after="160" w:before="360"/>
      </w:pPr>
      <w:r>
        <w:rPr>
          <w:b/>
          <w:bCs/>
          <w:color w:val="2C5F8A"/>
          <w:sz w:val="30"/>
          <w:szCs w:val="30"/>
        </w:rPr>
        <w:t xml:space="preserve">4. ORDER BY: Surfacing the Extremes</w:t>
      </w:r>
    </w:p>
    <w:p>
      <w:pPr>
        <w:spacing w:after="150" w:line="300"/>
      </w:pPr>
      <w:r>
        <w:rPr>
          <w:color w:val="1A1A1A"/>
          <w:sz w:val="21"/>
          <w:szCs w:val="21"/>
        </w:rPr>
        <w:t xml:space="preserve">Sorting turns a flat table into a ranked list — critical for finding the best and worst performers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4F5" w:val="clear"/>
            <w:tcMar>
              <w:top w:type="dxa" w:w="120"/>
              <w:left w:type="dxa" w:w="160"/>
              <w:bottom w:type="dxa" w:w="120"/>
              <w:right w:type="dxa" w:w="160"/>
            </w:tcMar>
          </w:tcPr>
          <w:p>
            <w:pPr>
              <w:spacing w:after="20"/>
            </w:pPr>
            <w:r>
              <w:rPr>
                <w:rFonts w:ascii="Consolas" w:cs="Consolas" w:eastAsia="Consolas" w:hAnsi="Consolas"/>
                <w:color w:val="1B3A4B"/>
                <w:sz w:val="18"/>
                <w:szCs w:val="18"/>
              </w:rPr>
              <w:t xml:space="preserve">SELECT OrderID, Product, TotalPrice</w:t>
            </w:r>
          </w:p>
          <w:p>
            <w:pPr>
              <w:spacing w:after="20"/>
            </w:pPr>
            <w:r>
              <w:rPr>
                <w:rFonts w:ascii="Consolas" w:cs="Consolas" w:eastAsia="Consolas" w:hAnsi="Consolas"/>
                <w:color w:val="1B3A4B"/>
                <w:sz w:val="18"/>
                <w:szCs w:val="18"/>
              </w:rPr>
              <w:t xml:space="preserve">FROM orders</w:t>
            </w:r>
          </w:p>
          <w:p>
            <w:pPr>
              <w:spacing w:after="20"/>
            </w:pPr>
            <w:r>
              <w:rPr>
                <w:rFonts w:ascii="Consolas" w:cs="Consolas" w:eastAsia="Consolas" w:hAnsi="Consolas"/>
                <w:color w:val="1B3A4B"/>
                <w:sz w:val="18"/>
                <w:szCs w:val="18"/>
              </w:rPr>
              <w:t xml:space="preserve">ORDER BY TotalPrice DESC</w:t>
            </w:r>
          </w:p>
          <w:p>
            <w:pPr>
              <w:spacing w:after="20"/>
            </w:pPr>
            <w:r>
              <w:rPr>
                <w:rFonts w:ascii="Consolas" w:cs="Consolas" w:eastAsia="Consolas" w:hAnsi="Consolas"/>
                <w:color w:val="1B3A4B"/>
                <w:sz w:val="18"/>
                <w:szCs w:val="18"/>
              </w:rPr>
              <w:t xml:space="preserve">LIMIT 10;</w:t>
            </w:r>
          </w:p>
        </w:tc>
      </w:tr>
    </w:tbl>
    <w:p>
      <w:pPr>
        <w:spacing w:after="150" w:line="300"/>
      </w:pPr>
      <w:r>
        <w:rPr>
          <w:color w:val="1A1A1A"/>
          <w:sz w:val="21"/>
          <w:szCs w:val="21"/>
        </w:rPr>
        <w:t xml:space="preserve">The single highest-value order in the database is a Monitor purchase at $3,390.95; the lowest is a Phone order at $11.39 — a 298x spread, underscoring how skewed order value is across the catalog.</w:t>
      </w:r>
    </w:p>
    <w:p>
      <w:pPr>
        <w:pStyle w:val="Heading1"/>
        <w:pBdr>
          <w:bottom w:val="single" w:color="2C5F8A" w:sz="8" w:space="4"/>
        </w:pBdr>
        <w:spacing w:after="160" w:before="360"/>
      </w:pPr>
      <w:r>
        <w:rPr>
          <w:b/>
          <w:bCs/>
          <w:color w:val="2C5F8A"/>
          <w:sz w:val="30"/>
          <w:szCs w:val="30"/>
        </w:rPr>
        <w:t xml:space="preserve">5. GROUP BY + Aggregations: From Rows to Insight</w:t>
      </w:r>
    </w:p>
    <w:p>
      <w:pPr>
        <w:spacing w:after="150" w:line="300"/>
      </w:pPr>
      <w:r>
        <w:rPr>
          <w:color w:val="1A1A1A"/>
          <w:sz w:val="21"/>
          <w:szCs w:val="21"/>
        </w:rPr>
        <w:t xml:space="preserve">This is where SQL earns its keep — collapsing 1,200 individual rows into a handful of decision-ready numbers.</w:t>
      </w:r>
    </w:p>
    <w:p>
      <w:pPr>
        <w:pStyle w:val="Heading2"/>
        <w:spacing w:after="100" w:before="260"/>
      </w:pPr>
      <w:r>
        <w:rPr>
          <w:b/>
          <w:bCs/>
          <w:color w:val="1A1A1A"/>
          <w:sz w:val="23"/>
          <w:szCs w:val="23"/>
        </w:rPr>
        <w:t xml:space="preserve">5.1 Revenue by Product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4F5" w:val="clear"/>
            <w:tcMar>
              <w:top w:type="dxa" w:w="120"/>
              <w:left w:type="dxa" w:w="160"/>
              <w:bottom w:type="dxa" w:w="120"/>
              <w:right w:type="dxa" w:w="160"/>
            </w:tcMar>
          </w:tcPr>
          <w:p>
            <w:pPr>
              <w:spacing w:after="20"/>
            </w:pPr>
            <w:r>
              <w:rPr>
                <w:rFonts w:ascii="Consolas" w:cs="Consolas" w:eastAsia="Consolas" w:hAnsi="Consolas"/>
                <w:color w:val="1B3A4B"/>
                <w:sz w:val="18"/>
                <w:szCs w:val="18"/>
              </w:rPr>
              <w:t xml:space="preserve">SELECT Product, COUNT(*) AS order_count, SUM(TotalPrice) AS total_revenue,</w:t>
            </w:r>
          </w:p>
          <w:p>
            <w:pPr>
              <w:spacing w:after="20"/>
            </w:pPr>
            <w:r>
              <w:rPr>
                <w:rFonts w:ascii="Consolas" w:cs="Consolas" w:eastAsia="Consolas" w:hAnsi="Consolas"/>
                <w:color w:val="1B3A4B"/>
                <w:sz w:val="18"/>
                <w:szCs w:val="18"/>
              </w:rPr>
              <w:t xml:space="preserve">       ROUND(AVG(TotalPrice), 2) AS avg_order_value</w:t>
            </w:r>
          </w:p>
          <w:p>
            <w:pPr>
              <w:spacing w:after="20"/>
            </w:pPr>
            <w:r>
              <w:rPr>
                <w:rFonts w:ascii="Consolas" w:cs="Consolas" w:eastAsia="Consolas" w:hAnsi="Consolas"/>
                <w:color w:val="1B3A4B"/>
                <w:sz w:val="18"/>
                <w:szCs w:val="18"/>
              </w:rPr>
              <w:t xml:space="preserve">FROM orders</w:t>
            </w:r>
          </w:p>
          <w:p>
            <w:pPr>
              <w:spacing w:after="20"/>
            </w:pPr>
            <w:r>
              <w:rPr>
                <w:rFonts w:ascii="Consolas" w:cs="Consolas" w:eastAsia="Consolas" w:hAnsi="Consolas"/>
                <w:color w:val="1B3A4B"/>
                <w:sz w:val="18"/>
                <w:szCs w:val="18"/>
              </w:rPr>
              <w:t xml:space="preserve">GROUP BY Product</w:t>
            </w:r>
          </w:p>
          <w:p>
            <w:pPr>
              <w:spacing w:after="20"/>
            </w:pPr>
            <w:r>
              <w:rPr>
                <w:rFonts w:ascii="Consolas" w:cs="Consolas" w:eastAsia="Consolas" w:hAnsi="Consolas"/>
                <w:color w:val="1B3A4B"/>
                <w:sz w:val="18"/>
                <w:szCs w:val="18"/>
              </w:rPr>
              <w:t xml:space="preserve">ORDER BY total_revenue DESC;</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200"/>
      </w:tblGrid>
      <w:tr>
        <w:tc>
          <w:tcPr>
            <w:tcW w:type="dxa" w:w="2400"/>
            <w:shd w:fill="1B3A4B" w:val="clear"/>
            <w:tcMar>
              <w:top w:type="dxa" w:w="70"/>
              <w:left w:type="dxa" w:w="90"/>
              <w:bottom w:type="dxa" w:w="70"/>
              <w:right w:type="dxa" w:w="90"/>
            </w:tcMar>
          </w:tcPr>
          <w:p>
            <w:pPr>
              <w:jc w:val="center"/>
            </w:pPr>
            <w:r>
              <w:rPr>
                <w:b/>
                <w:bCs/>
                <w:color w:val="FFFFFF"/>
                <w:sz w:val="18"/>
                <w:szCs w:val="18"/>
              </w:rPr>
              <w:t xml:space="preserve">Product</w:t>
            </w:r>
          </w:p>
        </w:tc>
        <w:tc>
          <w:tcPr>
            <w:tcW w:type="dxa" w:w="2000"/>
            <w:shd w:fill="1B3A4B" w:val="clear"/>
            <w:tcMar>
              <w:top w:type="dxa" w:w="70"/>
              <w:left w:type="dxa" w:w="90"/>
              <w:bottom w:type="dxa" w:w="70"/>
              <w:right w:type="dxa" w:w="90"/>
            </w:tcMar>
          </w:tcPr>
          <w:p>
            <w:pPr>
              <w:jc w:val="center"/>
            </w:pPr>
            <w:r>
              <w:rPr>
                <w:b/>
                <w:bCs/>
                <w:color w:val="FFFFFF"/>
                <w:sz w:val="18"/>
                <w:szCs w:val="18"/>
              </w:rPr>
              <w:t xml:space="preserve">Orders</w:t>
            </w:r>
          </w:p>
        </w:tc>
        <w:tc>
          <w:tcPr>
            <w:tcW w:type="dxa" w:w="2600"/>
            <w:shd w:fill="1B3A4B" w:val="clear"/>
            <w:tcMar>
              <w:top w:type="dxa" w:w="70"/>
              <w:left w:type="dxa" w:w="90"/>
              <w:bottom w:type="dxa" w:w="70"/>
              <w:right w:type="dxa" w:w="90"/>
            </w:tcMar>
          </w:tcPr>
          <w:p>
            <w:pPr>
              <w:jc w:val="center"/>
            </w:pPr>
            <w:r>
              <w:rPr>
                <w:b/>
                <w:bCs/>
                <w:color w:val="FFFFFF"/>
                <w:sz w:val="18"/>
                <w:szCs w:val="18"/>
              </w:rPr>
              <w:t xml:space="preserve">Revenue</w:t>
            </w:r>
          </w:p>
        </w:tc>
        <w:tc>
          <w:tcPr>
            <w:tcW w:type="dxa" w:w="2200"/>
            <w:shd w:fill="1B3A4B" w:val="clear"/>
            <w:tcMar>
              <w:top w:type="dxa" w:w="70"/>
              <w:left w:type="dxa" w:w="90"/>
              <w:bottom w:type="dxa" w:w="70"/>
              <w:right w:type="dxa" w:w="90"/>
            </w:tcMar>
          </w:tcPr>
          <w:p>
            <w:pPr>
              <w:jc w:val="center"/>
            </w:pPr>
            <w:r>
              <w:rPr>
                <w:b/>
                <w:bCs/>
                <w:color w:val="FFFFFF"/>
                <w:sz w:val="18"/>
                <w:szCs w:val="18"/>
              </w:rPr>
              <w:t xml:space="preserve">Avg Order</w:t>
            </w:r>
          </w:p>
        </w:tc>
      </w:tr>
      <w:tr>
        <w:tc>
          <w:tcPr>
            <w:tcW w:type="dxa" w:w="2400"/>
            <w:tcMar>
              <w:top w:type="dxa" w:w="70"/>
              <w:left w:type="dxa" w:w="90"/>
              <w:bottom w:type="dxa" w:w="70"/>
              <w:right w:type="dxa" w:w="90"/>
            </w:tcMar>
          </w:tcPr>
          <w:p>
            <w:pPr>
              <w:jc w:val="center"/>
            </w:pPr>
            <w:r>
              <w:rPr>
                <w:b/>
                <w:bCs/>
                <w:color w:val="1A1A1A"/>
                <w:sz w:val="18"/>
                <w:szCs w:val="18"/>
              </w:rPr>
              <w:t xml:space="preserve">Chair</w:t>
            </w:r>
          </w:p>
        </w:tc>
        <w:tc>
          <w:tcPr>
            <w:tcW w:type="dxa" w:w="2000"/>
            <w:tcMar>
              <w:top w:type="dxa" w:w="70"/>
              <w:left w:type="dxa" w:w="90"/>
              <w:bottom w:type="dxa" w:w="70"/>
              <w:right w:type="dxa" w:w="90"/>
            </w:tcMar>
          </w:tcPr>
          <w:p>
            <w:pPr>
              <w:jc w:val="center"/>
            </w:pPr>
            <w:r>
              <w:rPr>
                <w:b w:val="false"/>
                <w:bCs w:val="false"/>
                <w:color w:val="1A1A1A"/>
                <w:sz w:val="18"/>
                <w:szCs w:val="18"/>
              </w:rPr>
              <w:t xml:space="preserve">178</w:t>
            </w:r>
          </w:p>
        </w:tc>
        <w:tc>
          <w:tcPr>
            <w:tcW w:type="dxa" w:w="2600"/>
            <w:tcMar>
              <w:top w:type="dxa" w:w="70"/>
              <w:left w:type="dxa" w:w="90"/>
              <w:bottom w:type="dxa" w:w="70"/>
              <w:right w:type="dxa" w:w="90"/>
            </w:tcMar>
          </w:tcPr>
          <w:p>
            <w:pPr>
              <w:jc w:val="center"/>
            </w:pPr>
            <w:r>
              <w:rPr>
                <w:b w:val="false"/>
                <w:bCs w:val="false"/>
                <w:color w:val="1A1A1A"/>
                <w:sz w:val="18"/>
                <w:szCs w:val="18"/>
              </w:rPr>
              <w:t xml:space="preserve">$195,620.11</w:t>
            </w:r>
          </w:p>
        </w:tc>
        <w:tc>
          <w:tcPr>
            <w:tcW w:type="dxa" w:w="2200"/>
            <w:tcMar>
              <w:top w:type="dxa" w:w="70"/>
              <w:left w:type="dxa" w:w="90"/>
              <w:bottom w:type="dxa" w:w="70"/>
              <w:right w:type="dxa" w:w="90"/>
            </w:tcMar>
          </w:tcPr>
          <w:p>
            <w:pPr>
              <w:jc w:val="center"/>
            </w:pPr>
            <w:r>
              <w:rPr>
                <w:b w:val="false"/>
                <w:bCs w:val="false"/>
                <w:color w:val="1A1A1A"/>
                <w:sz w:val="18"/>
                <w:szCs w:val="18"/>
              </w:rPr>
              <w:t xml:space="preserve">$1,098.99</w:t>
            </w:r>
          </w:p>
        </w:tc>
      </w:tr>
      <w:tr>
        <w:tc>
          <w:tcPr>
            <w:tcW w:type="dxa" w:w="2400"/>
            <w:tcMar>
              <w:top w:type="dxa" w:w="70"/>
              <w:left w:type="dxa" w:w="90"/>
              <w:bottom w:type="dxa" w:w="70"/>
              <w:right w:type="dxa" w:w="90"/>
            </w:tcMar>
          </w:tcPr>
          <w:p>
            <w:pPr>
              <w:jc w:val="center"/>
            </w:pPr>
            <w:r>
              <w:rPr>
                <w:b/>
                <w:bCs/>
                <w:color w:val="1A1A1A"/>
                <w:sz w:val="18"/>
                <w:szCs w:val="18"/>
              </w:rPr>
              <w:t xml:space="preserve">Printer</w:t>
            </w:r>
          </w:p>
        </w:tc>
        <w:tc>
          <w:tcPr>
            <w:tcW w:type="dxa" w:w="2000"/>
            <w:tcMar>
              <w:top w:type="dxa" w:w="70"/>
              <w:left w:type="dxa" w:w="90"/>
              <w:bottom w:type="dxa" w:w="70"/>
              <w:right w:type="dxa" w:w="90"/>
            </w:tcMar>
          </w:tcPr>
          <w:p>
            <w:pPr>
              <w:jc w:val="center"/>
            </w:pPr>
            <w:r>
              <w:rPr>
                <w:b w:val="false"/>
                <w:bCs w:val="false"/>
                <w:color w:val="1A1A1A"/>
                <w:sz w:val="18"/>
                <w:szCs w:val="18"/>
              </w:rPr>
              <w:t xml:space="preserve">181</w:t>
            </w:r>
          </w:p>
        </w:tc>
        <w:tc>
          <w:tcPr>
            <w:tcW w:type="dxa" w:w="2600"/>
            <w:tcMar>
              <w:top w:type="dxa" w:w="70"/>
              <w:left w:type="dxa" w:w="90"/>
              <w:bottom w:type="dxa" w:w="70"/>
              <w:right w:type="dxa" w:w="90"/>
            </w:tcMar>
          </w:tcPr>
          <w:p>
            <w:pPr>
              <w:jc w:val="center"/>
            </w:pPr>
            <w:r>
              <w:rPr>
                <w:b w:val="false"/>
                <w:bCs w:val="false"/>
                <w:color w:val="1A1A1A"/>
                <w:sz w:val="18"/>
                <w:szCs w:val="18"/>
              </w:rPr>
              <w:t xml:space="preserve">$195,612.61</w:t>
            </w:r>
          </w:p>
        </w:tc>
        <w:tc>
          <w:tcPr>
            <w:tcW w:type="dxa" w:w="2200"/>
            <w:tcMar>
              <w:top w:type="dxa" w:w="70"/>
              <w:left w:type="dxa" w:w="90"/>
              <w:bottom w:type="dxa" w:w="70"/>
              <w:right w:type="dxa" w:w="90"/>
            </w:tcMar>
          </w:tcPr>
          <w:p>
            <w:pPr>
              <w:jc w:val="center"/>
            </w:pPr>
            <w:r>
              <w:rPr>
                <w:b w:val="false"/>
                <w:bCs w:val="false"/>
                <w:color w:val="1A1A1A"/>
                <w:sz w:val="18"/>
                <w:szCs w:val="18"/>
              </w:rPr>
              <w:t xml:space="preserve">$1,080.73</w:t>
            </w:r>
          </w:p>
        </w:tc>
      </w:tr>
      <w:tr>
        <w:tc>
          <w:tcPr>
            <w:tcW w:type="dxa" w:w="2400"/>
            <w:tcMar>
              <w:top w:type="dxa" w:w="70"/>
              <w:left w:type="dxa" w:w="90"/>
              <w:bottom w:type="dxa" w:w="70"/>
              <w:right w:type="dxa" w:w="90"/>
            </w:tcMar>
          </w:tcPr>
          <w:p>
            <w:pPr>
              <w:jc w:val="center"/>
            </w:pPr>
            <w:r>
              <w:rPr>
                <w:b/>
                <w:bCs/>
                <w:color w:val="1A1A1A"/>
                <w:sz w:val="18"/>
                <w:szCs w:val="18"/>
              </w:rPr>
              <w:t xml:space="preserve">Laptop</w:t>
            </w:r>
          </w:p>
        </w:tc>
        <w:tc>
          <w:tcPr>
            <w:tcW w:type="dxa" w:w="2000"/>
            <w:tcMar>
              <w:top w:type="dxa" w:w="70"/>
              <w:left w:type="dxa" w:w="90"/>
              <w:bottom w:type="dxa" w:w="70"/>
              <w:right w:type="dxa" w:w="90"/>
            </w:tcMar>
          </w:tcPr>
          <w:p>
            <w:pPr>
              <w:jc w:val="center"/>
            </w:pPr>
            <w:r>
              <w:rPr>
                <w:b w:val="false"/>
                <w:bCs w:val="false"/>
                <w:color w:val="1A1A1A"/>
                <w:sz w:val="18"/>
                <w:szCs w:val="18"/>
              </w:rPr>
              <w:t xml:space="preserve">173</w:t>
            </w:r>
          </w:p>
        </w:tc>
        <w:tc>
          <w:tcPr>
            <w:tcW w:type="dxa" w:w="2600"/>
            <w:tcMar>
              <w:top w:type="dxa" w:w="70"/>
              <w:left w:type="dxa" w:w="90"/>
              <w:bottom w:type="dxa" w:w="70"/>
              <w:right w:type="dxa" w:w="90"/>
            </w:tcMar>
          </w:tcPr>
          <w:p>
            <w:pPr>
              <w:jc w:val="center"/>
            </w:pPr>
            <w:r>
              <w:rPr>
                <w:b w:val="false"/>
                <w:bCs w:val="false"/>
                <w:color w:val="1A1A1A"/>
                <w:sz w:val="18"/>
                <w:szCs w:val="18"/>
              </w:rPr>
              <w:t xml:space="preserve">$192,126.56</w:t>
            </w:r>
          </w:p>
        </w:tc>
        <w:tc>
          <w:tcPr>
            <w:tcW w:type="dxa" w:w="2200"/>
            <w:tcMar>
              <w:top w:type="dxa" w:w="70"/>
              <w:left w:type="dxa" w:w="90"/>
              <w:bottom w:type="dxa" w:w="70"/>
              <w:right w:type="dxa" w:w="90"/>
            </w:tcMar>
          </w:tcPr>
          <w:p>
            <w:pPr>
              <w:jc w:val="center"/>
            </w:pPr>
            <w:r>
              <w:rPr>
                <w:b w:val="false"/>
                <w:bCs w:val="false"/>
                <w:color w:val="1A1A1A"/>
                <w:sz w:val="18"/>
                <w:szCs w:val="18"/>
              </w:rPr>
              <w:t xml:space="preserve">$1,110.56</w:t>
            </w:r>
          </w:p>
        </w:tc>
      </w:tr>
      <w:tr>
        <w:tc>
          <w:tcPr>
            <w:tcW w:type="dxa" w:w="2400"/>
            <w:tcMar>
              <w:top w:type="dxa" w:w="70"/>
              <w:left w:type="dxa" w:w="90"/>
              <w:bottom w:type="dxa" w:w="70"/>
              <w:right w:type="dxa" w:w="90"/>
            </w:tcMar>
          </w:tcPr>
          <w:p>
            <w:pPr>
              <w:jc w:val="center"/>
            </w:pPr>
            <w:r>
              <w:rPr>
                <w:b/>
                <w:bCs/>
                <w:color w:val="1A1A1A"/>
                <w:sz w:val="18"/>
                <w:szCs w:val="18"/>
              </w:rPr>
              <w:t xml:space="preserve">Tablet</w:t>
            </w:r>
          </w:p>
        </w:tc>
        <w:tc>
          <w:tcPr>
            <w:tcW w:type="dxa" w:w="2000"/>
            <w:tcMar>
              <w:top w:type="dxa" w:w="70"/>
              <w:left w:type="dxa" w:w="90"/>
              <w:bottom w:type="dxa" w:w="70"/>
              <w:right w:type="dxa" w:w="90"/>
            </w:tcMar>
          </w:tcPr>
          <w:p>
            <w:pPr>
              <w:jc w:val="center"/>
            </w:pPr>
            <w:r>
              <w:rPr>
                <w:b w:val="false"/>
                <w:bCs w:val="false"/>
                <w:color w:val="1A1A1A"/>
                <w:sz w:val="18"/>
                <w:szCs w:val="18"/>
              </w:rPr>
              <w:t xml:space="preserve">179</w:t>
            </w:r>
          </w:p>
        </w:tc>
        <w:tc>
          <w:tcPr>
            <w:tcW w:type="dxa" w:w="2600"/>
            <w:tcMar>
              <w:top w:type="dxa" w:w="70"/>
              <w:left w:type="dxa" w:w="90"/>
              <w:bottom w:type="dxa" w:w="70"/>
              <w:right w:type="dxa" w:w="90"/>
            </w:tcMar>
          </w:tcPr>
          <w:p>
            <w:pPr>
              <w:jc w:val="center"/>
            </w:pPr>
            <w:r>
              <w:rPr>
                <w:b w:val="false"/>
                <w:bCs w:val="false"/>
                <w:color w:val="1A1A1A"/>
                <w:sz w:val="18"/>
                <w:szCs w:val="18"/>
              </w:rPr>
              <w:t xml:space="preserve">$186,568.95</w:t>
            </w:r>
          </w:p>
        </w:tc>
        <w:tc>
          <w:tcPr>
            <w:tcW w:type="dxa" w:w="2200"/>
            <w:tcMar>
              <w:top w:type="dxa" w:w="70"/>
              <w:left w:type="dxa" w:w="90"/>
              <w:bottom w:type="dxa" w:w="70"/>
              <w:right w:type="dxa" w:w="90"/>
            </w:tcMar>
          </w:tcPr>
          <w:p>
            <w:pPr>
              <w:jc w:val="center"/>
            </w:pPr>
            <w:r>
              <w:rPr>
                <w:b w:val="false"/>
                <w:bCs w:val="false"/>
                <w:color w:val="1A1A1A"/>
                <w:sz w:val="18"/>
                <w:szCs w:val="18"/>
              </w:rPr>
              <w:t xml:space="preserve">$1,042.28</w:t>
            </w:r>
          </w:p>
        </w:tc>
      </w:tr>
      <w:tr>
        <w:tc>
          <w:tcPr>
            <w:tcW w:type="dxa" w:w="2400"/>
            <w:tcMar>
              <w:top w:type="dxa" w:w="70"/>
              <w:left w:type="dxa" w:w="90"/>
              <w:bottom w:type="dxa" w:w="70"/>
              <w:right w:type="dxa" w:w="90"/>
            </w:tcMar>
          </w:tcPr>
          <w:p>
            <w:pPr>
              <w:jc w:val="center"/>
            </w:pPr>
            <w:r>
              <w:rPr>
                <w:b/>
                <w:bCs/>
                <w:color w:val="1A1A1A"/>
                <w:sz w:val="18"/>
                <w:szCs w:val="18"/>
              </w:rPr>
              <w:t xml:space="preserve">Monitor</w:t>
            </w:r>
          </w:p>
        </w:tc>
        <w:tc>
          <w:tcPr>
            <w:tcW w:type="dxa" w:w="2000"/>
            <w:tcMar>
              <w:top w:type="dxa" w:w="70"/>
              <w:left w:type="dxa" w:w="90"/>
              <w:bottom w:type="dxa" w:w="70"/>
              <w:right w:type="dxa" w:w="90"/>
            </w:tcMar>
          </w:tcPr>
          <w:p>
            <w:pPr>
              <w:jc w:val="center"/>
            </w:pPr>
            <w:r>
              <w:rPr>
                <w:b w:val="false"/>
                <w:bCs w:val="false"/>
                <w:color w:val="1A1A1A"/>
                <w:sz w:val="18"/>
                <w:szCs w:val="18"/>
              </w:rPr>
              <w:t xml:space="preserve">163</w:t>
            </w:r>
          </w:p>
        </w:tc>
        <w:tc>
          <w:tcPr>
            <w:tcW w:type="dxa" w:w="2600"/>
            <w:tcMar>
              <w:top w:type="dxa" w:w="70"/>
              <w:left w:type="dxa" w:w="90"/>
              <w:bottom w:type="dxa" w:w="70"/>
              <w:right w:type="dxa" w:w="90"/>
            </w:tcMar>
          </w:tcPr>
          <w:p>
            <w:pPr>
              <w:jc w:val="center"/>
            </w:pPr>
            <w:r>
              <w:rPr>
                <w:b w:val="false"/>
                <w:bCs w:val="false"/>
                <w:color w:val="1A1A1A"/>
                <w:sz w:val="18"/>
                <w:szCs w:val="18"/>
              </w:rPr>
              <w:t xml:space="preserve">$175,651.41</w:t>
            </w:r>
          </w:p>
        </w:tc>
        <w:tc>
          <w:tcPr>
            <w:tcW w:type="dxa" w:w="2200"/>
            <w:tcMar>
              <w:top w:type="dxa" w:w="70"/>
              <w:left w:type="dxa" w:w="90"/>
              <w:bottom w:type="dxa" w:w="70"/>
              <w:right w:type="dxa" w:w="90"/>
            </w:tcMar>
          </w:tcPr>
          <w:p>
            <w:pPr>
              <w:jc w:val="center"/>
            </w:pPr>
            <w:r>
              <w:rPr>
                <w:b w:val="false"/>
                <w:bCs w:val="false"/>
                <w:color w:val="1A1A1A"/>
                <w:sz w:val="18"/>
                <w:szCs w:val="18"/>
              </w:rPr>
              <w:t xml:space="preserve">$1,077.62</w:t>
            </w:r>
          </w:p>
        </w:tc>
      </w:tr>
      <w:tr>
        <w:tc>
          <w:tcPr>
            <w:tcW w:type="dxa" w:w="2400"/>
            <w:tcMar>
              <w:top w:type="dxa" w:w="70"/>
              <w:left w:type="dxa" w:w="90"/>
              <w:bottom w:type="dxa" w:w="70"/>
              <w:right w:type="dxa" w:w="90"/>
            </w:tcMar>
          </w:tcPr>
          <w:p>
            <w:pPr>
              <w:jc w:val="center"/>
            </w:pPr>
            <w:r>
              <w:rPr>
                <w:b/>
                <w:bCs/>
                <w:color w:val="1A1A1A"/>
                <w:sz w:val="18"/>
                <w:szCs w:val="18"/>
              </w:rPr>
              <w:t xml:space="preserve">Desk</w:t>
            </w:r>
          </w:p>
        </w:tc>
        <w:tc>
          <w:tcPr>
            <w:tcW w:type="dxa" w:w="2000"/>
            <w:tcMar>
              <w:top w:type="dxa" w:w="70"/>
              <w:left w:type="dxa" w:w="90"/>
              <w:bottom w:type="dxa" w:w="70"/>
              <w:right w:type="dxa" w:w="90"/>
            </w:tcMar>
          </w:tcPr>
          <w:p>
            <w:pPr>
              <w:jc w:val="center"/>
            </w:pPr>
            <w:r>
              <w:rPr>
                <w:b w:val="false"/>
                <w:bCs w:val="false"/>
                <w:color w:val="1A1A1A"/>
                <w:sz w:val="18"/>
                <w:szCs w:val="18"/>
              </w:rPr>
              <w:t xml:space="preserve">170</w:t>
            </w:r>
          </w:p>
        </w:tc>
        <w:tc>
          <w:tcPr>
            <w:tcW w:type="dxa" w:w="2600"/>
            <w:tcMar>
              <w:top w:type="dxa" w:w="70"/>
              <w:left w:type="dxa" w:w="90"/>
              <w:bottom w:type="dxa" w:w="70"/>
              <w:right w:type="dxa" w:w="90"/>
            </w:tcMar>
          </w:tcPr>
          <w:p>
            <w:pPr>
              <w:jc w:val="center"/>
            </w:pPr>
            <w:r>
              <w:rPr>
                <w:b w:val="false"/>
                <w:bCs w:val="false"/>
                <w:color w:val="1A1A1A"/>
                <w:sz w:val="18"/>
                <w:szCs w:val="18"/>
              </w:rPr>
              <w:t xml:space="preserve">$167,459.93</w:t>
            </w:r>
          </w:p>
        </w:tc>
        <w:tc>
          <w:tcPr>
            <w:tcW w:type="dxa" w:w="2200"/>
            <w:tcMar>
              <w:top w:type="dxa" w:w="70"/>
              <w:left w:type="dxa" w:w="90"/>
              <w:bottom w:type="dxa" w:w="70"/>
              <w:right w:type="dxa" w:w="90"/>
            </w:tcMar>
          </w:tcPr>
          <w:p>
            <w:pPr>
              <w:jc w:val="center"/>
            </w:pPr>
            <w:r>
              <w:rPr>
                <w:b w:val="false"/>
                <w:bCs w:val="false"/>
                <w:color w:val="1A1A1A"/>
                <w:sz w:val="18"/>
                <w:szCs w:val="18"/>
              </w:rPr>
              <w:t xml:space="preserve">$985.06</w:t>
            </w:r>
          </w:p>
        </w:tc>
      </w:tr>
      <w:tr>
        <w:tc>
          <w:tcPr>
            <w:tcW w:type="dxa" w:w="2400"/>
            <w:tcMar>
              <w:top w:type="dxa" w:w="70"/>
              <w:left w:type="dxa" w:w="90"/>
              <w:bottom w:type="dxa" w:w="70"/>
              <w:right w:type="dxa" w:w="90"/>
            </w:tcMar>
          </w:tcPr>
          <w:p>
            <w:pPr>
              <w:jc w:val="center"/>
            </w:pPr>
            <w:r>
              <w:rPr>
                <w:b/>
                <w:bCs/>
                <w:color w:val="1A1A1A"/>
                <w:sz w:val="18"/>
                <w:szCs w:val="18"/>
              </w:rPr>
              <w:t xml:space="preserve">Phone</w:t>
            </w:r>
          </w:p>
        </w:tc>
        <w:tc>
          <w:tcPr>
            <w:tcW w:type="dxa" w:w="2000"/>
            <w:tcMar>
              <w:top w:type="dxa" w:w="70"/>
              <w:left w:type="dxa" w:w="90"/>
              <w:bottom w:type="dxa" w:w="70"/>
              <w:right w:type="dxa" w:w="90"/>
            </w:tcMar>
          </w:tcPr>
          <w:p>
            <w:pPr>
              <w:jc w:val="center"/>
            </w:pPr>
            <w:r>
              <w:rPr>
                <w:b w:val="false"/>
                <w:bCs w:val="false"/>
                <w:color w:val="1A1A1A"/>
                <w:sz w:val="18"/>
                <w:szCs w:val="18"/>
              </w:rPr>
              <w:t xml:space="preserve">156</w:t>
            </w:r>
          </w:p>
        </w:tc>
        <w:tc>
          <w:tcPr>
            <w:tcW w:type="dxa" w:w="2600"/>
            <w:tcMar>
              <w:top w:type="dxa" w:w="70"/>
              <w:left w:type="dxa" w:w="90"/>
              <w:bottom w:type="dxa" w:w="70"/>
              <w:right w:type="dxa" w:w="90"/>
            </w:tcMar>
          </w:tcPr>
          <w:p>
            <w:pPr>
              <w:jc w:val="center"/>
            </w:pPr>
            <w:r>
              <w:rPr>
                <w:b w:val="false"/>
                <w:bCs w:val="false"/>
                <w:color w:val="1A1A1A"/>
                <w:sz w:val="18"/>
                <w:szCs w:val="18"/>
              </w:rPr>
              <w:t xml:space="preserve">$151,722.39</w:t>
            </w:r>
          </w:p>
        </w:tc>
        <w:tc>
          <w:tcPr>
            <w:tcW w:type="dxa" w:w="2200"/>
            <w:tcMar>
              <w:top w:type="dxa" w:w="70"/>
              <w:left w:type="dxa" w:w="90"/>
              <w:bottom w:type="dxa" w:w="70"/>
              <w:right w:type="dxa" w:w="90"/>
            </w:tcMar>
          </w:tcPr>
          <w:p>
            <w:pPr>
              <w:jc w:val="center"/>
            </w:pPr>
            <w:r>
              <w:rPr>
                <w:b w:val="false"/>
                <w:bCs w:val="false"/>
                <w:color w:val="1A1A1A"/>
                <w:sz w:val="18"/>
                <w:szCs w:val="18"/>
              </w:rPr>
              <w:t xml:space="preserve">$972.58</w:t>
            </w:r>
          </w:p>
        </w:tc>
      </w:tr>
    </w:tbl>
    <w:p>
      <w:pPr>
        <w:spacing w:after="60" w:before="10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19400"/>
                    </a:xfrm>
                    <a:prstGeom prst="rect">
                      <a:avLst/>
                    </a:prstGeom>
                  </pic:spPr>
                </pic:pic>
              </a:graphicData>
            </a:graphic>
          </wp:inline>
        </w:drawing>
      </w:r>
    </w:p>
    <w:p>
      <w:pPr>
        <w:spacing w:after="260"/>
        <w:jc w:val="center"/>
      </w:pPr>
      <w:r>
        <w:rPr>
          <w:i/>
          <w:iCs/>
          <w:color w:val="5C6B73"/>
          <w:sz w:val="18"/>
          <w:szCs w:val="18"/>
        </w:rPr>
        <w:t xml:space="preserve">Figure 1 — Revenue by product, sorted descending. Chairs and Printers are effectively tied for first place.</w:t>
      </w:r>
    </w:p>
    <w:p>
      <w:pPr>
        <w:pStyle w:val="Heading2"/>
        <w:spacing w:after="100" w:before="260"/>
      </w:pPr>
      <w:r>
        <w:rPr>
          <w:b/>
          <w:bCs/>
          <w:color w:val="1A1A1A"/>
          <w:sz w:val="23"/>
          <w:szCs w:val="23"/>
        </w:rPr>
        <w:t xml:space="preserve">5.2 Order Status Breakdown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4F5" w:val="clear"/>
            <w:tcMar>
              <w:top w:type="dxa" w:w="120"/>
              <w:left w:type="dxa" w:w="160"/>
              <w:bottom w:type="dxa" w:w="120"/>
              <w:right w:type="dxa" w:w="160"/>
            </w:tcMar>
          </w:tcPr>
          <w:p>
            <w:pPr>
              <w:spacing w:after="20"/>
            </w:pPr>
            <w:r>
              <w:rPr>
                <w:rFonts w:ascii="Consolas" w:cs="Consolas" w:eastAsia="Consolas" w:hAnsi="Consolas"/>
                <w:color w:val="1B3A4B"/>
                <w:sz w:val="18"/>
                <w:szCs w:val="18"/>
              </w:rPr>
              <w:t xml:space="preserve">SELECT OrderStatus, COUNT(*) AS order_count,</w:t>
            </w:r>
          </w:p>
          <w:p>
            <w:pPr>
              <w:spacing w:after="20"/>
            </w:pPr>
            <w:r>
              <w:rPr>
                <w:rFonts w:ascii="Consolas" w:cs="Consolas" w:eastAsia="Consolas" w:hAnsi="Consolas"/>
                <w:color w:val="1B3A4B"/>
                <w:sz w:val="18"/>
                <w:szCs w:val="18"/>
              </w:rPr>
              <w:t xml:space="preserve">       ROUND(100.0 * COUNT(*) / (SELECT COUNT(*) FROM orders), 1) AS pct_of_all_orders,</w:t>
            </w:r>
          </w:p>
          <w:p>
            <w:pPr>
              <w:spacing w:after="20"/>
            </w:pPr>
            <w:r>
              <w:rPr>
                <w:rFonts w:ascii="Consolas" w:cs="Consolas" w:eastAsia="Consolas" w:hAnsi="Consolas"/>
                <w:color w:val="1B3A4B"/>
                <w:sz w:val="18"/>
                <w:szCs w:val="18"/>
              </w:rPr>
              <w:t xml:space="preserve">       SUM(TotalPrice) AS total_revenue</w:t>
            </w:r>
          </w:p>
          <w:p>
            <w:pPr>
              <w:spacing w:after="20"/>
            </w:pPr>
            <w:r>
              <w:rPr>
                <w:rFonts w:ascii="Consolas" w:cs="Consolas" w:eastAsia="Consolas" w:hAnsi="Consolas"/>
                <w:color w:val="1B3A4B"/>
                <w:sz w:val="18"/>
                <w:szCs w:val="18"/>
              </w:rPr>
              <w:t xml:space="preserve">FROM orders</w:t>
            </w:r>
          </w:p>
          <w:p>
            <w:pPr>
              <w:spacing w:after="20"/>
            </w:pPr>
            <w:r>
              <w:rPr>
                <w:rFonts w:ascii="Consolas" w:cs="Consolas" w:eastAsia="Consolas" w:hAnsi="Consolas"/>
                <w:color w:val="1B3A4B"/>
                <w:sz w:val="18"/>
                <w:szCs w:val="18"/>
              </w:rPr>
              <w:t xml:space="preserve">GROUP BY OrderStatus</w:t>
            </w:r>
          </w:p>
          <w:p>
            <w:pPr>
              <w:spacing w:after="20"/>
            </w:pPr>
            <w:r>
              <w:rPr>
                <w:rFonts w:ascii="Consolas" w:cs="Consolas" w:eastAsia="Consolas" w:hAnsi="Consolas"/>
                <w:color w:val="1B3A4B"/>
                <w:sz w:val="18"/>
                <w:szCs w:val="18"/>
              </w:rPr>
              <w:t xml:space="preserve">ORDER BY order_count DESC;</w:t>
            </w:r>
          </w:p>
        </w:tc>
      </w:tr>
    </w:tbl>
    <w:p>
      <w:pPr>
        <w:spacing w:after="60" w:before="10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819400"/>
                    </a:xfrm>
                    <a:prstGeom prst="rect">
                      <a:avLst/>
                    </a:prstGeom>
                  </pic:spPr>
                </pic:pic>
              </a:graphicData>
            </a:graphic>
          </wp:inline>
        </w:drawing>
      </w:r>
    </w:p>
    <w:p>
      <w:pPr>
        <w:spacing w:after="260"/>
        <w:jc w:val="center"/>
      </w:pPr>
      <w:r>
        <w:rPr>
          <w:i/>
          <w:iCs/>
          <w:color w:val="5C6B73"/>
          <w:sz w:val="18"/>
          <w:szCs w:val="18"/>
        </w:rPr>
        <w:t xml:space="preserve">Figure 2 — Order status distribution. Cancelled (20.8%) and Returned (20.6%) together account for 41.4% of all orders.</w:t>
      </w:r>
    </w:p>
    <w:p>
      <w:pPr>
        <w:pStyle w:val="Heading2"/>
        <w:spacing w:after="100" w:before="260"/>
      </w:pPr>
      <w:r>
        <w:rPr>
          <w:b/>
          <w:bCs/>
          <w:color w:val="1A1A1A"/>
          <w:sz w:val="23"/>
          <w:szCs w:val="23"/>
        </w:rPr>
        <w:t xml:space="preserve">5.3 Monthly Revenue Trend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4F5" w:val="clear"/>
            <w:tcMar>
              <w:top w:type="dxa" w:w="120"/>
              <w:left w:type="dxa" w:w="160"/>
              <w:bottom w:type="dxa" w:w="120"/>
              <w:right w:type="dxa" w:w="160"/>
            </w:tcMar>
          </w:tcPr>
          <w:p>
            <w:pPr>
              <w:spacing w:after="20"/>
            </w:pPr>
            <w:r>
              <w:rPr>
                <w:rFonts w:ascii="Consolas" w:cs="Consolas" w:eastAsia="Consolas" w:hAnsi="Consolas"/>
                <w:color w:val="1B3A4B"/>
                <w:sz w:val="18"/>
                <w:szCs w:val="18"/>
              </w:rPr>
              <w:t xml:space="preserve">SELECT strftime('%Y-%m', Date) AS year_month, COUNT(*) AS order_count,</w:t>
            </w:r>
          </w:p>
          <w:p>
            <w:pPr>
              <w:spacing w:after="20"/>
            </w:pPr>
            <w:r>
              <w:rPr>
                <w:rFonts w:ascii="Consolas" w:cs="Consolas" w:eastAsia="Consolas" w:hAnsi="Consolas"/>
                <w:color w:val="1B3A4B"/>
                <w:sz w:val="18"/>
                <w:szCs w:val="18"/>
              </w:rPr>
              <w:t xml:space="preserve">       SUM(TotalPrice) AS monthly_revenue</w:t>
            </w:r>
          </w:p>
          <w:p>
            <w:pPr>
              <w:spacing w:after="20"/>
            </w:pPr>
            <w:r>
              <w:rPr>
                <w:rFonts w:ascii="Consolas" w:cs="Consolas" w:eastAsia="Consolas" w:hAnsi="Consolas"/>
                <w:color w:val="1B3A4B"/>
                <w:sz w:val="18"/>
                <w:szCs w:val="18"/>
              </w:rPr>
              <w:t xml:space="preserve">FROM orders</w:t>
            </w:r>
          </w:p>
          <w:p>
            <w:pPr>
              <w:spacing w:after="20"/>
            </w:pPr>
            <w:r>
              <w:rPr>
                <w:rFonts w:ascii="Consolas" w:cs="Consolas" w:eastAsia="Consolas" w:hAnsi="Consolas"/>
                <w:color w:val="1B3A4B"/>
                <w:sz w:val="18"/>
                <w:szCs w:val="18"/>
              </w:rPr>
              <w:t xml:space="preserve">GROUP BY year_month</w:t>
            </w:r>
          </w:p>
          <w:p>
            <w:pPr>
              <w:spacing w:after="20"/>
            </w:pPr>
            <w:r>
              <w:rPr>
                <w:rFonts w:ascii="Consolas" w:cs="Consolas" w:eastAsia="Consolas" w:hAnsi="Consolas"/>
                <w:color w:val="1B3A4B"/>
                <w:sz w:val="18"/>
                <w:szCs w:val="18"/>
              </w:rPr>
              <w:t xml:space="preserve">ORDER BY year_month;</w:t>
            </w:r>
          </w:p>
        </w:tc>
      </w:tr>
    </w:tbl>
    <w:p>
      <w:pPr>
        <w:spacing w:after="60" w:before="10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81250"/>
                    </a:xfrm>
                    <a:prstGeom prst="rect">
                      <a:avLst/>
                    </a:prstGeom>
                  </pic:spPr>
                </pic:pic>
              </a:graphicData>
            </a:graphic>
          </wp:inline>
        </w:drawing>
      </w:r>
    </w:p>
    <w:p>
      <w:pPr>
        <w:spacing w:after="260"/>
        <w:jc w:val="center"/>
      </w:pPr>
      <w:r>
        <w:rPr>
          <w:i/>
          <w:iCs/>
          <w:color w:val="5C6B73"/>
          <w:sz w:val="18"/>
          <w:szCs w:val="18"/>
        </w:rPr>
        <w:t xml:space="preserve">Figure 3 — Monthly revenue, Jan 2023–Jun 2025, aggregated with SQLite's strftime() date function.</w:t>
      </w:r>
    </w:p>
    <w:p>
      <w:pPr>
        <w:pStyle w:val="Heading2"/>
        <w:spacing w:after="100" w:before="260"/>
      </w:pPr>
      <w:r>
        <w:rPr>
          <w:b/>
          <w:bCs/>
          <w:color w:val="1A1A1A"/>
          <w:sz w:val="23"/>
          <w:szCs w:val="23"/>
        </w:rPr>
        <w:t xml:space="preserve">5.4 Revenue by Payment Method</w:t>
      </w:r>
    </w:p>
    <w:p>
      <w:pPr>
        <w:spacing w:after="60" w:before="10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19400"/>
                    </a:xfrm>
                    <a:prstGeom prst="rect">
                      <a:avLst/>
                    </a:prstGeom>
                  </pic:spPr>
                </pic:pic>
              </a:graphicData>
            </a:graphic>
          </wp:inline>
        </w:drawing>
      </w:r>
    </w:p>
    <w:p>
      <w:pPr>
        <w:spacing w:after="260"/>
        <w:jc w:val="center"/>
      </w:pPr>
      <w:r>
        <w:rPr>
          <w:i/>
          <w:iCs/>
          <w:color w:val="5C6B73"/>
          <w:sz w:val="18"/>
          <w:szCs w:val="18"/>
        </w:rPr>
        <w:t xml:space="preserve">Figure 4 — Credit Card narrowly leads all payment methods in total revenue.</w:t>
      </w:r>
    </w:p>
    <w:p>
      <w:pPr>
        <w:pStyle w:val="Heading1"/>
        <w:pBdr>
          <w:bottom w:val="single" w:color="2C5F8A" w:sz="8" w:space="4"/>
        </w:pBdr>
        <w:spacing w:after="160" w:before="360"/>
      </w:pPr>
      <w:r>
        <w:rPr>
          <w:b/>
          <w:bCs/>
          <w:color w:val="2C5F8A"/>
          <w:sz w:val="30"/>
          <w:szCs w:val="30"/>
        </w:rPr>
        <w:t xml:space="preserve">6. HAVING: Filtering the Buckets, Not the Rows</w:t>
      </w:r>
    </w:p>
    <w:p>
      <w:pPr>
        <w:spacing w:after="150" w:line="300"/>
      </w:pPr>
      <w:r>
        <w:rPr>
          <w:color w:val="1A1A1A"/>
          <w:sz w:val="21"/>
          <w:szCs w:val="21"/>
        </w:rPr>
        <w:t xml:space="preserve">WHERE filters individual rows before grouping; HAVING filters the grouped result afterward. This distinction is the single most common source of SQL errors for new analysts.</w:t>
      </w:r>
    </w:p>
    <w:p>
      <w:pPr>
        <w:pStyle w:val="Heading2"/>
        <w:spacing w:after="100" w:before="260"/>
      </w:pPr>
      <w:r>
        <w:rPr>
          <w:b/>
          <w:bCs/>
          <w:color w:val="1A1A1A"/>
          <w:sz w:val="23"/>
          <w:szCs w:val="23"/>
        </w:rPr>
        <w:t xml:space="preserve">Products generating over $170,000 in revenue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4F5" w:val="clear"/>
            <w:tcMar>
              <w:top w:type="dxa" w:w="120"/>
              <w:left w:type="dxa" w:w="160"/>
              <w:bottom w:type="dxa" w:w="120"/>
              <w:right w:type="dxa" w:w="160"/>
            </w:tcMar>
          </w:tcPr>
          <w:p>
            <w:pPr>
              <w:spacing w:after="20"/>
            </w:pPr>
            <w:r>
              <w:rPr>
                <w:rFonts w:ascii="Consolas" w:cs="Consolas" w:eastAsia="Consolas" w:hAnsi="Consolas"/>
                <w:color w:val="1B3A4B"/>
                <w:sz w:val="18"/>
                <w:szCs w:val="18"/>
              </w:rPr>
              <w:t xml:space="preserve">SELECT Product, SUM(TotalPrice) AS total_revenue</w:t>
            </w:r>
          </w:p>
          <w:p>
            <w:pPr>
              <w:spacing w:after="20"/>
            </w:pPr>
            <w:r>
              <w:rPr>
                <w:rFonts w:ascii="Consolas" w:cs="Consolas" w:eastAsia="Consolas" w:hAnsi="Consolas"/>
                <w:color w:val="1B3A4B"/>
                <w:sz w:val="18"/>
                <w:szCs w:val="18"/>
              </w:rPr>
              <w:t xml:space="preserve">FROM orders</w:t>
            </w:r>
          </w:p>
          <w:p>
            <w:pPr>
              <w:spacing w:after="20"/>
            </w:pPr>
            <w:r>
              <w:rPr>
                <w:rFonts w:ascii="Consolas" w:cs="Consolas" w:eastAsia="Consolas" w:hAnsi="Consolas"/>
                <w:color w:val="1B3A4B"/>
                <w:sz w:val="18"/>
                <w:szCs w:val="18"/>
              </w:rPr>
              <w:t xml:space="preserve">GROUP BY Product</w:t>
            </w:r>
          </w:p>
          <w:p>
            <w:pPr>
              <w:spacing w:after="20"/>
            </w:pPr>
            <w:r>
              <w:rPr>
                <w:rFonts w:ascii="Consolas" w:cs="Consolas" w:eastAsia="Consolas" w:hAnsi="Consolas"/>
                <w:color w:val="1B3A4B"/>
                <w:sz w:val="18"/>
                <w:szCs w:val="18"/>
              </w:rPr>
              <w:t xml:space="preserve">HAVING SUM(TotalPrice) &gt; 170000</w:t>
            </w:r>
          </w:p>
          <w:p>
            <w:pPr>
              <w:spacing w:after="20"/>
            </w:pPr>
            <w:r>
              <w:rPr>
                <w:rFonts w:ascii="Consolas" w:cs="Consolas" w:eastAsia="Consolas" w:hAnsi="Consolas"/>
                <w:color w:val="1B3A4B"/>
                <w:sz w:val="18"/>
                <w:szCs w:val="18"/>
              </w:rPr>
              <w:t xml:space="preserve">ORDER BY total_revenue DESC;</w:t>
            </w:r>
          </w:p>
        </w:tc>
      </w:tr>
    </w:tbl>
    <w:p>
      <w:pPr>
        <w:spacing w:after="150" w:line="300"/>
      </w:pPr>
      <w:r>
        <w:rPr>
          <w:i/>
          <w:iCs/>
          <w:color w:val="5C6B73"/>
          <w:sz w:val="21"/>
          <w:szCs w:val="21"/>
        </w:rPr>
        <w:t xml:space="preserve">Result: 5 of the 7 products clear this bar — only Desk and Phone fall short.</w:t>
      </w:r>
    </w:p>
    <w:p>
      <w:pPr>
        <w:pStyle w:val="Heading2"/>
        <w:spacing w:after="100" w:before="260"/>
      </w:pPr>
      <w:r>
        <w:rPr>
          <w:b/>
          <w:bCs/>
          <w:color w:val="1A1A1A"/>
          <w:sz w:val="23"/>
          <w:szCs w:val="23"/>
        </w:rPr>
        <w:t xml:space="preserve">High-volume months (more than 45 orders)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4F5" w:val="clear"/>
            <w:tcMar>
              <w:top w:type="dxa" w:w="120"/>
              <w:left w:type="dxa" w:w="160"/>
              <w:bottom w:type="dxa" w:w="120"/>
              <w:right w:type="dxa" w:w="160"/>
            </w:tcMar>
          </w:tcPr>
          <w:p>
            <w:pPr>
              <w:spacing w:after="20"/>
            </w:pPr>
            <w:r>
              <w:rPr>
                <w:rFonts w:ascii="Consolas" w:cs="Consolas" w:eastAsia="Consolas" w:hAnsi="Consolas"/>
                <w:color w:val="1B3A4B"/>
                <w:sz w:val="18"/>
                <w:szCs w:val="18"/>
              </w:rPr>
              <w:t xml:space="preserve">SELECT strftime('%Y-%m', Date) AS year_month, COUNT(*) AS order_count</w:t>
            </w:r>
          </w:p>
          <w:p>
            <w:pPr>
              <w:spacing w:after="20"/>
            </w:pPr>
            <w:r>
              <w:rPr>
                <w:rFonts w:ascii="Consolas" w:cs="Consolas" w:eastAsia="Consolas" w:hAnsi="Consolas"/>
                <w:color w:val="1B3A4B"/>
                <w:sz w:val="18"/>
                <w:szCs w:val="18"/>
              </w:rPr>
              <w:t xml:space="preserve">FROM orders</w:t>
            </w:r>
          </w:p>
          <w:p>
            <w:pPr>
              <w:spacing w:after="20"/>
            </w:pPr>
            <w:r>
              <w:rPr>
                <w:rFonts w:ascii="Consolas" w:cs="Consolas" w:eastAsia="Consolas" w:hAnsi="Consolas"/>
                <w:color w:val="1B3A4B"/>
                <w:sz w:val="18"/>
                <w:szCs w:val="18"/>
              </w:rPr>
              <w:t xml:space="preserve">GROUP BY year_month</w:t>
            </w:r>
          </w:p>
          <w:p>
            <w:pPr>
              <w:spacing w:after="20"/>
            </w:pPr>
            <w:r>
              <w:rPr>
                <w:rFonts w:ascii="Consolas" w:cs="Consolas" w:eastAsia="Consolas" w:hAnsi="Consolas"/>
                <w:color w:val="1B3A4B"/>
                <w:sz w:val="18"/>
                <w:szCs w:val="18"/>
              </w:rPr>
              <w:t xml:space="preserve">HAVING COUNT(*) &gt; 45</w:t>
            </w:r>
          </w:p>
          <w:p>
            <w:pPr>
              <w:spacing w:after="20"/>
            </w:pPr>
            <w:r>
              <w:rPr>
                <w:rFonts w:ascii="Consolas" w:cs="Consolas" w:eastAsia="Consolas" w:hAnsi="Consolas"/>
                <w:color w:val="1B3A4B"/>
                <w:sz w:val="18"/>
                <w:szCs w:val="18"/>
              </w:rPr>
              <w:t xml:space="preserve">ORDER BY order_count DESC;</w:t>
            </w:r>
          </w:p>
        </w:tc>
      </w:tr>
    </w:tbl>
    <w:p>
      <w:pPr>
        <w:spacing w:after="150" w:line="300"/>
      </w:pPr>
      <w:r>
        <w:rPr>
          <w:i/>
          <w:iCs/>
          <w:color w:val="5C6B73"/>
          <w:sz w:val="21"/>
          <w:szCs w:val="21"/>
        </w:rPr>
        <w:t xml:space="preserve">Result: 9 of the 30 months in the dataset qualify as high-volume, led by June 2024 (53 orders).</w:t>
      </w:r>
    </w:p>
    <w:p>
      <w:pPr>
        <w:pStyle w:val="Heading1"/>
        <w:pBdr>
          <w:bottom w:val="single" w:color="2C5F8A" w:sz="8" w:space="4"/>
        </w:pBdr>
        <w:spacing w:after="160" w:before="360"/>
      </w:pPr>
      <w:r>
        <w:rPr>
          <w:b/>
          <w:bCs/>
          <w:color w:val="2C5F8A"/>
          <w:sz w:val="30"/>
          <w:szCs w:val="30"/>
        </w:rPr>
        <w:t xml:space="preserve">7. Advanced Queries: Combining the Toolkit</w:t>
      </w:r>
    </w:p>
    <w:p>
      <w:pPr>
        <w:pStyle w:val="Heading2"/>
        <w:spacing w:after="100" w:before="260"/>
      </w:pPr>
      <w:r>
        <w:rPr>
          <w:b/>
          <w:bCs/>
          <w:color w:val="1A1A1A"/>
          <w:sz w:val="23"/>
          <w:szCs w:val="23"/>
        </w:rPr>
        <w:t xml:space="preserve">7.1 Cancellation/Return Rate by Product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4F5" w:val="clear"/>
            <w:tcMar>
              <w:top w:type="dxa" w:w="120"/>
              <w:left w:type="dxa" w:w="160"/>
              <w:bottom w:type="dxa" w:w="120"/>
              <w:right w:type="dxa" w:w="160"/>
            </w:tcMar>
          </w:tcPr>
          <w:p>
            <w:pPr>
              <w:spacing w:after="20"/>
            </w:pPr>
            <w:r>
              <w:rPr>
                <w:rFonts w:ascii="Consolas" w:cs="Consolas" w:eastAsia="Consolas" w:hAnsi="Consolas"/>
                <w:color w:val="1B3A4B"/>
                <w:sz w:val="18"/>
                <w:szCs w:val="18"/>
              </w:rPr>
              <w:t xml:space="preserve">SELECT Product, COUNT(*) AS total_orders,</w:t>
            </w:r>
          </w:p>
          <w:p>
            <w:pPr>
              <w:spacing w:after="20"/>
            </w:pPr>
            <w:r>
              <w:rPr>
                <w:rFonts w:ascii="Consolas" w:cs="Consolas" w:eastAsia="Consolas" w:hAnsi="Consolas"/>
                <w:color w:val="1B3A4B"/>
                <w:sz w:val="18"/>
                <w:szCs w:val="18"/>
              </w:rPr>
              <w:t xml:space="preserve">       SUM(CASE WHEN OrderStatus IN ('Cancelled','Returned') THEN 1 ELSE 0 END) AS cancelled_or_returned,</w:t>
            </w:r>
          </w:p>
          <w:p>
            <w:pPr>
              <w:spacing w:after="20"/>
            </w:pPr>
            <w:r>
              <w:rPr>
                <w:rFonts w:ascii="Consolas" w:cs="Consolas" w:eastAsia="Consolas" w:hAnsi="Consolas"/>
                <w:color w:val="1B3A4B"/>
                <w:sz w:val="18"/>
                <w:szCs w:val="18"/>
              </w:rPr>
              <w:t xml:space="preserve">       ROUND(100.0 * SUM(CASE WHEN OrderStatus IN ('Cancelled','Returned') THEN 1 ELSE 0 END)</w:t>
            </w:r>
          </w:p>
          <w:p>
            <w:pPr>
              <w:spacing w:after="20"/>
            </w:pPr>
            <w:r>
              <w:rPr>
                <w:rFonts w:ascii="Consolas" w:cs="Consolas" w:eastAsia="Consolas" w:hAnsi="Consolas"/>
                <w:color w:val="1B3A4B"/>
                <w:sz w:val="18"/>
                <w:szCs w:val="18"/>
              </w:rPr>
              <w:t xml:space="preserve">             / COUNT(*), 1) AS pct_cancelled_or_returned</w:t>
            </w:r>
          </w:p>
          <w:p>
            <w:pPr>
              <w:spacing w:after="20"/>
            </w:pPr>
            <w:r>
              <w:rPr>
                <w:rFonts w:ascii="Consolas" w:cs="Consolas" w:eastAsia="Consolas" w:hAnsi="Consolas"/>
                <w:color w:val="1B3A4B"/>
                <w:sz w:val="18"/>
                <w:szCs w:val="18"/>
              </w:rPr>
              <w:t xml:space="preserve">FROM orders</w:t>
            </w:r>
          </w:p>
          <w:p>
            <w:pPr>
              <w:spacing w:after="20"/>
            </w:pPr>
            <w:r>
              <w:rPr>
                <w:rFonts w:ascii="Consolas" w:cs="Consolas" w:eastAsia="Consolas" w:hAnsi="Consolas"/>
                <w:color w:val="1B3A4B"/>
                <w:sz w:val="18"/>
                <w:szCs w:val="18"/>
              </w:rPr>
              <w:t xml:space="preserve">GROUP BY Product</w:t>
            </w:r>
          </w:p>
          <w:p>
            <w:pPr>
              <w:spacing w:after="20"/>
            </w:pPr>
            <w:r>
              <w:rPr>
                <w:rFonts w:ascii="Consolas" w:cs="Consolas" w:eastAsia="Consolas" w:hAnsi="Consolas"/>
                <w:color w:val="1B3A4B"/>
                <w:sz w:val="18"/>
                <w:szCs w:val="18"/>
              </w:rPr>
              <w:t xml:space="preserve">ORDER BY pct_cancelled_or_returned DESC;</w:t>
            </w:r>
          </w:p>
        </w:tc>
      </w:tr>
    </w:tbl>
    <w:p>
      <w:pPr>
        <w:spacing w:after="60" w:before="10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19400"/>
                    </a:xfrm>
                    <a:prstGeom prst="rect">
                      <a:avLst/>
                    </a:prstGeom>
                  </pic:spPr>
                </pic:pic>
              </a:graphicData>
            </a:graphic>
          </wp:inline>
        </w:drawing>
      </w:r>
    </w:p>
    <w:p>
      <w:pPr>
        <w:spacing w:after="260"/>
        <w:jc w:val="center"/>
      </w:pPr>
      <w:r>
        <w:rPr>
          <w:i/>
          <w:iCs/>
          <w:color w:val="5C6B73"/>
          <w:sz w:val="18"/>
          <w:szCs w:val="18"/>
        </w:rPr>
        <w:t xml:space="preserve">Figure 5 — Monitor (43.6%) and Tablet (43.0%) have the highest combined cancellation/return rates; Desk (39.4%) the lowest.</w:t>
      </w:r>
    </w:p>
    <w:p>
      <w:pPr>
        <w:spacing w:after="150" w:line="300"/>
      </w:pPr>
      <w:r>
        <w:rPr>
          <w:color w:val="1A1A1A"/>
          <w:sz w:val="21"/>
          <w:szCs w:val="21"/>
        </w:rPr>
        <w:t xml:space="preserve">Every product sits close to the dataset-wide average of 41.4%, meaning fulfillment problems are systemic — not isolated to one category — and point to a checkout- or shipping-level fix rather than a per-product one.</w:t>
      </w:r>
    </w:p>
    <w:p>
      <w:pPr>
        <w:pStyle w:val="Heading2"/>
        <w:spacing w:after="100" w:before="260"/>
      </w:pPr>
      <w:r>
        <w:rPr>
          <w:b/>
          <w:bCs/>
          <w:color w:val="1A1A1A"/>
          <w:sz w:val="23"/>
          <w:szCs w:val="23"/>
        </w:rPr>
        <w:t xml:space="preserve">7.2 Coupon Revenue Contribution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4F5" w:val="clear"/>
            <w:tcMar>
              <w:top w:type="dxa" w:w="120"/>
              <w:left w:type="dxa" w:w="160"/>
              <w:bottom w:type="dxa" w:w="120"/>
              <w:right w:type="dxa" w:w="160"/>
            </w:tcMar>
          </w:tcPr>
          <w:p>
            <w:pPr>
              <w:spacing w:after="20"/>
            </w:pPr>
            <w:r>
              <w:rPr>
                <w:rFonts w:ascii="Consolas" w:cs="Consolas" w:eastAsia="Consolas" w:hAnsi="Consolas"/>
                <w:color w:val="1B3A4B"/>
                <w:sz w:val="18"/>
                <w:szCs w:val="18"/>
              </w:rPr>
              <w:t xml:space="preserve">SELECT COALESCE(CouponCode, 'No Coupon') AS coupon_code,</w:t>
            </w:r>
          </w:p>
          <w:p>
            <w:pPr>
              <w:spacing w:after="20"/>
            </w:pPr>
            <w:r>
              <w:rPr>
                <w:rFonts w:ascii="Consolas" w:cs="Consolas" w:eastAsia="Consolas" w:hAnsi="Consolas"/>
                <w:color w:val="1B3A4B"/>
                <w:sz w:val="18"/>
                <w:szCs w:val="18"/>
              </w:rPr>
              <w:t xml:space="preserve">       COUNT(*) AS order_count, SUM(TotalPrice) AS total_revenue,</w:t>
            </w:r>
          </w:p>
          <w:p>
            <w:pPr>
              <w:spacing w:after="20"/>
            </w:pPr>
            <w:r>
              <w:rPr>
                <w:rFonts w:ascii="Consolas" w:cs="Consolas" w:eastAsia="Consolas" w:hAnsi="Consolas"/>
                <w:color w:val="1B3A4B"/>
                <w:sz w:val="18"/>
                <w:szCs w:val="18"/>
              </w:rPr>
              <w:t xml:space="preserve">       ROUND(100.0 * SUM(TotalPrice) / (SELECT SUM(TotalPrice) FROM orders), 1) AS pct_of_total_revenue</w:t>
            </w:r>
          </w:p>
          <w:p>
            <w:pPr>
              <w:spacing w:after="20"/>
            </w:pPr>
            <w:r>
              <w:rPr>
                <w:rFonts w:ascii="Consolas" w:cs="Consolas" w:eastAsia="Consolas" w:hAnsi="Consolas"/>
                <w:color w:val="1B3A4B"/>
                <w:sz w:val="18"/>
                <w:szCs w:val="18"/>
              </w:rPr>
              <w:t xml:space="preserve">FROM orders</w:t>
            </w:r>
          </w:p>
          <w:p>
            <w:pPr>
              <w:spacing w:after="20"/>
            </w:pPr>
            <w:r>
              <w:rPr>
                <w:rFonts w:ascii="Consolas" w:cs="Consolas" w:eastAsia="Consolas" w:hAnsi="Consolas"/>
                <w:color w:val="1B3A4B"/>
                <w:sz w:val="18"/>
                <w:szCs w:val="18"/>
              </w:rPr>
              <w:t xml:space="preserve">GROUP BY coupon_code</w:t>
            </w:r>
          </w:p>
          <w:p>
            <w:pPr>
              <w:spacing w:after="20"/>
            </w:pPr>
            <w:r>
              <w:rPr>
                <w:rFonts w:ascii="Consolas" w:cs="Consolas" w:eastAsia="Consolas" w:hAnsi="Consolas"/>
                <w:color w:val="1B3A4B"/>
                <w:sz w:val="18"/>
                <w:szCs w:val="18"/>
              </w:rPr>
              <w:t xml:space="preserve">ORDER BY total_revenue DESC;</w:t>
            </w:r>
          </w:p>
        </w:tc>
      </w:tr>
    </w:tbl>
    <w:p>
      <w:pPr>
        <w:spacing w:after="60" w:before="10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819400"/>
                    </a:xfrm>
                    <a:prstGeom prst="rect">
                      <a:avLst/>
                    </a:prstGeom>
                  </pic:spPr>
                </pic:pic>
              </a:graphicData>
            </a:graphic>
          </wp:inline>
        </w:drawing>
      </w:r>
    </w:p>
    <w:p>
      <w:pPr>
        <w:spacing w:after="260"/>
        <w:jc w:val="center"/>
      </w:pPr>
      <w:r>
        <w:rPr>
          <w:i/>
          <w:iCs/>
          <w:color w:val="5C6B73"/>
          <w:sz w:val="18"/>
          <w:szCs w:val="18"/>
        </w:rPr>
        <w:t xml:space="preserve">Figure 6 — FREESHIP drives the largest share of coupon-linked revenue (26.5%); orders with no coupon still make up 25.5%.</w:t>
      </w:r>
    </w:p>
    <w:p>
      <w:pPr>
        <w:pStyle w:val="Heading2"/>
        <w:spacing w:after="100" w:before="260"/>
      </w:pPr>
      <w:r>
        <w:rPr>
          <w:b/>
          <w:bCs/>
          <w:color w:val="1A1A1A"/>
          <w:sz w:val="23"/>
          <w:szCs w:val="23"/>
        </w:rPr>
        <w:t xml:space="preserve">7.3 Top 10 Customers by Total Spend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2F4F5" w:val="clear"/>
            <w:tcMar>
              <w:top w:type="dxa" w:w="120"/>
              <w:left w:type="dxa" w:w="160"/>
              <w:bottom w:type="dxa" w:w="120"/>
              <w:right w:type="dxa" w:w="160"/>
            </w:tcMar>
          </w:tcPr>
          <w:p>
            <w:pPr>
              <w:spacing w:after="20"/>
            </w:pPr>
            <w:r>
              <w:rPr>
                <w:rFonts w:ascii="Consolas" w:cs="Consolas" w:eastAsia="Consolas" w:hAnsi="Consolas"/>
                <w:color w:val="1B3A4B"/>
                <w:sz w:val="18"/>
                <w:szCs w:val="18"/>
              </w:rPr>
              <w:t xml:space="preserve">SELECT CustomerID, COUNT(*) AS order_count, SUM(TotalPrice) AS total_spend,</w:t>
            </w:r>
          </w:p>
          <w:p>
            <w:pPr>
              <w:spacing w:after="20"/>
            </w:pPr>
            <w:r>
              <w:rPr>
                <w:rFonts w:ascii="Consolas" w:cs="Consolas" w:eastAsia="Consolas" w:hAnsi="Consolas"/>
                <w:color w:val="1B3A4B"/>
                <w:sz w:val="18"/>
                <w:szCs w:val="18"/>
              </w:rPr>
              <w:t xml:space="preserve">       ROUND(AVG(TotalPrice), 2) AS avg_order_value</w:t>
            </w:r>
          </w:p>
          <w:p>
            <w:pPr>
              <w:spacing w:after="20"/>
            </w:pPr>
            <w:r>
              <w:rPr>
                <w:rFonts w:ascii="Consolas" w:cs="Consolas" w:eastAsia="Consolas" w:hAnsi="Consolas"/>
                <w:color w:val="1B3A4B"/>
                <w:sz w:val="18"/>
                <w:szCs w:val="18"/>
              </w:rPr>
              <w:t xml:space="preserve">FROM orders</w:t>
            </w:r>
          </w:p>
          <w:p>
            <w:pPr>
              <w:spacing w:after="20"/>
            </w:pPr>
            <w:r>
              <w:rPr>
                <w:rFonts w:ascii="Consolas" w:cs="Consolas" w:eastAsia="Consolas" w:hAnsi="Consolas"/>
                <w:color w:val="1B3A4B"/>
                <w:sz w:val="18"/>
                <w:szCs w:val="18"/>
              </w:rPr>
              <w:t xml:space="preserve">GROUP BY CustomerID</w:t>
            </w:r>
          </w:p>
          <w:p>
            <w:pPr>
              <w:spacing w:after="20"/>
            </w:pPr>
            <w:r>
              <w:rPr>
                <w:rFonts w:ascii="Consolas" w:cs="Consolas" w:eastAsia="Consolas" w:hAnsi="Consolas"/>
                <w:color w:val="1B3A4B"/>
                <w:sz w:val="18"/>
                <w:szCs w:val="18"/>
              </w:rPr>
              <w:t xml:space="preserve">HAVING COUNT(*) &gt; 1</w:t>
            </w:r>
          </w:p>
          <w:p>
            <w:pPr>
              <w:spacing w:after="20"/>
            </w:pPr>
            <w:r>
              <w:rPr>
                <w:rFonts w:ascii="Consolas" w:cs="Consolas" w:eastAsia="Consolas" w:hAnsi="Consolas"/>
                <w:color w:val="1B3A4B"/>
                <w:sz w:val="18"/>
                <w:szCs w:val="18"/>
              </w:rPr>
              <w:t xml:space="preserve">ORDER BY total_spend DESC</w:t>
            </w:r>
          </w:p>
          <w:p>
            <w:pPr>
              <w:spacing w:after="20"/>
            </w:pPr>
            <w:r>
              <w:rPr>
                <w:rFonts w:ascii="Consolas" w:cs="Consolas" w:eastAsia="Consolas" w:hAnsi="Consolas"/>
                <w:color w:val="1B3A4B"/>
                <w:sz w:val="18"/>
                <w:szCs w:val="18"/>
              </w:rPr>
              <w:t xml:space="preserve">LIMIT 10;</w:t>
            </w:r>
          </w:p>
        </w:tc>
      </w:tr>
    </w:tbl>
    <w:p>
      <w:pPr>
        <w:spacing w:after="150" w:line="300"/>
      </w:pPr>
      <w:r>
        <w:rPr>
          <w:color w:val="1A1A1A"/>
          <w:sz w:val="21"/>
          <w:szCs w:val="21"/>
        </w:rPr>
        <w:t xml:space="preserve">Only a handful of customers place more than one order in this dataset — the top repeat customer (C38840) has spent $5,723.23 across 2 orders, an average of $2,861.61 per order, roughly 2.7x the database-wide average.</w:t>
      </w:r>
    </w:p>
    <w:p>
      <w:pPr>
        <w:pStyle w:val="Heading1"/>
        <w:pBdr>
          <w:bottom w:val="single" w:color="2C5F8A" w:sz="8" w:space="4"/>
        </w:pBdr>
        <w:spacing w:after="160" w:before="360"/>
      </w:pPr>
      <w:r>
        <w:rPr>
          <w:b/>
          <w:bCs/>
          <w:color w:val="2C5F8A"/>
          <w:sz w:val="30"/>
          <w:szCs w:val="30"/>
        </w:rPr>
        <w:t xml:space="preserve">8. Synthesizing the Case: The "So What?" Test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100"/>
      </w:tblGrid>
      <w:tr>
        <w:tc>
          <w:tcPr>
            <w:tcW w:type="dxa" w:w="2900"/>
            <w:shd w:fill="1B3A4B" w:val="clear"/>
            <w:tcMar>
              <w:top w:type="dxa" w:w="70"/>
              <w:left w:type="dxa" w:w="90"/>
              <w:bottom w:type="dxa" w:w="70"/>
              <w:right w:type="dxa" w:w="90"/>
            </w:tcMar>
          </w:tcPr>
          <w:p>
            <w:pPr>
              <w:jc w:val="center"/>
            </w:pPr>
            <w:r>
              <w:rPr>
                <w:b/>
                <w:bCs/>
                <w:color w:val="FFFFFF"/>
                <w:sz w:val="18"/>
                <w:szCs w:val="18"/>
              </w:rPr>
              <w:t xml:space="preserve">What the Query Shows</w:t>
            </w:r>
          </w:p>
        </w:tc>
        <w:tc>
          <w:tcPr>
            <w:tcW w:type="dxa" w:w="3200"/>
            <w:shd w:fill="1B3A4B" w:val="clear"/>
            <w:tcMar>
              <w:top w:type="dxa" w:w="70"/>
              <w:left w:type="dxa" w:w="90"/>
              <w:bottom w:type="dxa" w:w="70"/>
              <w:right w:type="dxa" w:w="90"/>
            </w:tcMar>
          </w:tcPr>
          <w:p>
            <w:pPr>
              <w:jc w:val="center"/>
            </w:pPr>
            <w:r>
              <w:rPr>
                <w:b/>
                <w:bCs/>
                <w:color w:val="FFFFFF"/>
                <w:sz w:val="18"/>
                <w:szCs w:val="18"/>
              </w:rPr>
              <w:t xml:space="preserve">The Business Diagnosis</w:t>
            </w:r>
          </w:p>
        </w:tc>
        <w:tc>
          <w:tcPr>
            <w:tcW w:type="dxa" w:w="3100"/>
            <w:shd w:fill="1B3A4B" w:val="clear"/>
            <w:tcMar>
              <w:top w:type="dxa" w:w="70"/>
              <w:left w:type="dxa" w:w="90"/>
              <w:bottom w:type="dxa" w:w="70"/>
              <w:right w:type="dxa" w:w="90"/>
            </w:tcMar>
          </w:tcPr>
          <w:p>
            <w:pPr>
              <w:jc w:val="center"/>
            </w:pPr>
            <w:r>
              <w:rPr>
                <w:b/>
                <w:bCs/>
                <w:color w:val="FFFFFF"/>
                <w:sz w:val="18"/>
                <w:szCs w:val="18"/>
              </w:rPr>
              <w:t xml:space="preserve">Recommendation</w:t>
            </w:r>
          </w:p>
        </w:tc>
      </w:tr>
      <w:tr>
        <w:tc>
          <w:tcPr>
            <w:tcW w:type="dxa" w:w="2900"/>
            <w:tcMar>
              <w:top w:type="dxa" w:w="70"/>
              <w:left w:type="dxa" w:w="90"/>
              <w:bottom w:type="dxa" w:w="70"/>
              <w:right w:type="dxa" w:w="90"/>
            </w:tcMar>
          </w:tcPr>
          <w:p>
            <w:pPr>
              <w:jc w:val="center"/>
            </w:pPr>
            <w:r>
              <w:rPr>
                <w:b/>
                <w:bCs/>
                <w:color w:val="1A1A1A"/>
                <w:sz w:val="18"/>
                <w:szCs w:val="18"/>
              </w:rPr>
              <w:t xml:space="preserve">41.4% of orders are Cancelled or Returned, evenly spread across all 7 products</w:t>
            </w:r>
          </w:p>
        </w:tc>
        <w:tc>
          <w:tcPr>
            <w:tcW w:type="dxa" w:w="3200"/>
            <w:tcMar>
              <w:top w:type="dxa" w:w="70"/>
              <w:left w:type="dxa" w:w="90"/>
              <w:bottom w:type="dxa" w:w="70"/>
              <w:right w:type="dxa" w:w="90"/>
            </w:tcMar>
          </w:tcPr>
          <w:p>
            <w:pPr>
              <w:jc w:val="center"/>
            </w:pPr>
            <w:r>
              <w:rPr>
                <w:b w:val="false"/>
                <w:bCs w:val="false"/>
                <w:color w:val="1A1A1A"/>
                <w:sz w:val="18"/>
                <w:szCs w:val="18"/>
              </w:rPr>
              <w:t xml:space="preserve">This is a systemic checkout/fulfillment issue, not a product-specific one</w:t>
            </w:r>
          </w:p>
        </w:tc>
        <w:tc>
          <w:tcPr>
            <w:tcW w:type="dxa" w:w="3100"/>
            <w:tcMar>
              <w:top w:type="dxa" w:w="70"/>
              <w:left w:type="dxa" w:w="90"/>
              <w:bottom w:type="dxa" w:w="70"/>
              <w:right w:type="dxa" w:w="90"/>
            </w:tcMar>
          </w:tcPr>
          <w:p>
            <w:pPr>
              <w:jc w:val="center"/>
            </w:pPr>
            <w:r>
              <w:rPr>
                <w:b w:val="false"/>
                <w:bCs w:val="false"/>
                <w:color w:val="1A1A1A"/>
                <w:sz w:val="18"/>
                <w:szCs w:val="18"/>
              </w:rPr>
              <w:t xml:space="preserve">Investigate checkout flow and shipping partners before optimizing any single product line</w:t>
            </w:r>
          </w:p>
        </w:tc>
      </w:tr>
      <w:tr>
        <w:tc>
          <w:tcPr>
            <w:tcW w:type="dxa" w:w="2900"/>
            <w:tcMar>
              <w:top w:type="dxa" w:w="70"/>
              <w:left w:type="dxa" w:w="90"/>
              <w:bottom w:type="dxa" w:w="70"/>
              <w:right w:type="dxa" w:w="90"/>
            </w:tcMar>
          </w:tcPr>
          <w:p>
            <w:pPr>
              <w:jc w:val="center"/>
            </w:pPr>
            <w:r>
              <w:rPr>
                <w:b/>
                <w:bCs/>
                <w:color w:val="1A1A1A"/>
                <w:sz w:val="18"/>
                <w:szCs w:val="18"/>
              </w:rPr>
              <w:t xml:space="preserve">Chair and Printer are statistically tied for #1 revenue ($195.6K each)</w:t>
            </w:r>
          </w:p>
        </w:tc>
        <w:tc>
          <w:tcPr>
            <w:tcW w:type="dxa" w:w="3200"/>
            <w:tcMar>
              <w:top w:type="dxa" w:w="70"/>
              <w:left w:type="dxa" w:w="90"/>
              <w:bottom w:type="dxa" w:w="70"/>
              <w:right w:type="dxa" w:w="90"/>
            </w:tcMar>
          </w:tcPr>
          <w:p>
            <w:pPr>
              <w:jc w:val="center"/>
            </w:pPr>
            <w:r>
              <w:rPr>
                <w:b w:val="false"/>
                <w:bCs w:val="false"/>
                <w:color w:val="1A1A1A"/>
                <w:sz w:val="18"/>
                <w:szCs w:val="18"/>
              </w:rPr>
              <w:t xml:space="preserve">No single product dominates — the catalog is well-balanced</w:t>
            </w:r>
          </w:p>
        </w:tc>
        <w:tc>
          <w:tcPr>
            <w:tcW w:type="dxa" w:w="3100"/>
            <w:tcMar>
              <w:top w:type="dxa" w:w="70"/>
              <w:left w:type="dxa" w:w="90"/>
              <w:bottom w:type="dxa" w:w="70"/>
              <w:right w:type="dxa" w:w="90"/>
            </w:tcMar>
          </w:tcPr>
          <w:p>
            <w:pPr>
              <w:jc w:val="center"/>
            </w:pPr>
            <w:r>
              <w:rPr>
                <w:b w:val="false"/>
                <w:bCs w:val="false"/>
                <w:color w:val="1A1A1A"/>
                <w:sz w:val="18"/>
                <w:szCs w:val="18"/>
              </w:rPr>
              <w:t xml:space="preserve">Marketing spend can be split evenly across top performers rather than over-indexing on one SKU</w:t>
            </w:r>
          </w:p>
        </w:tc>
      </w:tr>
      <w:tr>
        <w:tc>
          <w:tcPr>
            <w:tcW w:type="dxa" w:w="2900"/>
            <w:tcMar>
              <w:top w:type="dxa" w:w="70"/>
              <w:left w:type="dxa" w:w="90"/>
              <w:bottom w:type="dxa" w:w="70"/>
              <w:right w:type="dxa" w:w="90"/>
            </w:tcMar>
          </w:tcPr>
          <w:p>
            <w:pPr>
              <w:jc w:val="center"/>
            </w:pPr>
            <w:r>
              <w:rPr>
                <w:b/>
                <w:bCs/>
                <w:color w:val="1A1A1A"/>
                <w:sz w:val="18"/>
                <w:szCs w:val="18"/>
              </w:rPr>
              <w:t xml:space="preserve">Credit Card narrowly leads Online as the top payment method by revenue</w:t>
            </w:r>
          </w:p>
        </w:tc>
        <w:tc>
          <w:tcPr>
            <w:tcW w:type="dxa" w:w="3200"/>
            <w:tcMar>
              <w:top w:type="dxa" w:w="70"/>
              <w:left w:type="dxa" w:w="90"/>
              <w:bottom w:type="dxa" w:w="70"/>
              <w:right w:type="dxa" w:w="90"/>
            </w:tcMar>
          </w:tcPr>
          <w:p>
            <w:pPr>
              <w:jc w:val="center"/>
            </w:pPr>
            <w:r>
              <w:rPr>
                <w:b w:val="false"/>
                <w:bCs w:val="false"/>
                <w:color w:val="1A1A1A"/>
                <w:sz w:val="18"/>
                <w:szCs w:val="18"/>
              </w:rPr>
              <w:t xml:space="preserve">Payment preference is evenly distributed, not concentrated in one channel</w:t>
            </w:r>
          </w:p>
        </w:tc>
        <w:tc>
          <w:tcPr>
            <w:tcW w:type="dxa" w:w="3100"/>
            <w:tcMar>
              <w:top w:type="dxa" w:w="70"/>
              <w:left w:type="dxa" w:w="90"/>
              <w:bottom w:type="dxa" w:w="70"/>
              <w:right w:type="dxa" w:w="90"/>
            </w:tcMar>
          </w:tcPr>
          <w:p>
            <w:pPr>
              <w:jc w:val="center"/>
            </w:pPr>
            <w:r>
              <w:rPr>
                <w:b w:val="false"/>
                <w:bCs w:val="false"/>
                <w:color w:val="1A1A1A"/>
                <w:sz w:val="18"/>
                <w:szCs w:val="18"/>
              </w:rPr>
              <w:t xml:space="preserve">No urgent need to consolidate payment processing around a single method</w:t>
            </w:r>
          </w:p>
        </w:tc>
      </w:tr>
      <w:tr>
        <w:tc>
          <w:tcPr>
            <w:tcW w:type="dxa" w:w="2900"/>
            <w:tcMar>
              <w:top w:type="dxa" w:w="70"/>
              <w:left w:type="dxa" w:w="90"/>
              <w:bottom w:type="dxa" w:w="70"/>
              <w:right w:type="dxa" w:w="90"/>
            </w:tcMar>
          </w:tcPr>
          <w:p>
            <w:pPr>
              <w:jc w:val="center"/>
            </w:pPr>
            <w:r>
              <w:rPr>
                <w:b/>
                <w:bCs/>
                <w:color w:val="1A1A1A"/>
                <w:sz w:val="18"/>
                <w:szCs w:val="18"/>
              </w:rPr>
              <w:t xml:space="preserve">Coupon usage does not concentrate revenue in one code (24–27% each)</w:t>
            </w:r>
          </w:p>
        </w:tc>
        <w:tc>
          <w:tcPr>
            <w:tcW w:type="dxa" w:w="3200"/>
            <w:tcMar>
              <w:top w:type="dxa" w:w="70"/>
              <w:left w:type="dxa" w:w="90"/>
              <w:bottom w:type="dxa" w:w="70"/>
              <w:right w:type="dxa" w:w="90"/>
            </w:tcMar>
          </w:tcPr>
          <w:p>
            <w:pPr>
              <w:jc w:val="center"/>
            </w:pPr>
            <w:r>
              <w:rPr>
                <w:b w:val="false"/>
                <w:bCs w:val="false"/>
                <w:color w:val="1A1A1A"/>
                <w:sz w:val="18"/>
                <w:szCs w:val="18"/>
              </w:rPr>
              <w:t xml:space="preserve">All three coupon programs perform similarly</w:t>
            </w:r>
          </w:p>
        </w:tc>
        <w:tc>
          <w:tcPr>
            <w:tcW w:type="dxa" w:w="3100"/>
            <w:tcMar>
              <w:top w:type="dxa" w:w="70"/>
              <w:left w:type="dxa" w:w="90"/>
              <w:bottom w:type="dxa" w:w="70"/>
              <w:right w:type="dxa" w:w="90"/>
            </w:tcMar>
          </w:tcPr>
          <w:p>
            <w:pPr>
              <w:jc w:val="center"/>
            </w:pPr>
            <w:r>
              <w:rPr>
                <w:b w:val="false"/>
                <w:bCs w:val="false"/>
                <w:color w:val="1A1A1A"/>
                <w:sz w:val="18"/>
                <w:szCs w:val="18"/>
              </w:rPr>
              <w:t xml:space="preserve">A/B test removing one lower-performing code (WINTER15, 23.9%) to measure true incremental lift</w:t>
            </w:r>
          </w:p>
        </w:tc>
      </w:tr>
    </w:tbl>
    <w:p>
      <w:pPr>
        <w:pStyle w:val="Heading1"/>
        <w:pBdr>
          <w:bottom w:val="single" w:color="2C5F8A" w:sz="8" w:space="4"/>
        </w:pBdr>
        <w:spacing w:after="160" w:before="360"/>
      </w:pPr>
      <w:r>
        <w:rPr>
          <w:b/>
          <w:bCs/>
          <w:color w:val="2C5F8A"/>
          <w:sz w:val="30"/>
          <w:szCs w:val="30"/>
        </w:rPr>
        <w:t xml:space="preserve">9. Executive Summary &amp; Recommendations</w:t>
      </w:r>
    </w:p>
    <w:p>
      <w:pPr>
        <w:pStyle w:val="ListParagraph"/>
        <w:numPr>
          <w:ilvl w:val="0"/>
          <w:numId w:val="1"/>
        </w:numPr>
        <w:spacing w:after="80" w:line="280"/>
      </w:pPr>
      <w:r>
        <w:rPr>
          <w:color w:val="1A1A1A"/>
          <w:sz w:val="21"/>
          <w:szCs w:val="21"/>
        </w:rPr>
        <w:t xml:space="preserve">All 39 queries executed against the live database with zero syntax or execution errors — the analysis is fully reproducible via run_queries.py.</w:t>
      </w:r>
    </w:p>
    <w:p>
      <w:pPr>
        <w:pStyle w:val="ListParagraph"/>
        <w:numPr>
          <w:ilvl w:val="0"/>
          <w:numId w:val="1"/>
        </w:numPr>
        <w:spacing w:after="80" w:line="280"/>
      </w:pPr>
      <w:r>
        <w:rPr>
          <w:color w:val="1A1A1A"/>
          <w:sz w:val="21"/>
          <w:szCs w:val="21"/>
        </w:rPr>
        <w:t xml:space="preserve">Cancellation/return risk (41.4% of orders) is systemic across every product category and should be the top investigative priority.</w:t>
      </w:r>
    </w:p>
    <w:p>
      <w:pPr>
        <w:pStyle w:val="ListParagraph"/>
        <w:numPr>
          <w:ilvl w:val="0"/>
          <w:numId w:val="1"/>
        </w:numPr>
        <w:spacing w:after="80" w:line="280"/>
      </w:pPr>
      <w:r>
        <w:rPr>
          <w:color w:val="1A1A1A"/>
          <w:sz w:val="21"/>
          <w:szCs w:val="21"/>
        </w:rPr>
        <w:t xml:space="preserve">Chair and Printer are the leading revenue drivers; Phone is the laggard, consistent with the Project 2 EDA findings on this same dataset.</w:t>
      </w:r>
    </w:p>
    <w:p>
      <w:pPr>
        <w:pStyle w:val="ListParagraph"/>
        <w:numPr>
          <w:ilvl w:val="0"/>
          <w:numId w:val="1"/>
        </w:numPr>
        <w:spacing w:after="80" w:line="280"/>
      </w:pPr>
      <w:r>
        <w:rPr>
          <w:color w:val="1A1A1A"/>
          <w:sz w:val="21"/>
          <w:szCs w:val="21"/>
        </w:rPr>
        <w:t xml:space="preserve">Coupon codes and payment methods are both evenly distributed — no single lever is currently over- or under-used.</w:t>
      </w:r>
    </w:p>
    <w:p>
      <w:pPr>
        <w:pStyle w:val="ListParagraph"/>
        <w:numPr>
          <w:ilvl w:val="0"/>
          <w:numId w:val="1"/>
        </w:numPr>
        <w:spacing w:after="80" w:line="280"/>
      </w:pPr>
      <w:r>
        <w:rPr>
          <w:color w:val="1A1A1A"/>
          <w:sz w:val="21"/>
          <w:szCs w:val="21"/>
        </w:rPr>
        <w:t xml:space="preserve">SQL's execution order (FROM → WHERE → GROUP BY → HAVING → SELECT → ORDER BY) was respected throughout; every HAVING clause filters aggregates, never raw rows, avoiding the common 'alias trap.'</w:t>
      </w:r>
    </w:p>
    <w:p>
      <w:pPr>
        <w:spacing w:after="150" w:line="300"/>
      </w:pPr>
      <w:r>
        <w:rPr>
          <w:i/>
          <w:iCs/>
          <w:color w:val="5C6B73"/>
          <w:sz w:val="21"/>
          <w:szCs w:val="21"/>
        </w:rPr>
        <w:t xml:space="preserve">SQL is a declarative lens: you describe the answer you want, and the engine's query planner figures out how to get there. Mastering WHERE, GROUP BY, and HAVING is what separates someone who can type syntax from someone who can interrogate a database for real business truth.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9a7a31b46b65b9089b6ea7ca1ff6c2fe4205b3.png"/><Relationship Id="rId8" Type="http://schemas.openxmlformats.org/officeDocument/2006/relationships/image" Target="media/ef224a6b51fe0d9afcfce05de8dca3914fe311ca.png"/><Relationship Id="rId9" Type="http://schemas.openxmlformats.org/officeDocument/2006/relationships/image" Target="media/3a837985c581e8dc29e1c7ddee675ced66560bc7.png"/><Relationship Id="rId10" Type="http://schemas.openxmlformats.org/officeDocument/2006/relationships/image" Target="media/70919491f216d777b9ba2e07bae1c374b5bd618d.png"/><Relationship Id="rId11" Type="http://schemas.openxmlformats.org/officeDocument/2006/relationships/image" Target="media/744a23102a191ec635fee3364645847b2ea3b9c1.png"/><Relationship Id="rId12" Type="http://schemas.openxmlformats.org/officeDocument/2006/relationships/image" Target="media/60abd1303c958b3b8a63eb569e9f7cdb490c79a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2026-07-14T19:23:49.178Z</dcterms:created>
  <dcterms:modified xsi:type="dcterms:W3CDTF">2026-07-14T19:23:49.187Z</dcterms:modified>
</cp:coreProperties>
</file>

<file path=docProps/custom.xml><?xml version="1.0" encoding="utf-8"?>
<Properties xmlns="http://schemas.openxmlformats.org/officeDocument/2006/custom-properties" xmlns:vt="http://schemas.openxmlformats.org/officeDocument/2006/docPropsVTypes"/>
</file>