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2  |  31 August to 6 September 2026  |  ISU XR LAB</w:t>
      </w:r>
    </w:p>
    <w:p>
      <w:pPr>
        <w:pStyle w:val="Heading1"/>
      </w:pPr>
      <w:r>
        <w:t>Python and OpenCR controller with Cartesian teach and replay</w:t>
      </w:r>
    </w:p>
    <w:p>
      <w:r>
        <w:t>The initial controller linked a Python desktop interface to OpenCR and DYNAMIXEL motors 11–14. Work dated 1–2 September added serial commands, kinematics, joint constraints, and a teaching workflow that could record joint state while replaying Cartesian positions.</w:t>
      </w:r>
    </w:p>
    <w:p>
      <w:pPr>
        <w:pStyle w:val="Heading1"/>
      </w:pPr>
      <w:r>
        <w:t>Work completed and evidence</w:t>
      </w:r>
    </w:p>
    <w:p>
      <w:pPr>
        <w:pStyle w:val="Heading2"/>
      </w:pPr>
      <w:r>
        <w:t>System split</w:t>
      </w:r>
    </w:p>
    <w:p>
      <w:r>
        <w:t>Python handled the GUI, calibration, FK and IK, input checking, and FK after IK validation. OpenCR handled DYNAMIXEL communication, torque, one shot motor reads, slow interpolation, and HOME. The initial README explicitly says the firmware did not contain FK/IK.</w:t>
      </w:r>
    </w:p>
    <w:p>
      <w:pPr>
        <w:pStyle w:val="Heading2"/>
      </w:pPr>
      <w:r>
        <w:t>Cartesian recording and replay</w:t>
      </w:r>
    </w:p>
    <w:p>
      <w:r>
        <w:t>Teaching produced a full workbook containing angle and XYZ information and a separate XYZ only workbook. Replay was designed to load trajectory_xyz.xlsx, recalculate IK for each Cartesian point, validate the result, and then command motion. This avoided treating recorded angles as a universal solution for a changed pose or configuration.</w:t>
      </w:r>
    </w:p>
    <w:p>
      <w:pPr>
        <w:pStyle w:val="Heading2"/>
      </w:pPr>
      <w:r>
        <w:t>Reference poses and safety</w:t>
      </w:r>
    </w:p>
    <w:p>
      <w:r>
        <w:t>The initial configuration distinguished the ID14 physical zero at 0 degrees from a user HOME with ID14 at 90 degrees. Torque and motion rejection paths included invalid angles, bus errors, and timeouts. These were software and protocol safeguards, not an independently certified physical workspace.</w:t>
      </w:r>
    </w:p>
    <w:p>
      <w:pPr>
        <w:pStyle w:val="Heading2"/>
      </w:pPr>
      <w:r>
        <w:t>Verification and issue</w:t>
      </w:r>
    </w:p>
    <w:p>
      <w:r>
        <w:t>The initial README records local Python kinematics checks, including a HOME FK of X 143.523, Y 0.000, Z 208.985 mm and a HOME IK round trip of 0.000000 mm in the model. An ID12 TARGET_NOT_REACHED observation still called for motor, load, and settling diagnosis. The source checks did not establish the initial firmware upload.</w:t>
      </w:r>
    </w:p>
    <w:p>
      <w:pPr>
        <w:pStyle w:val="Heading1"/>
      </w:pPr>
      <w:r>
        <w:t>Weekly outcome</w:t>
      </w:r>
    </w:p>
    <w:p>
      <w:r>
        <w:t>The first usable software architecture and teach/replay design were documented. Offline model consistency was demonstrated; physical tracking and board deployment remained open.</w:t>
      </w:r>
    </w:p>
    <w:p>
      <w:pPr>
        <w:pStyle w:val="Heading1"/>
      </w:pPr>
      <w:r>
        <w:t>Next verification step</w:t>
      </w:r>
    </w:p>
    <w:p>
      <w:r>
        <w:t>Measure motor behavior and verify the OpenCR build and upload before relying on physical replay.</w:t>
      </w:r>
    </w:p>
    <w:p>
      <w:pPr>
        <w:pStyle w:val="Heading1"/>
      </w:pPr>
      <w:r>
        <w:t>Source record</w:t>
      </w:r>
    </w:p>
    <w:p>
      <w:r>
        <w:t>Primary timeline: docs/OPENMANIPULATOR_PROJECT_REPORT_2026-10-04.md. Local records checked for this week:</w:t>
      </w:r>
    </w:p>
    <w:p>
      <w:pPr>
        <w:pStyle w:val="ListBullet"/>
      </w:pPr>
      <w:r>
        <w:t>openmanipulator_project/README.md, architecture, calibration, and test sections</w:t>
      </w:r>
    </w:p>
    <w:p>
      <w:pPr>
        <w:pStyle w:val="ListBullet"/>
      </w:pPr>
      <w:r>
        <w:t>openmanipulator_project/docs/superpowers/plans/2026-09-01-cartesian-teach-replay.md</w:t>
      </w:r>
    </w:p>
    <w:p>
      <w:pPr>
        <w:pStyle w:val="ListBullet"/>
      </w:pPr>
      <w:r>
        <w:t>docs/OPENMANIPULATOR_PROJECT_REPORT_2026-10-04.md, 1–2 Sep row</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2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