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rPr>
          <w:color w:val="000000"/>
        </w:rPr>
        <w:t>DFR presentation and workbook guide</w:t>
      </w:r>
    </w:p>
    <w:p>
      <w:pPr>
        <w:spacing w:after="140" w:line="259" w:lineRule="auto"/>
      </w:pPr>
      <w:r>
        <w:rPr>
          <w:sz w:val="22"/>
        </w:rPr>
        <w:t>Payments expert review package dated 7 September 2026</w:t>
      </w:r>
    </w:p>
    <w:p>
      <w:pPr>
        <w:spacing w:after="140" w:line="259" w:lineRule="auto"/>
      </w:pPr>
      <w:r>
        <w:rPr>
          <w:sz w:val="22"/>
        </w:rPr>
        <w:t>This guide explains every slide in DFR_BUSINESS_SLIDES_ENG.html and every sheet in DFR_BA_REVIEW_CHECKLIST_v3.xlsx. It helps reviewers understand the proposed payment data model, assess the field decisions, and record precise feedback.</w:t>
      </w:r>
    </w:p>
    <w:p>
      <w:pPr>
        <w:spacing w:after="140" w:line="259" w:lineRule="auto"/>
      </w:pPr>
      <w:r>
        <w:rPr>
          <w:sz w:val="22"/>
        </w:rPr>
        <w:t>The files describe a proposed structure for making ISO 20022 payment information available to anti-money-laundering analysis. They are requirements and review materials, not a dataset of live bank payments. The review should establish whether the selected information keeps its correct meaning, role and context.</w:t>
      </w:r>
    </w:p>
    <w:p>
      <w:pPr>
        <w:pStyle w:val="Heading1"/>
        <w:spacing w:before="240" w:after="140"/>
      </w:pPr>
      <w:r>
        <w:t>How to use this guide</w:t>
      </w:r>
    </w:p>
    <w:p>
      <w:pPr>
        <w:spacing w:after="140" w:line="259" w:lineRule="auto"/>
      </w:pPr>
      <w:r>
        <w:rPr>
          <w:sz w:val="22"/>
        </w:rPr>
        <w:t>Read the slide explanations in presentation order, then follow the workbook instructions. Slide numbers here are the actual positions in the HTML presentation, including the title slide and the two annex slides. They are not the smaller section numbers printed on some slides.</w:t>
      </w:r>
    </w:p>
    <w:p>
      <w:pPr>
        <w:spacing w:after="140" w:line="259" w:lineRule="auto"/>
      </w:pPr>
      <w:r>
        <w:rPr>
          <w:sz w:val="22"/>
        </w:rPr>
        <w:t>The workbook sheets are explained in their actual left-to-right order. Its labels place 04_Worked_Example before 03_Source_Decision_Register; this is intentional in the guide so that it matches the file you open.</w:t>
      </w:r>
    </w:p>
    <w:p>
      <w:pPr>
        <w:spacing w:after="140" w:line="259" w:lineRule="auto"/>
      </w:pPr>
      <w:r>
        <w:rPr>
          <w:b/>
          <w:sz w:val="22"/>
        </w:rPr>
        <w:t>Pages 2 to 6</w:t>
      </w:r>
      <w:r>
        <w:rPr>
          <w:sz w:val="22"/>
        </w:rPr>
        <w:t xml:space="preserve"> explain slides 1 to 11, including the project figures, table structure, validation statistic and cost annexes.</w:t>
      </w:r>
    </w:p>
    <w:p>
      <w:pPr>
        <w:spacing w:after="140" w:line="259" w:lineRule="auto"/>
      </w:pPr>
      <w:r>
        <w:rPr>
          <w:b/>
          <w:sz w:val="22"/>
        </w:rPr>
        <w:t>Pages 7 to 9</w:t>
      </w:r>
      <w:r>
        <w:rPr>
          <w:sz w:val="22"/>
        </w:rPr>
        <w:t xml:space="preserve"> explain the five sheets, their columns, and how to use them for review.</w:t>
      </w:r>
    </w:p>
    <w:p>
      <w:pPr>
        <w:spacing w:after="140" w:line="259" w:lineRule="auto"/>
      </w:pPr>
      <w:r>
        <w:rPr>
          <w:b/>
          <w:sz w:val="22"/>
        </w:rPr>
        <w:t>Page 10</w:t>
      </w:r>
      <w:r>
        <w:rPr>
          <w:sz w:val="22"/>
        </w:rPr>
        <w:t xml:space="preserve"> provides a suggested review sequence, an example comment and a short glossary.</w:t>
      </w:r>
    </w:p>
    <w:p>
      <w:pPr>
        <w:pStyle w:val="Heading1"/>
        <w:spacing w:before="240" w:after="140"/>
      </w:pPr>
      <w:r>
        <w:t>What the figures mean</w:t>
      </w:r>
    </w:p>
    <w:p>
      <w:pPr>
        <w:spacing w:after="140" w:line="259" w:lineRule="auto"/>
      </w:pPr>
      <w:r>
        <w:rPr>
          <w:sz w:val="22"/>
        </w:rPr>
        <w:t>The proposed model has 363 physical columns across 14 tables. A column is counted once for each table in which it appears. For example, payment_id in two different tables counts as two columns because the columns serve separate positions in the model.</w:t>
      </w:r>
    </w:p>
    <w:p>
      <w:pPr>
        <w:spacing w:after="140" w:line="259" w:lineRule="auto"/>
      </w:pPr>
      <w:r>
        <w:rPr>
          <w:sz w:val="22"/>
        </w:rPr>
        <w:t>The 54,855 source occurrences are inventory records for message-version and XML-path combinations, including containers. They are neither 54,855 unique business concepts nor 54,855 actual payments. A decision recorded for every occurrence measures completeness of the decision register; it does not prove that every decision is correct.</w:t>
      </w:r>
    </w:p>
    <w:p>
      <w:r>
        <w:br w:type="page"/>
      </w:r>
    </w:p>
    <w:p>
      <w:pPr>
        <w:pStyle w:val="Heading1"/>
        <w:spacing w:before="240" w:after="140"/>
      </w:pPr>
      <w:r>
        <w:t>Slides 1 to 3  Purpose scale and scope</w:t>
      </w:r>
    </w:p>
    <w:p>
      <w:pPr>
        <w:pStyle w:val="Heading1"/>
        <w:spacing w:before="240" w:after="140"/>
      </w:pPr>
      <w:r>
        <w:t>Slide 1  ISO 20022 Standard to AML Golden Layer</w:t>
      </w:r>
    </w:p>
    <w:p>
      <w:pPr>
        <w:spacing w:after="140" w:line="259" w:lineRule="auto"/>
      </w:pPr>
      <w:r>
        <w:rPr>
          <w:sz w:val="22"/>
        </w:rPr>
        <w:t>The opening slide introduces the goal: organise payment information into a shared set of tables that AML users can query. Golden Layer means the proposed downstream data model. Source messages may have different structures, but consumers should be able to find payment identifiers, amounts, parties, accounts and events in consistent places.</w:t>
      </w:r>
    </w:p>
    <w:p>
      <w:pPr>
        <w:spacing w:after="140" w:line="259" w:lineRule="auto"/>
      </w:pPr>
      <w:r>
        <w:rPr>
          <w:sz w:val="22"/>
        </w:rPr>
        <w:t>The opening figures are 24 exact message versions, 363 columns and 14 tables. These describe the assessment scope and proposed design. The wording about not losing anything expresses the intended outcome; preservation of meaning and the acceptability of exclusions still require review.</w:t>
      </w:r>
    </w:p>
    <w:p>
      <w:pPr>
        <w:spacing w:after="140" w:line="259" w:lineRule="auto"/>
      </w:pPr>
      <w:r>
        <w:rPr>
          <w:b/>
          <w:sz w:val="22"/>
        </w:rPr>
        <w:t>Review focus</w:t>
      </w:r>
      <w:r>
        <w:rPr>
          <w:sz w:val="22"/>
        </w:rPr>
        <w:t xml:space="preserve"> Confirm the intended AML consumers and whether the proposed payment information is sufficient for their needs.</w:t>
      </w:r>
    </w:p>
    <w:p>
      <w:pPr>
        <w:pStyle w:val="Heading1"/>
        <w:spacing w:before="240" w:after="140"/>
      </w:pPr>
      <w:r>
        <w:t>Slide 2  The project in 7 numbers</w:t>
      </w:r>
    </w:p>
    <w:p>
      <w:pPr>
        <w:spacing w:after="140" w:line="259" w:lineRule="auto"/>
      </w:pPr>
      <w:r>
        <w:rPr>
          <w:sz w:val="22"/>
        </w:rPr>
        <w:t>The seven figures describe different stages. There are 24 exact message versions and 54,855 inventoried source occurrences. The target contains 363 columns arranged in 14 tables: eight fact tables, two dimensions, three bridges and one child table.</w:t>
      </w:r>
    </w:p>
    <w:p>
      <w:pPr>
        <w:spacing w:after="140" w:line="259" w:lineRule="auto"/>
      </w:pPr>
      <w:r>
        <w:rPr>
          <w:sz w:val="22"/>
        </w:rPr>
        <w:t>Of the source occurrences, 40,342 are marked CORE, CONDITIONAL or SECONDARY, and 14,513 are EXCLUDED. The arithmetic reconciles: 40,342 plus 14,513 equals 54,855. The 100% disposition figure means every inventoried occurrence has a recorded decision. It is not a mapping-accuracy score or a production data-quality score.</w:t>
      </w:r>
    </w:p>
    <w:p>
      <w:pPr>
        <w:spacing w:after="140" w:line="259" w:lineRule="auto"/>
      </w:pPr>
      <w:r>
        <w:rPr>
          <w:b/>
          <w:sz w:val="22"/>
        </w:rPr>
        <w:t>Review focus</w:t>
      </w:r>
      <w:r>
        <w:rPr>
          <w:sz w:val="22"/>
        </w:rPr>
        <w:t xml:space="preserve"> Keep the source-occurrence counts separate from the physical-column count when discussing coverage or missing fields.</w:t>
      </w:r>
    </w:p>
    <w:p>
      <w:pPr>
        <w:pStyle w:val="Heading1"/>
        <w:spacing w:before="240" w:after="140"/>
      </w:pPr>
      <w:r>
        <w:t>Slide 3  The formats in scope</w:t>
      </w:r>
    </w:p>
    <w:p>
      <w:pPr>
        <w:spacing w:after="140" w:line="259" w:lineRule="auto"/>
      </w:pPr>
      <w:r>
        <w:rPr>
          <w:sz w:val="22"/>
        </w:rPr>
        <w:t>The deck groups messages into pacs for interbank payment processing, pain for customer-side initiation, camt for account reporting and payment-related investigations, and head for the Business Application Header. It gives examples such as pacs.008, pacs.009, pain.001, camt.053 and camt.056.</w:t>
      </w:r>
    </w:p>
    <w:p>
      <w:pPr>
        <w:spacing w:after="140" w:line="259" w:lineRule="auto"/>
      </w:pPr>
      <w:r>
        <w:rPr>
          <w:sz w:val="22"/>
        </w:rPr>
        <w:t>An exact version identifies a particular schema, for example pacs.008.001.14. A short family name alone does not identify the exact field structure. The assessment expanded beyond the original ten message types. The listed assessment scope still needs to be compared with the versions and payment channels actually used by the bank.</w:t>
      </w:r>
    </w:p>
    <w:p>
      <w:pPr>
        <w:spacing w:after="140" w:line="259" w:lineRule="auto"/>
      </w:pPr>
      <w:r>
        <w:rPr>
          <w:b/>
          <w:sz w:val="22"/>
        </w:rPr>
        <w:t>Review focus</w:t>
      </w:r>
      <w:r>
        <w:rPr>
          <w:sz w:val="22"/>
        </w:rPr>
        <w:t xml:space="preserve"> Identify applicable versions and usage profiles, missing flows, and messages that should be deferred or excluded for the bank.</w:t>
      </w:r>
    </w:p>
    <w:p>
      <w:r>
        <w:br w:type="page"/>
      </w:r>
    </w:p>
    <w:p>
      <w:pPr>
        <w:pStyle w:val="Heading1"/>
        <w:spacing w:before="240" w:after="140"/>
      </w:pPr>
      <w:r>
        <w:t>Slides 4 and 5  Evidence and field decisions</w:t>
      </w:r>
    </w:p>
    <w:p>
      <w:pPr>
        <w:pStyle w:val="Heading1"/>
        <w:spacing w:before="240" w:after="140"/>
      </w:pPr>
      <w:r>
        <w:t>Slide 4  Our knowledge base</w:t>
      </w:r>
    </w:p>
    <w:p>
      <w:pPr>
        <w:spacing w:after="140" w:line="259" w:lineRule="auto"/>
      </w:pPr>
      <w:r>
        <w:rPr>
          <w:sz w:val="22"/>
        </w:rPr>
        <w:t>This slide separates three kinds of evidence. Exact-version XSD schemas define XML structure and data types. The ISO e-Repository supplies definitions and relationships. The explanatory documents and project requirements explain the intended business interpretation and scope.</w:t>
      </w:r>
    </w:p>
    <w:p>
      <w:pPr>
        <w:spacing w:after="140" w:line="259" w:lineRule="auto"/>
      </w:pPr>
      <w:r>
        <w:rPr>
          <w:sz w:val="22"/>
        </w:rPr>
        <w:t>An XSD can constrain an element to a date, a text length, an enumeration or a repeating structure. It cannot, by itself, decide that a field is important for a particular bank’s AML use case. That prioritisation is a project decision to be reviewed.</w:t>
      </w:r>
    </w:p>
    <w:p>
      <w:pPr>
        <w:spacing w:after="140" w:line="259" w:lineRule="auto"/>
      </w:pPr>
      <w:r>
        <w:rPr>
          <w:sz w:val="22"/>
        </w:rPr>
        <w:t>The principle of not reconstructing a schema from memory means that structural claims should be traceable to a source. It does not remove the need to check extraction logic or business mappings. A reviewer should be able to ask which exact message, path and type support a proposed field.</w:t>
      </w:r>
    </w:p>
    <w:p>
      <w:pPr>
        <w:pStyle w:val="Heading1"/>
        <w:spacing w:before="240" w:after="140"/>
      </w:pPr>
      <w:r>
        <w:t>Slide 5  From source occurrences to tables</w:t>
      </w:r>
    </w:p>
    <w:p>
      <w:pPr>
        <w:spacing w:after="140" w:line="259" w:lineRule="auto"/>
      </w:pPr>
      <w:r>
        <w:rPr>
          <w:sz w:val="22"/>
        </w:rPr>
        <w:t>The flow moves from 54,855 source occurrences to 40,342 retained occurrences, then to 38,912 recorded mappings and the 363-column model. Multiple source paths can feed one destination, so the counts are not expected to match. The deck also identifies 1,430 retained SECONDARY occurrences without a dedicated one-to-one mapping.</w:t>
      </w:r>
    </w:p>
    <w:p>
      <w:pPr>
        <w:spacing w:after="140" w:line="259" w:lineRule="auto"/>
      </w:pPr>
      <w:r>
        <w:rPr>
          <w:b/>
          <w:sz w:val="22"/>
        </w:rPr>
        <w:t>CORE</w:t>
      </w:r>
      <w:r>
        <w:rPr>
          <w:sz w:val="22"/>
        </w:rPr>
        <w:t xml:space="preserve"> 3,400 source occurrences, about 6.2%. Proposed information needed for AML when applicable. It does not mean every source message must contain the field.</w:t>
      </w:r>
    </w:p>
    <w:p>
      <w:pPr>
        <w:spacing w:after="140" w:line="259" w:lineRule="auto"/>
      </w:pPr>
      <w:r>
        <w:rPr>
          <w:b/>
          <w:sz w:val="22"/>
        </w:rPr>
        <w:t>CONDITIONAL</w:t>
      </w:r>
      <w:r>
        <w:rPr>
          <w:sz w:val="22"/>
        </w:rPr>
        <w:t xml:space="preserve"> 9,763 occurrences, about 17.8%. Information required under a specified business condition. Reviewers should make that condition explicit.</w:t>
      </w:r>
    </w:p>
    <w:p>
      <w:pPr>
        <w:spacing w:after="140" w:line="259" w:lineRule="auto"/>
      </w:pPr>
      <w:r>
        <w:rPr>
          <w:b/>
          <w:sz w:val="22"/>
        </w:rPr>
        <w:t>SECONDARY</w:t>
      </w:r>
      <w:r>
        <w:rPr>
          <w:sz w:val="22"/>
        </w:rPr>
        <w:t xml:space="preserve"> 27,179 occurrences, about 49.5%. Supporting information retained at a lower priority. This is a priority classification, not a statement that the value repeats or must use a particular storage format.</w:t>
      </w:r>
    </w:p>
    <w:p>
      <w:pPr>
        <w:spacing w:after="140" w:line="259" w:lineRule="auto"/>
      </w:pPr>
      <w:r>
        <w:rPr>
          <w:b/>
          <w:sz w:val="22"/>
        </w:rPr>
        <w:t>EXCLUDED</w:t>
      </w:r>
      <w:r>
        <w:rPr>
          <w:sz w:val="22"/>
        </w:rPr>
        <w:t xml:space="preserve"> 14,513 occurrences, about 26.5%. Information not represented independently in the selected model, with a recorded rationale. Excluding a wrapper differs from excluding a business value.</w:t>
      </w:r>
    </w:p>
    <w:p>
      <w:pPr>
        <w:spacing w:after="140" w:line="259" w:lineRule="auto"/>
      </w:pPr>
      <w:r>
        <w:rPr>
          <w:sz w:val="22"/>
        </w:rPr>
        <w:t>The phrase one row equals one payment applies to the central payment table. Other tables deliberately have other grains, such as one charge, one party version or one lifecycle event.</w:t>
      </w:r>
    </w:p>
    <w:p>
      <w:pPr>
        <w:spacing w:after="140" w:line="259" w:lineRule="auto"/>
      </w:pPr>
      <w:r>
        <w:rPr>
          <w:b/>
          <w:sz w:val="22"/>
        </w:rPr>
        <w:t>Review focus</w:t>
      </w:r>
      <w:r>
        <w:rPr>
          <w:sz w:val="22"/>
        </w:rPr>
        <w:t xml:space="preserve"> Challenge inappropriate priorities, vague conditions, ambiguous merges and business values whose exclusion could remove useful information.</w:t>
      </w:r>
    </w:p>
    <w:p>
      <w:r>
        <w:br w:type="page"/>
      </w:r>
    </w:p>
    <w:p>
      <w:pPr>
        <w:pStyle w:val="Heading1"/>
        <w:spacing w:before="240" w:after="140"/>
      </w:pPr>
      <w:r>
        <w:t>Slide 6  The 14 tables and their relationships</w:t>
      </w:r>
    </w:p>
    <w:p>
      <w:pPr>
        <w:spacing w:after="140" w:line="259" w:lineRule="auto"/>
      </w:pPr>
      <w:r>
        <w:rPr>
          <w:sz w:val="22"/>
        </w:rPr>
        <w:t>Grain means what one row represents. The model separates objects with different grains so that multiple charges, parties or events can remain distinct. Primary keys identify rows; foreign keys and bridges connect them. Not every table joins directly to fact_payment.</w:t>
      </w:r>
    </w:p>
    <w:p>
      <w:pPr>
        <w:spacing w:after="140" w:line="259" w:lineRule="auto"/>
      </w:pPr>
      <w:r>
        <w:rPr>
          <w:b/>
          <w:sz w:val="22"/>
        </w:rPr>
        <w:t>fact_payment</w:t>
      </w:r>
      <w:r>
        <w:rPr>
          <w:sz w:val="22"/>
        </w:rPr>
        <w:t xml:space="preserve"> One payment instruction, with its identifiers, amounts, currencies, dates and routing attributes.</w:t>
      </w:r>
    </w:p>
    <w:p>
      <w:pPr>
        <w:spacing w:after="140" w:line="259" w:lineRule="auto"/>
      </w:pPr>
      <w:r>
        <w:rPr>
          <w:b/>
          <w:sz w:val="22"/>
        </w:rPr>
        <w:t>dim_party</w:t>
      </w:r>
      <w:r>
        <w:rPr>
          <w:sz w:val="22"/>
        </w:rPr>
        <w:t xml:space="preserve"> A version of a person or organisation, shared across payment roles. SCD2 preserves historical versions.</w:t>
      </w:r>
    </w:p>
    <w:p>
      <w:pPr>
        <w:spacing w:after="140" w:line="259" w:lineRule="auto"/>
      </w:pPr>
      <w:r>
        <w:rPr>
          <w:b/>
          <w:sz w:val="22"/>
        </w:rPr>
        <w:t>dim_agent</w:t>
      </w:r>
      <w:r>
        <w:rPr>
          <w:sz w:val="22"/>
        </w:rPr>
        <w:t xml:space="preserve"> A version of a financial institution, including identifiers and address information.</w:t>
      </w:r>
    </w:p>
    <w:p>
      <w:pPr>
        <w:spacing w:after="140" w:line="259" w:lineRule="auto"/>
      </w:pPr>
      <w:r>
        <w:rPr>
          <w:b/>
          <w:sz w:val="22"/>
        </w:rPr>
        <w:t>brg_payment_party</w:t>
      </w:r>
      <w:r>
        <w:rPr>
          <w:sz w:val="22"/>
        </w:rPr>
        <w:t xml:space="preserve"> Associates a party with a payment and a role such as debtor or creditor.</w:t>
      </w:r>
    </w:p>
    <w:p>
      <w:pPr>
        <w:spacing w:after="140" w:line="259" w:lineRule="auto"/>
      </w:pPr>
      <w:r>
        <w:rPr>
          <w:b/>
          <w:sz w:val="22"/>
        </w:rPr>
        <w:t>brg_payment_agent</w:t>
      </w:r>
      <w:r>
        <w:rPr>
          <w:sz w:val="22"/>
        </w:rPr>
        <w:t xml:space="preserve"> Associates an institution with a payment, its role and its position in the agent chain.</w:t>
      </w:r>
    </w:p>
    <w:p>
      <w:pPr>
        <w:spacing w:after="140" w:line="259" w:lineRule="auto"/>
      </w:pPr>
      <w:r>
        <w:rPr>
          <w:b/>
          <w:sz w:val="22"/>
        </w:rPr>
        <w:t>brg_related_payment</w:t>
      </w:r>
      <w:r>
        <w:rPr>
          <w:sz w:val="22"/>
        </w:rPr>
        <w:t xml:space="preserve"> Records a relationship between payments, such as a cover or return link, with matching metadata.</w:t>
      </w:r>
    </w:p>
    <w:p>
      <w:pPr>
        <w:spacing w:after="140" w:line="259" w:lineRule="auto"/>
      </w:pPr>
      <w:r>
        <w:rPr>
          <w:b/>
          <w:sz w:val="22"/>
        </w:rPr>
        <w:t>fact_payment_account</w:t>
      </w:r>
      <w:r>
        <w:rPr>
          <w:sz w:val="22"/>
        </w:rPr>
        <w:t xml:space="preserve"> An account occurrence associated with a payment and an account role.</w:t>
      </w:r>
    </w:p>
    <w:p>
      <w:pPr>
        <w:spacing w:after="140" w:line="259" w:lineRule="auto"/>
      </w:pPr>
      <w:r>
        <w:rPr>
          <w:b/>
          <w:sz w:val="22"/>
        </w:rPr>
        <w:t>fact_charge</w:t>
      </w:r>
      <w:r>
        <w:rPr>
          <w:sz w:val="22"/>
        </w:rPr>
        <w:t xml:space="preserve"> One charge associated with the payment.</w:t>
      </w:r>
    </w:p>
    <w:p>
      <w:pPr>
        <w:spacing w:after="140" w:line="259" w:lineRule="auto"/>
      </w:pPr>
      <w:r>
        <w:rPr>
          <w:b/>
          <w:sz w:val="22"/>
        </w:rPr>
        <w:t>fact_remittance</w:t>
      </w:r>
      <w:r>
        <w:rPr>
          <w:sz w:val="22"/>
        </w:rPr>
        <w:t xml:space="preserve"> A remittance block associated with the payment.</w:t>
      </w:r>
    </w:p>
    <w:p>
      <w:pPr>
        <w:spacing w:after="140" w:line="259" w:lineRule="auto"/>
      </w:pPr>
      <w:r>
        <w:rPr>
          <w:b/>
          <w:sz w:val="22"/>
        </w:rPr>
        <w:t>fact_regulatory_reporting</w:t>
      </w:r>
      <w:r>
        <w:rPr>
          <w:sz w:val="22"/>
        </w:rPr>
        <w:t xml:space="preserve"> A regulatory-reporting detail associated with the payment.</w:t>
      </w:r>
    </w:p>
    <w:p>
      <w:pPr>
        <w:spacing w:after="140" w:line="259" w:lineRule="auto"/>
      </w:pPr>
      <w:r>
        <w:rPr>
          <w:b/>
          <w:sz w:val="22"/>
        </w:rPr>
        <w:t>fact_payment_lifecycle_event</w:t>
      </w:r>
      <w:r>
        <w:rPr>
          <w:sz w:val="22"/>
        </w:rPr>
        <w:t xml:space="preserve"> A status, return, cancellation or other modelled lifecycle event, rather than the payment itself.</w:t>
      </w:r>
    </w:p>
    <w:p>
      <w:pPr>
        <w:spacing w:after="140" w:line="259" w:lineRule="auto"/>
      </w:pPr>
      <w:r>
        <w:rPr>
          <w:b/>
          <w:sz w:val="22"/>
        </w:rPr>
        <w:t>fact_account_entry</w:t>
      </w:r>
      <w:r>
        <w:rPr>
          <w:sz w:val="22"/>
        </w:rPr>
        <w:t xml:space="preserve"> A statement or notification entry. Its connection to an underlying payment may be optional.</w:t>
      </w:r>
    </w:p>
    <w:p>
      <w:pPr>
        <w:spacing w:after="140" w:line="259" w:lineRule="auto"/>
      </w:pPr>
      <w:r>
        <w:rPr>
          <w:b/>
          <w:sz w:val="22"/>
        </w:rPr>
        <w:t>fact_remittance_line</w:t>
      </w:r>
      <w:r>
        <w:rPr>
          <w:sz w:val="22"/>
        </w:rPr>
        <w:t xml:space="preserve"> A structured remittance line linked to its remittance block through remittance_id.</w:t>
      </w:r>
    </w:p>
    <w:p>
      <w:pPr>
        <w:spacing w:after="140" w:line="259" w:lineRule="auto"/>
      </w:pPr>
      <w:r>
        <w:rPr>
          <w:b/>
          <w:sz w:val="22"/>
        </w:rPr>
        <w:t>child_address_line</w:t>
      </w:r>
      <w:r>
        <w:rPr>
          <w:sz w:val="22"/>
        </w:rPr>
        <w:t xml:space="preserve"> An ordered address line linked through parent_key to the relevant parent record.</w:t>
      </w:r>
    </w:p>
    <w:p>
      <w:pPr>
        <w:spacing w:after="140" w:line="259" w:lineRule="auto"/>
      </w:pPr>
      <w:r>
        <w:rPr>
          <w:sz w:val="22"/>
        </w:rPr>
        <w:t>SCD2 means a changed party or agent can create a new version with validity dates, rather than replacing the previous values. The review should confirm how the correct version is associated with the payment. For child_address_line, the parent key is polymorphic: the parent may belong to more than one table, so its interpretation must be unambiguous.</w:t>
      </w:r>
    </w:p>
    <w:p>
      <w:pPr>
        <w:spacing w:after="140" w:line="259" w:lineRule="auto"/>
      </w:pPr>
      <w:r>
        <w:rPr>
          <w:b/>
          <w:sz w:val="22"/>
        </w:rPr>
        <w:t>Review focus</w:t>
      </w:r>
      <w:r>
        <w:rPr>
          <w:sz w:val="22"/>
        </w:rPr>
        <w:t xml:space="preserve"> Check each grain, the distinction between payment and account entry, party and agent roles, ordered repetitions, and how related payments are identified.</w:t>
      </w:r>
    </w:p>
    <w:p>
      <w:r>
        <w:br w:type="page"/>
      </w:r>
    </w:p>
    <w:p>
      <w:pPr>
        <w:pStyle w:val="Heading1"/>
        <w:spacing w:before="240" w:after="140"/>
      </w:pPr>
      <w:r>
        <w:t>Slides 7 and 8  Preservation and validation</w:t>
      </w:r>
    </w:p>
    <w:p>
      <w:pPr>
        <w:pStyle w:val="Heading1"/>
        <w:spacing w:before="240" w:after="140"/>
      </w:pPr>
      <w:r>
        <w:t>Slide 7  The three recurring questions</w:t>
      </w:r>
    </w:p>
    <w:p>
      <w:pPr>
        <w:spacing w:after="140" w:line="259" w:lineRule="auto"/>
      </w:pPr>
      <w:r>
        <w:rPr>
          <w:sz w:val="22"/>
        </w:rPr>
        <w:t>The first question concerns information loss. The exclusion total comprises 11,803 wrappers, 1,631 contact details, 460 card details, 352 signature or technical details, and 267 other scope exclusions. Wrappers group children and may have no independent scalar value. The remaining 2,710 exclusions represent substantive scope decisions that reviewers should examine.</w:t>
      </w:r>
    </w:p>
    <w:p>
      <w:pPr>
        <w:spacing w:after="140" w:line="259" w:lineRule="auto"/>
      </w:pPr>
      <w:r>
        <w:rPr>
          <w:sz w:val="22"/>
        </w:rPr>
        <w:t>The second question concerns traceability. A source path explains where information comes from, and raw_message_reference is intended to support access to the original message. However, a raw archive reference does not prove that all source meaning survives in the structured tables. Some composite mappings still need precise destination-column resolution.</w:t>
      </w:r>
    </w:p>
    <w:p>
      <w:pPr>
        <w:spacing w:after="140" w:line="259" w:lineRule="auto"/>
      </w:pPr>
      <w:r>
        <w:rPr>
          <w:sz w:val="22"/>
        </w:rPr>
        <w:t>The third question explains why there are several tables. Repeating information should remain separate occurrences with a clear parent and order. The slide’s phrases “nothing is lost” and “100%” should therefore be read alongside the specific measures: recorded dispositions and documented source links, not completed business acceptance.</w:t>
      </w:r>
    </w:p>
    <w:p>
      <w:pPr>
        <w:pStyle w:val="Heading1"/>
        <w:spacing w:before="240" w:after="140"/>
      </w:pPr>
      <w:r>
        <w:t>Slide 8  Data quality expectations</w:t>
      </w:r>
    </w:p>
    <w:p>
      <w:pPr>
        <w:spacing w:after="140" w:line="259" w:lineRule="auto"/>
      </w:pPr>
      <w:r>
        <w:rPr>
          <w:sz w:val="22"/>
        </w:rPr>
        <w:t>The headline is 303 of 363 columns, or 83.5%, with verified ISO source-type constraints. The audit verified at least one documented source example for each counted column against an exact-version schema. It includes ordinary constraints such as text length and decimal precision, as well as formats, enumerations and valid date or boolean values.</w:t>
      </w:r>
    </w:p>
    <w:p>
      <w:pPr>
        <w:spacing w:after="140" w:line="259" w:lineRule="auto"/>
      </w:pPr>
      <w:r>
        <w:rPr>
          <w:sz w:val="22"/>
        </w:rPr>
        <w:t>This statistic does not mean that 83.5% of payment data is correct, that every mapping was verified, or that every bank-specific business rule is implemented. The supporting workbook retains the full breakdown: 303 verified, 59 requiring project-defined rules, and one requiring source clarification.</w:t>
      </w:r>
    </w:p>
    <w:p>
      <w:pPr>
        <w:spacing w:after="140" w:line="259" w:lineRule="auto"/>
      </w:pPr>
      <w:r>
        <w:rPr>
          <w:sz w:val="22"/>
        </w:rPr>
        <w:t>The examples illustrate different checks. The UETR pattern includes UUID version and variant positions. BIC and LEI patterns check structure. The account identifier example applies the IBAN-shaped check only to an IBAN; another account identifier needs its own scheme rules. A date must represent a real calendar date, not merely match a text pattern. A currency-shaped string also needs the applicable code-list check.</w:t>
      </w:r>
    </w:p>
    <w:p>
      <w:pPr>
        <w:spacing w:after="140" w:line="259" w:lineRule="auto"/>
      </w:pPr>
      <w:r>
        <w:rPr>
          <w:sz w:val="22"/>
        </w:rPr>
        <w:t>A blank additional-rule cell is not proof that a field has no constraints. The older validation CSV deliberately omitted some type and length checks. It is referenced in the slide but is not one of the main files in the review folder; the new coverage sheet and source-evidence appendix explain the headline statistic.</w:t>
      </w:r>
    </w:p>
    <w:p>
      <w:pPr>
        <w:spacing w:after="140" w:line="259" w:lineRule="auto"/>
      </w:pPr>
      <w:r>
        <w:rPr>
          <w:b/>
          <w:sz w:val="22"/>
        </w:rPr>
        <w:t>Review focus</w:t>
      </w:r>
      <w:r>
        <w:rPr>
          <w:sz w:val="22"/>
        </w:rPr>
        <w:t xml:space="preserve"> Confirm rule applicability by message, path and identifier branch. Distinguish ISO source constraints from target-storage and bank business rules.</w:t>
      </w:r>
    </w:p>
    <w:p>
      <w:r>
        <w:br w:type="page"/>
      </w:r>
    </w:p>
    <w:p>
      <w:pPr>
        <w:pStyle w:val="Heading1"/>
        <w:spacing w:before="240" w:after="140"/>
      </w:pPr>
      <w:r>
        <w:t>Slides 9 to 11  Process and cost annexes</w:t>
      </w:r>
    </w:p>
    <w:p>
      <w:pPr>
        <w:pStyle w:val="Heading1"/>
        <w:spacing w:before="240" w:after="140"/>
      </w:pPr>
      <w:r>
        <w:t>Slide 9  The six step pipeline</w:t>
      </w:r>
    </w:p>
    <w:p>
      <w:pPr>
        <w:spacing w:after="140" w:line="259" w:lineRule="auto"/>
      </w:pPr>
      <w:r>
        <w:rPr>
          <w:sz w:val="22"/>
        </w:rPr>
        <w:t>The six steps are requirements analysis, field inventory, mapping, scoring, model and DDL generation, and verification. They explain how the deliverables relate: scope determines the inventory; mappings connect source information to selected fields; priorities determine requirements; the model determines tables and columns; checks test consistency.</w:t>
      </w:r>
    </w:p>
    <w:p>
      <w:pPr>
        <w:spacing w:after="140" w:line="259" w:lineRule="auto"/>
      </w:pPr>
      <w:r>
        <w:rPr>
          <w:sz w:val="22"/>
        </w:rPr>
        <w:t>DDL is the SQL description of tables, columns and constraints. Generating DDL does not mean the database has been populated or tested in production. Similarly, model cross-checks do not replace payments-expert review, representative message testing or a complete validation of transformations.</w:t>
      </w:r>
    </w:p>
    <w:p>
      <w:pPr>
        <w:spacing w:after="140" w:line="259" w:lineRule="auto"/>
      </w:pPr>
      <w:r>
        <w:rPr>
          <w:b/>
          <w:sz w:val="22"/>
        </w:rPr>
        <w:t>Review focus</w:t>
      </w:r>
      <w:r>
        <w:rPr>
          <w:sz w:val="22"/>
        </w:rPr>
        <w:t xml:space="preserve"> Use this slide to locate a problem: a missing message belongs to scope; a wrong role belongs to mapping; an inappropriate exclusion belongs to field selection; and a wrong type belongs to validation or model design.</w:t>
      </w:r>
    </w:p>
    <w:p>
      <w:pPr>
        <w:pStyle w:val="Heading1"/>
        <w:spacing w:before="240" w:after="140"/>
      </w:pPr>
      <w:r>
        <w:t>Slide 10  Model capability and pricing</w:t>
      </w:r>
    </w:p>
    <w:p>
      <w:pPr>
        <w:spacing w:after="140" w:line="259" w:lineRule="auto"/>
      </w:pPr>
      <w:r>
        <w:rPr>
          <w:sz w:val="22"/>
        </w:rPr>
        <w:t>This annex compares AI-model benchmark scores with advertised or estimated operating costs. Its intended message is that a higher price does not automatically establish a better result for every task. The chart compares scores shown in the deck from 50 to 58, alongside different pricing or hosting approaches.</w:t>
      </w:r>
    </w:p>
    <w:p>
      <w:pPr>
        <w:spacing w:after="140" w:line="259" w:lineRule="auto"/>
      </w:pPr>
      <w:r>
        <w:rPr>
          <w:sz w:val="22"/>
        </w:rPr>
        <w:t>These are historical presentation claims, not results of the ISO field audit. This guide does not independently verify the named models, benchmark snapshot or prices. A benchmark score also does not demonstrate equivalent performance on this project. Payments reviewers do not need to approve the data definitions based on this comparison.</w:t>
      </w:r>
    </w:p>
    <w:p>
      <w:pPr>
        <w:spacing w:after="140" w:line="259" w:lineRule="auto"/>
      </w:pPr>
      <w:r>
        <w:rPr>
          <w:b/>
          <w:sz w:val="22"/>
        </w:rPr>
        <w:t>How to read it</w:t>
      </w:r>
      <w:r>
        <w:rPr>
          <w:sz w:val="22"/>
        </w:rPr>
        <w:t xml:space="preserve"> Treat it as background about tooling choices, separate from evidence that a payment mapping or exclusion is correct.</w:t>
      </w:r>
    </w:p>
    <w:p>
      <w:pPr>
        <w:pStyle w:val="Heading1"/>
        <w:spacing w:before="240" w:after="140"/>
      </w:pPr>
      <w:r>
        <w:t>Slide 11  Cost simulation</w:t>
      </w:r>
    </w:p>
    <w:p>
      <w:pPr>
        <w:spacing w:after="140" w:line="259" w:lineRule="auto"/>
      </w:pPr>
      <w:r>
        <w:rPr>
          <w:sz w:val="22"/>
        </w:rPr>
        <w:t>The final annex contrasts a reported variable cost of $8.41 plus a subscription with a simulated alternative cost of $1,799.60 for the stated workload. The displayed ratio is approximately 214 because 1,799.60 divided by 8.41 is about 214. The deck describes the period as 3 to 17 August 2026 and attributes much of the workload to cached input.</w:t>
      </w:r>
    </w:p>
    <w:p>
      <w:pPr>
        <w:spacing w:after="140" w:line="259" w:lineRule="auto"/>
      </w:pPr>
      <w:r>
        <w:rPr>
          <w:sz w:val="22"/>
        </w:rPr>
        <w:t>The ratio compares the displayed variable amounts. It is not a complete comparison of total ownership cost: subscriptions, staff effort, infrastructure, retries and equivalent output quality are not established by that division. The simulated amount is not an invoice. The figures are explained here as they appear in the deck, without independent cost verification.</w:t>
      </w:r>
    </w:p>
    <w:p>
      <w:pPr>
        <w:spacing w:after="140" w:line="259" w:lineRule="auto"/>
      </w:pPr>
      <w:r>
        <w:rPr>
          <w:b/>
          <w:sz w:val="22"/>
        </w:rPr>
        <w:t>Review focus</w:t>
      </w:r>
      <w:r>
        <w:rPr>
          <w:sz w:val="22"/>
        </w:rPr>
        <w:t xml:space="preserve"> This slide is contextual. Payment meaning, source availability and validation decisions should be assessed using the workbook and ISO evidence.</w:t>
      </w:r>
    </w:p>
    <w:p>
      <w:r>
        <w:br w:type="page"/>
      </w:r>
    </w:p>
    <w:p>
      <w:pPr>
        <w:pStyle w:val="Heading1"/>
        <w:spacing w:before="240" w:after="140"/>
      </w:pPr>
      <w:r>
        <w:t>Workbook sheet 1  Field review</w:t>
      </w:r>
    </w:p>
    <w:p>
      <w:pPr>
        <w:spacing w:after="140" w:line="259" w:lineRule="auto"/>
      </w:pPr>
      <w:r>
        <w:rPr>
          <w:sz w:val="22"/>
        </w:rPr>
        <w:t>Tab: 01_Field_Review. This is the main feedback sheet. Headers are on row 4 and the 363 physical-column entries occupy rows 5 to 367. The filter covers A4:L367. The header is frozen so that it remains visible while scrolling.</w:t>
      </w:r>
    </w:p>
    <w:p>
      <w:pPr>
        <w:spacing w:after="140" w:line="259" w:lineRule="auto"/>
      </w:pPr>
      <w:r>
        <w:rPr>
          <w:b/>
          <w:sz w:val="22"/>
        </w:rPr>
        <w:t>A  Field</w:t>
      </w:r>
      <w:r>
        <w:rPr>
          <w:sz w:val="22"/>
        </w:rPr>
        <w:t xml:space="preserve"> The physical column name. Names can repeat in different tables.</w:t>
      </w:r>
    </w:p>
    <w:p>
      <w:pPr>
        <w:spacing w:after="140" w:line="259" w:lineRule="auto"/>
      </w:pPr>
      <w:r>
        <w:rPr>
          <w:b/>
          <w:sz w:val="22"/>
        </w:rPr>
        <w:t>B  iso_type</w:t>
      </w:r>
      <w:r>
        <w:rPr>
          <w:sz w:val="22"/>
        </w:rPr>
        <w:t xml:space="preserve"> The source ISO type or types listed for the field. Some entries are project-derived or blank.</w:t>
      </w:r>
    </w:p>
    <w:p>
      <w:pPr>
        <w:spacing w:after="140" w:line="259" w:lineRule="auto"/>
      </w:pPr>
      <w:r>
        <w:rPr>
          <w:b/>
          <w:sz w:val="22"/>
        </w:rPr>
        <w:t>C  type</w:t>
      </w:r>
      <w:r>
        <w:rPr>
          <w:sz w:val="22"/>
        </w:rPr>
        <w:t xml:space="preserve"> The proposed target storage type, such as VARCHAR, DECIMAL or TIMESTAMP. This is distinct from the ISO source type.</w:t>
      </w:r>
    </w:p>
    <w:p>
      <w:pPr>
        <w:spacing w:after="140" w:line="259" w:lineRule="auto"/>
      </w:pPr>
      <w:r>
        <w:rPr>
          <w:b/>
          <w:sz w:val="22"/>
        </w:rPr>
        <w:t>D  Description</w:t>
      </w:r>
      <w:r>
        <w:rPr>
          <w:sz w:val="22"/>
        </w:rPr>
        <w:t xml:space="preserve"> The proposed meaning of the field. Check that it distinguishes similar concepts.</w:t>
      </w:r>
    </w:p>
    <w:p>
      <w:pPr>
        <w:spacing w:after="140" w:line="259" w:lineRule="auto"/>
      </w:pPr>
      <w:r>
        <w:rPr>
          <w:b/>
          <w:sz w:val="22"/>
        </w:rPr>
        <w:t>E  Why it matters AML</w:t>
      </w:r>
      <w:r>
        <w:rPr>
          <w:sz w:val="22"/>
        </w:rPr>
        <w:t xml:space="preserve"> The proposed analytical reason for keeping the information. AML priority needs the appropriate AML owner’s input.</w:t>
      </w:r>
    </w:p>
    <w:p>
      <w:pPr>
        <w:spacing w:after="140" w:line="259" w:lineRule="auto"/>
      </w:pPr>
      <w:r>
        <w:rPr>
          <w:b/>
          <w:sz w:val="22"/>
        </w:rPr>
        <w:t>F  Mapping ISO 20022</w:t>
      </w:r>
      <w:r>
        <w:rPr>
          <w:sz w:val="22"/>
        </w:rPr>
        <w:t xml:space="preserve"> A summary of source tags, message families and an example XML path. This is not necessarily a complete mapping specification.</w:t>
      </w:r>
    </w:p>
    <w:p>
      <w:pPr>
        <w:spacing w:after="140" w:line="259" w:lineRule="auto"/>
      </w:pPr>
      <w:r>
        <w:rPr>
          <w:b/>
          <w:sz w:val="22"/>
        </w:rPr>
        <w:t>G  Checks Rules</w:t>
      </w:r>
      <w:r>
        <w:rPr>
          <w:sz w:val="22"/>
        </w:rPr>
        <w:t xml:space="preserve"> Existing proposed checks. Use the coverage sheet for the separate source-type evidence assessment.</w:t>
      </w:r>
    </w:p>
    <w:p>
      <w:pPr>
        <w:spacing w:after="140" w:line="259" w:lineRule="auto"/>
      </w:pPr>
      <w:r>
        <w:rPr>
          <w:b/>
          <w:sz w:val="22"/>
        </w:rPr>
        <w:t>H  Classification</w:t>
      </w:r>
      <w:r>
        <w:rPr>
          <w:sz w:val="22"/>
        </w:rPr>
        <w:t xml:space="preserve"> The proposed priority, or a technical label where supplied. Blank classifications remain visible for review.</w:t>
      </w:r>
    </w:p>
    <w:p>
      <w:pPr>
        <w:spacing w:after="140" w:line="259" w:lineRule="auto"/>
      </w:pPr>
      <w:r>
        <w:rPr>
          <w:b/>
          <w:sz w:val="22"/>
        </w:rPr>
        <w:t>I  Review</w:t>
      </w:r>
      <w:r>
        <w:rPr>
          <w:sz w:val="22"/>
        </w:rPr>
        <w:t xml:space="preserve"> Record your assessment. The file uses free-text cells, not a controlled drop-down.</w:t>
      </w:r>
    </w:p>
    <w:p>
      <w:pPr>
        <w:spacing w:after="140" w:line="259" w:lineRule="auto"/>
      </w:pPr>
      <w:r>
        <w:rPr>
          <w:b/>
          <w:sz w:val="22"/>
        </w:rPr>
        <w:t>J  Comments</w:t>
      </w:r>
      <w:r>
        <w:rPr>
          <w:sz w:val="22"/>
        </w:rPr>
        <w:t xml:space="preserve"> State the correction, applicability condition, example or evidence needed.</w:t>
      </w:r>
    </w:p>
    <w:p>
      <w:pPr>
        <w:spacing w:after="140" w:line="259" w:lineRule="auto"/>
      </w:pPr>
      <w:r>
        <w:rPr>
          <w:b/>
          <w:sz w:val="22"/>
        </w:rPr>
        <w:t>K  Table</w:t>
      </w:r>
      <w:r>
        <w:rPr>
          <w:sz w:val="22"/>
        </w:rPr>
        <w:t xml:space="preserve"> The table containing the field.</w:t>
      </w:r>
    </w:p>
    <w:p>
      <w:pPr>
        <w:spacing w:after="140" w:line="259" w:lineRule="auto"/>
      </w:pPr>
      <w:r>
        <w:rPr>
          <w:b/>
          <w:sz w:val="22"/>
        </w:rPr>
        <w:t>L  Field ID</w:t>
      </w:r>
      <w:r>
        <w:rPr>
          <w:sz w:val="22"/>
        </w:rPr>
        <w:t xml:space="preserve"> The stable table.column identifier. Use this to refer to a specific physical column in feedback.</w:t>
      </w:r>
    </w:p>
    <w:p>
      <w:pPr>
        <w:spacing w:after="140" w:line="259" w:lineRule="auto"/>
      </w:pPr>
      <w:r>
        <w:rPr>
          <w:sz w:val="22"/>
        </w:rPr>
        <w:t>For example, fact_payment.payment_id and fact_charge.payment_id are different physical columns even though both are named payment_id. Their Field IDs keep feedback attached to the right table. A Field ID remains stable while the table and column names remain unchanged; it must be updated if the model renames either.</w:t>
      </w:r>
    </w:p>
    <w:p>
      <w:pPr>
        <w:spacing w:after="140" w:line="259" w:lineRule="auto"/>
      </w:pPr>
      <w:r>
        <w:rPr>
          <w:b/>
          <w:sz w:val="22"/>
        </w:rPr>
        <w:t>Suggested response values</w:t>
      </w:r>
      <w:r>
        <w:rPr>
          <w:sz w:val="22"/>
        </w:rPr>
        <w:t xml:space="preserve"> Agree, Change required, Not applicable, or Need clarification. Explain changes in Comments rather than silently replacing the proposed description or rule.</w:t>
      </w:r>
    </w:p>
    <w:p>
      <w:r>
        <w:br w:type="page"/>
      </w:r>
    </w:p>
    <w:p>
      <w:pPr>
        <w:pStyle w:val="Heading1"/>
        <w:spacing w:before="240" w:after="140"/>
      </w:pPr>
      <w:r>
        <w:t>Workbook sheets 2 and 3  Model and example</w:t>
      </w:r>
    </w:p>
    <w:p>
      <w:pPr>
        <w:pStyle w:val="Heading1"/>
        <w:spacing w:before="240" w:after="140"/>
      </w:pPr>
      <w:r>
        <w:t>Sheet 2  02_Data_Model</w:t>
      </w:r>
    </w:p>
    <w:p>
      <w:pPr>
        <w:spacing w:after="140" w:line="259" w:lineRule="auto"/>
      </w:pPr>
      <w:r>
        <w:rPr>
          <w:sz w:val="22"/>
        </w:rPr>
        <w:t>This sheet summarises all 14 tables. Headers are on row 4 and table entries are on rows 5 to 18. It explains what each table contains, its role, its column count, its primary key, its foreign keys and its connections.</w:t>
      </w:r>
    </w:p>
    <w:p>
      <w:pPr>
        <w:spacing w:after="140" w:line="259" w:lineRule="auto"/>
      </w:pPr>
      <w:r>
        <w:rPr>
          <w:sz w:val="22"/>
        </w:rPr>
        <w:t>Read Table and What it holds first to understand the grain. Role and Purpose explains why the table exists. Columns gives the physical size; these counts total 363. Primary Key identifies each row. Foreign Keys describes references to other records, while Connects to gives a broader view of relationships.</w:t>
      </w:r>
    </w:p>
    <w:p>
      <w:pPr>
        <w:spacing w:after="140" w:line="259" w:lineRule="auto"/>
      </w:pPr>
      <w:r>
        <w:rPr>
          <w:sz w:val="22"/>
        </w:rPr>
        <w:t>Use the sheet before reviewing individual fields. For example, a creditor is a party playing a role in a payment, not a separate kind of person. dim_party holds party attributes; brg_payment_party holds the relationship and role. The same separation applies to financial institutions and their positions in a payment chain.</w:t>
      </w:r>
    </w:p>
    <w:p>
      <w:pPr>
        <w:spacing w:after="140" w:line="259" w:lineRule="auto"/>
      </w:pPr>
      <w:r>
        <w:rPr>
          <w:b/>
          <w:sz w:val="22"/>
        </w:rPr>
        <w:t>Review focus</w:t>
      </w:r>
      <w:r>
        <w:rPr>
          <w:sz w:val="22"/>
        </w:rPr>
        <w:t xml:space="preserve"> Confirm that the grains and relationships match actual payment processing. Record comments in the relevant field row using its Field ID; for a table-wide issue, name the table explicitly in the comment.</w:t>
      </w:r>
    </w:p>
    <w:p>
      <w:pPr>
        <w:pStyle w:val="Heading1"/>
        <w:spacing w:before="240" w:after="140"/>
      </w:pPr>
      <w:r>
        <w:t>Sheet 3  04_Worked_Example</w:t>
      </w:r>
    </w:p>
    <w:p>
      <w:pPr>
        <w:spacing w:after="140" w:line="259" w:lineRule="auto"/>
      </w:pPr>
      <w:r>
        <w:rPr>
          <w:sz w:val="22"/>
        </w:rPr>
        <w:t>This sheet follows a synthetic €1,000 payment from Alice in Paris to Bob in Berlin, dated 21 August 2026. Rows 5 to 19 show 15 example components. The columns are Payment element, In this example and Where it lives.</w:t>
      </w:r>
    </w:p>
    <w:p>
      <w:pPr>
        <w:spacing w:after="140" w:line="259" w:lineRule="auto"/>
      </w:pPr>
      <w:r>
        <w:rPr>
          <w:sz w:val="22"/>
        </w:rPr>
        <w:t>The example distributes one business payment across several tables: the payment itself, the two parties and their roles, bank-chain occurrences, accounts, a fee, remittance information, lifecycle events, a regulatory detail and a statement entry. An optional cover-payment link illustrates brg_related_payment.</w:t>
      </w:r>
    </w:p>
    <w:p>
      <w:pPr>
        <w:spacing w:after="140" w:line="259" w:lineRule="auto"/>
      </w:pPr>
      <w:r>
        <w:rPr>
          <w:sz w:val="22"/>
        </w:rPr>
        <w:t>The example includes an intermediary bank in the detailed rows even though the introductory sentence names only the sender and receiver banks. Its identifiers, institutions, account strings and amounts are illustrative. They are not evidence of an actual payment or of successful end-to-end message validation.</w:t>
      </w:r>
    </w:p>
    <w:p>
      <w:pPr>
        <w:spacing w:after="140" w:line="259" w:lineRule="auto"/>
      </w:pPr>
      <w:r>
        <w:rPr>
          <w:sz w:val="22"/>
        </w:rPr>
        <w:t>The status labels and fee label are simplified in the worksheet. Their exact code meanings and message applicability still need checking; do not treat the narrative sequence or the displayed SHA label as the definitive ISO representation.</w:t>
      </w:r>
    </w:p>
    <w:p>
      <w:pPr>
        <w:spacing w:after="140" w:line="259" w:lineRule="auto"/>
      </w:pPr>
      <w:r>
        <w:rPr>
          <w:b/>
          <w:sz w:val="22"/>
        </w:rPr>
        <w:t>Review focus</w:t>
      </w:r>
      <w:r>
        <w:rPr>
          <w:sz w:val="22"/>
        </w:rPr>
        <w:t xml:space="preserve"> Walk through the example and ask whether each value has a clear home, whether relationships and order are preserved, and what changes for a return, cancellation, cover payment or statement containing several transactions.</w:t>
      </w:r>
    </w:p>
    <w:p>
      <w:r>
        <w:br w:type="page"/>
      </w:r>
    </w:p>
    <w:p>
      <w:pPr>
        <w:pStyle w:val="Heading1"/>
        <w:spacing w:before="240" w:after="140"/>
      </w:pPr>
      <w:r>
        <w:t>Workbook sheets 4 and 5  Decisions and evidence</w:t>
      </w:r>
    </w:p>
    <w:p>
      <w:pPr>
        <w:pStyle w:val="Heading1"/>
        <w:spacing w:before="240" w:after="140"/>
      </w:pPr>
      <w:r>
        <w:t>Sheet 4  03_Source_Decision_Register</w:t>
      </w:r>
    </w:p>
    <w:p>
      <w:pPr>
        <w:spacing w:after="140" w:line="259" w:lineRule="auto"/>
      </w:pPr>
      <w:r>
        <w:rPr>
          <w:sz w:val="22"/>
        </w:rPr>
        <w:t>This sheet contains all 54,855 source occurrences. Row 4 is the header and rows 5 to 54,859 contain the register. It records source_field_id, message_family, complete_message_definition_id, source_xpath, xml_tag, parent_component, decision and decision_rationale.</w:t>
      </w:r>
    </w:p>
    <w:p>
      <w:pPr>
        <w:spacing w:after="140" w:line="259" w:lineRule="auto"/>
      </w:pPr>
      <w:r>
        <w:rPr>
          <w:sz w:val="22"/>
        </w:rPr>
        <w:t>source_field_id identifies a register entry. The exact message ID and XML path establish the source context; the same tag may mean different things under different parents. decision and decision_rationale explain whether the occurrence is retained or excluded and why.</w:t>
      </w:r>
    </w:p>
    <w:p>
      <w:pPr>
        <w:spacing w:after="140" w:line="259" w:lineRule="auto"/>
      </w:pPr>
      <w:r>
        <w:rPr>
          <w:sz w:val="22"/>
        </w:rPr>
        <w:t>Use it to inspect exclusions or investigate the source of a disputed interpretation. A wrapper exclusion means its children are considered separately. Excluding a contact value or card detail is a different business decision. The register does not contain the target column, so it cannot alone validate a complete source-to-target transformation.</w:t>
      </w:r>
    </w:p>
    <w:p>
      <w:pPr>
        <w:spacing w:after="140" w:line="259" w:lineRule="auto"/>
      </w:pPr>
      <w:r>
        <w:rPr>
          <w:b/>
          <w:sz w:val="22"/>
        </w:rPr>
        <w:t>Recording feedback</w:t>
      </w:r>
      <w:r>
        <w:rPr>
          <w:sz w:val="22"/>
        </w:rPr>
        <w:t xml:space="preserve"> Quote the source_field_id, exact message ID and path in the main review sheet’s Comments. If there is no target field because the source is excluded, clearly label the comment as an exclusion or missing-field issue. The source register itself has no dedicated feedback columns or preconfigured filter.</w:t>
      </w:r>
    </w:p>
    <w:p>
      <w:pPr>
        <w:pStyle w:val="Heading1"/>
        <w:spacing w:before="240" w:after="140"/>
      </w:pPr>
      <w:r>
        <w:t>Sheet 5  05_ISO_Validation_Coverage</w:t>
      </w:r>
    </w:p>
    <w:p>
      <w:pPr>
        <w:spacing w:after="140" w:line="259" w:lineRule="auto"/>
      </w:pPr>
      <w:r>
        <w:rPr>
          <w:sz w:val="22"/>
        </w:rPr>
        <w:t>This sheet is the 363-column breakdown behind slide 8. Headers are on row 5 and entries run from row 6 to row 368. Table, Field and Field ID identify the destination. Validation basis distinguishes verified ISO source-type constraints, project-defined rules required and source mapping needing clarification.</w:t>
      </w:r>
    </w:p>
    <w:p>
      <w:pPr>
        <w:spacing w:after="140" w:line="259" w:lineRule="auto"/>
      </w:pPr>
      <w:r>
        <w:rPr>
          <w:sz w:val="22"/>
        </w:rPr>
        <w:t>ISO source types lists the types recorded in the review workbook. Constraint categories identifies extracted facets such as pattern, enumeration, maxLength or fractionDigits. Base types identifies types such as string, decimal or dateTime. Constraints / note gives the extracted constraints or explains why a direct ISO rule was not assigned.</w:t>
      </w:r>
    </w:p>
    <w:p>
      <w:pPr>
        <w:spacing w:after="140" w:line="259" w:lineRule="auto"/>
      </w:pPr>
      <w:r>
        <w:rPr>
          <w:sz w:val="22"/>
        </w:rPr>
        <w:t>The totals are 303 verified, 59 project-defined and one unresolved. Project-defined entries include internal keys, relationship metadata and derived values. Their classification does not mean they need no checks. The unresolved field is fact_payment_lifecycle_event.event_timestamp: its exact source selection needs clarification.</w:t>
      </w:r>
    </w:p>
    <w:p>
      <w:pPr>
        <w:spacing w:after="140" w:line="259" w:lineRule="auto"/>
      </w:pPr>
      <w:r>
        <w:rPr>
          <w:sz w:val="22"/>
        </w:rPr>
        <w:t>Each verified column has at least one documented source example checked. Alternative constraints apply according to the originating message and path; do not combine all alternatives into one universal acceptance rule. The evidence CSV contains 937 source-example records, so a column can have several supporting examples.</w:t>
      </w:r>
    </w:p>
    <w:p>
      <w:pPr>
        <w:spacing w:after="140" w:line="259" w:lineRule="auto"/>
      </w:pPr>
      <w:r>
        <w:rPr>
          <w:b/>
          <w:sz w:val="22"/>
        </w:rPr>
        <w:t>Review focus</w:t>
      </w:r>
      <w:r>
        <w:rPr>
          <w:sz w:val="22"/>
        </w:rPr>
        <w:t xml:space="preserve"> Check source applicability and missing derivation rules. Use Field ID to connect a finding here to the main review sheet.</w:t>
      </w:r>
    </w:p>
    <w:p>
      <w:r>
        <w:br w:type="page"/>
      </w:r>
    </w:p>
    <w:p>
      <w:pPr>
        <w:pStyle w:val="Heading1"/>
        <w:spacing w:before="240" w:after="140"/>
      </w:pPr>
      <w:r>
        <w:t>Using the package to complete a review</w:t>
      </w:r>
    </w:p>
    <w:p>
      <w:pPr>
        <w:pStyle w:val="Heading1"/>
        <w:spacing w:before="240" w:after="140"/>
      </w:pPr>
      <w:r>
        <w:t>A practical review sequence</w:t>
      </w:r>
    </w:p>
    <w:p>
      <w:pPr>
        <w:spacing w:after="140" w:line="259" w:lineRule="auto"/>
      </w:pPr>
      <w:r>
        <w:rPr>
          <w:b/>
          <w:sz w:val="22"/>
        </w:rPr>
        <w:t>1  Confirm scope.</w:t>
      </w:r>
      <w:r>
        <w:rPr>
          <w:sz w:val="22"/>
        </w:rPr>
        <w:t xml:space="preserve"> Identify which assessed messages, exact versions and payment contexts the bank uses. Note omissions before evaluating individual fields.</w:t>
      </w:r>
    </w:p>
    <w:p>
      <w:pPr>
        <w:spacing w:after="140" w:line="259" w:lineRule="auto"/>
      </w:pPr>
      <w:r>
        <w:rPr>
          <w:b/>
          <w:sz w:val="22"/>
        </w:rPr>
        <w:t>2  Read the model and example.</w:t>
      </w:r>
      <w:r>
        <w:rPr>
          <w:sz w:val="22"/>
        </w:rPr>
        <w:t xml:space="preserve"> Use 02_Data_Model and 04_Worked_Example to understand the table grains and how one payment is distributed.</w:t>
      </w:r>
    </w:p>
    <w:p>
      <w:pPr>
        <w:spacing w:after="140" w:line="259" w:lineRule="auto"/>
      </w:pPr>
      <w:r>
        <w:rPr>
          <w:b/>
          <w:sz w:val="22"/>
        </w:rPr>
        <w:t>3  Review fields.</w:t>
      </w:r>
      <w:r>
        <w:rPr>
          <w:sz w:val="22"/>
        </w:rPr>
        <w:t xml:space="preserve"> Use 01_Field_Review. Check definitions, party roles, amounts and currencies, original versus current identifiers, lifecycle timestamps, account entries and repeating information.</w:t>
      </w:r>
    </w:p>
    <w:p>
      <w:pPr>
        <w:spacing w:after="140" w:line="259" w:lineRule="auto"/>
      </w:pPr>
      <w:r>
        <w:rPr>
          <w:b/>
          <w:sz w:val="22"/>
        </w:rPr>
        <w:t>4  Challenge exclusions and checks.</w:t>
      </w:r>
      <w:r>
        <w:rPr>
          <w:sz w:val="22"/>
        </w:rPr>
        <w:t xml:space="preserve"> Use 03_Source_Decision_Register and 05_ISO_Validation_Coverage. Distinguish a wrong business decision from a missing rule or incomplete source mapping.</w:t>
      </w:r>
    </w:p>
    <w:p>
      <w:pPr>
        <w:spacing w:after="140" w:line="259" w:lineRule="auto"/>
      </w:pPr>
      <w:r>
        <w:rPr>
          <w:b/>
          <w:sz w:val="22"/>
        </w:rPr>
        <w:t>5  Return precise feedback.</w:t>
      </w:r>
      <w:r>
        <w:rPr>
          <w:sz w:val="22"/>
        </w:rPr>
        <w:t xml:space="preserve"> Complete Review and Comments in the BA workbook. Include your name or team in comments or the covering message so that follow-up questions can reach the right person.</w:t>
      </w:r>
    </w:p>
    <w:p>
      <w:pPr>
        <w:pStyle w:val="Heading1"/>
        <w:spacing w:before="240" w:after="140"/>
      </w:pPr>
      <w:r>
        <w:t>Example of a useful comment</w:t>
      </w:r>
    </w:p>
    <w:p>
      <w:pPr>
        <w:spacing w:after="140" w:line="259" w:lineRule="auto"/>
      </w:pPr>
      <w:r>
        <w:rPr>
          <w:sz w:val="22"/>
        </w:rPr>
        <w:t>Field ID: fact_payment_account.account_id. Review: Change required. Comments: Apply the IBAN-specific format check only when the source identifier is IBAN. For Id/Othr/Id, use the applicable scheme rules. Confirm the supported identifier schemes for our payment flows and provide one representative example.</w:t>
      </w:r>
    </w:p>
    <w:p>
      <w:pPr>
        <w:pStyle w:val="Heading1"/>
        <w:spacing w:before="240" w:after="140"/>
      </w:pPr>
      <w:r>
        <w:t>Short glossary</w:t>
      </w:r>
    </w:p>
    <w:p>
      <w:pPr>
        <w:spacing w:after="140" w:line="259" w:lineRule="auto"/>
      </w:pPr>
      <w:r>
        <w:rPr>
          <w:b/>
          <w:sz w:val="22"/>
        </w:rPr>
        <w:t>ISO 20022</w:t>
      </w:r>
      <w:r>
        <w:rPr>
          <w:sz w:val="22"/>
        </w:rPr>
        <w:t xml:space="preserve"> The message standard used as the source reference for the project.</w:t>
      </w:r>
    </w:p>
    <w:p>
      <w:pPr>
        <w:spacing w:after="140" w:line="259" w:lineRule="auto"/>
      </w:pPr>
      <w:r>
        <w:rPr>
          <w:b/>
          <w:sz w:val="22"/>
        </w:rPr>
        <w:t>XSD and XML path</w:t>
      </w:r>
      <w:r>
        <w:rPr>
          <w:sz w:val="22"/>
        </w:rPr>
        <w:t xml:space="preserve"> An XSD defines XML structure and types. A path locates an element within a particular message structure.</w:t>
      </w:r>
    </w:p>
    <w:p>
      <w:pPr>
        <w:spacing w:after="140" w:line="259" w:lineRule="auto"/>
      </w:pPr>
      <w:r>
        <w:rPr>
          <w:b/>
          <w:sz w:val="22"/>
        </w:rPr>
        <w:t>Grain</w:t>
      </w:r>
      <w:r>
        <w:rPr>
          <w:sz w:val="22"/>
        </w:rPr>
        <w:t xml:space="preserve"> What one row in a table represents, such as a payment, charge, event or party version.</w:t>
      </w:r>
    </w:p>
    <w:p>
      <w:pPr>
        <w:spacing w:after="140" w:line="259" w:lineRule="auto"/>
      </w:pPr>
      <w:r>
        <w:rPr>
          <w:b/>
          <w:sz w:val="22"/>
        </w:rPr>
        <w:t>Primary key and foreign key</w:t>
      </w:r>
      <w:r>
        <w:rPr>
          <w:sz w:val="22"/>
        </w:rPr>
        <w:t xml:space="preserve"> A row identifier and a reference to a related row, respectively.</w:t>
      </w:r>
    </w:p>
    <w:p>
      <w:pPr>
        <w:spacing w:after="140" w:line="259" w:lineRule="auto"/>
      </w:pPr>
      <w:r>
        <w:rPr>
          <w:b/>
          <w:sz w:val="22"/>
        </w:rPr>
        <w:t>SCD2</w:t>
      </w:r>
      <w:r>
        <w:rPr>
          <w:sz w:val="22"/>
        </w:rPr>
        <w:t xml:space="preserve"> A method of retaining historical entity versions using validity dates and a current-version indicator.</w:t>
      </w:r>
    </w:p>
    <w:p>
      <w:pPr>
        <w:spacing w:after="140" w:line="259" w:lineRule="auto"/>
      </w:pPr>
      <w:r>
        <w:rPr>
          <w:b/>
          <w:sz w:val="22"/>
        </w:rPr>
        <w:t>Source-type constraint</w:t>
      </w:r>
      <w:r>
        <w:rPr>
          <w:sz w:val="22"/>
        </w:rPr>
        <w:t xml:space="preserve"> A rule attached to the source data type, such as length, precision, format or an allowed enumeration.</w:t>
      </w:r>
    </w:p>
    <w:p>
      <w:pPr>
        <w:spacing w:after="140" w:line="259" w:lineRule="auto"/>
      </w:pPr>
      <w:r>
        <w:rPr>
          <w:b/>
          <w:sz w:val="22"/>
        </w:rPr>
        <w:t>Business rule</w:t>
      </w:r>
      <w:r>
        <w:rPr>
          <w:sz w:val="22"/>
        </w:rPr>
        <w:t xml:space="preserve"> A requirement depending on the bank, payment flow, relationship between values or intended use.</w:t>
      </w:r>
    </w:p>
    <w:p>
      <w:pPr>
        <w:pStyle w:val="Heading1"/>
        <w:spacing w:before="240" w:after="140"/>
      </w:pPr>
      <w:r>
        <w:t>Companion files and source basis</w:t>
      </w:r>
    </w:p>
    <w:p>
      <w:pPr>
        <w:spacing w:after="140" w:line="259" w:lineRule="auto"/>
      </w:pPr>
      <w:r>
        <w:rPr>
          <w:sz w:val="22"/>
        </w:rPr>
        <w:t>Source basis: the two presentation and workbook files in the 7 September review package. This guide explains their content; it does not record completed approvals.</w:t>
      </w:r>
    </w:p>
    <w:p>
      <w:pPr>
        <w:spacing w:after="140" w:line="259" w:lineRule="auto"/>
      </w:pPr>
      <w:r>
        <w:rPr>
          <w:sz w:val="22"/>
        </w:rPr>
        <w:t>Reference/ISO_SOURCE_EVIDENCE.csv supports the coverage audit. Reference/doc_codesets.xlsx explains code sets and examples; it is not a complete transmitted-code list. Local schema locators require the project files.</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t>DFR payments review guide</w:t>
    </w:r>
    <w:r>
      <w:t xml:space="preserve">    </w:t>
    </w:r>
    <w:fldSimple w:instr="PAGE"/>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DFR presentation and workbook guide</dc:title>
  <cp:lastModifiedBy>python-docx</cp:lastModifiedBy>
  <cp:revision>1</cp:revision>
  <dcterms:modified xsi:type="dcterms:W3CDTF">2026-09-07T16:27:55Z</dcterms:modified>
  <dc:subject>Explanation of the eleven slides and five workbook sheets in the 7 September review package</dc:subject>
  <dc:creator/>
</cp:coreProperties>
</file>