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Project Plan</w:t>
      </w:r>
    </w:p>
    <w:p>
      <w:pPr>
        <w:pStyle w:val="Heading1"/>
      </w:pPr>
      <w:r>
        <w:rPr/>
        <w:t xml:space="preserve">Project Plan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Architecture Decision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Use the current OpenEMR module pattern from the Weno module as the reference architecture. The old oe-module-lifemesh-telehealth-1.0.0.zip package is useful only as a functional reference because the interviewer explicitly said its structure is outdated.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Local Development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Use Docker Compose with: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OpenEMR application container</w:t>
      </w:r>
    </w:p>
    <w:p>
      <w:pPr>
        <w:pStyle w:val="ListParagraph"/>
      </w:pPr>
      <w:r>
        <w:rPr/>
        <w:t xml:space="preserve">? MariaDB database container</w:t>
      </w:r>
    </w:p>
    <w:p>
      <w:pPr>
        <w:pStyle w:val="ListParagraph"/>
      </w:pPr>
      <w:r>
        <w:rPr/>
        <w:t xml:space="preserve">? Local bind mount for oe-module-medsov-telehealth</w:t>
      </w:r>
    </w:p>
    <w:p>
      <w:pPr>
        <w:pStyle w:val="ListParagraph"/>
      </w:pPr>
      <w:r>
        <w:rPr/>
        <w:t xml:space="preserve">? .env values for OpenEMR credentials and public Jitsi test config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Jitsi itself is not part of the local Docker stack for the first phase. The module should use the normal public Jitsi Meet test domain: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meet.jit.si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This does not mean users leave OpenEMR. Meeting rooms should be embedded inside an OpenEMR module page using Jitsi's iframe API and the configured external API script: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https://meet.jit.si/external_api.js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Rooms should be generated as configurable Jitsi rooms, for example: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https://meet.jit.si/medsov-{opaque-session-id}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The visible user flow should be: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1. Patient/provider opens the Telehealth page in OpenEMR.</w:t>
      </w:r>
    </w:p>
    <w:p>
      <w:pPr>
        <w:pStyle w:val="ListParagraph"/>
      </w:pPr>
      <w:r>
        <w:rPr/>
        <w:t xml:space="preserve">2. OpenEMR validates appointment/session access.</w:t>
      </w:r>
    </w:p>
    <w:p>
      <w:pPr>
        <w:pStyle w:val="ListParagraph"/>
      </w:pPr>
      <w:r>
        <w:rPr/>
        <w:t xml:space="preserve">3. Waiting room checks audio/video permissions.</w:t>
      </w:r>
    </w:p>
    <w:p>
      <w:pPr>
        <w:pStyle w:val="ListParagraph"/>
      </w:pPr>
      <w:r>
        <w:rPr/>
        <w:t xml:space="preserve">4. Provider admits patient when required.</w:t>
      </w:r>
    </w:p>
    <w:p>
      <w:pPr>
        <w:pStyle w:val="ListParagraph"/>
      </w:pPr>
      <w:r>
        <w:rPr/>
        <w:t xml:space="preserve">5. The OpenEMR module renders the Jitsi meeting iframe inside the OpenEMR page.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Provider appointment flow: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1. Provider creates or opens a calendar appointment.</w:t>
      </w:r>
    </w:p>
    <w:p>
      <w:pPr>
        <w:pStyle w:val="ListParagraph"/>
      </w:pPr>
      <w:r>
        <w:rPr/>
        <w:t xml:space="preserve">2. Provider selects the Medsov Telehealth appointment category.</w:t>
      </w:r>
    </w:p>
    <w:p>
      <w:pPr>
        <w:pStyle w:val="ListParagraph"/>
      </w:pPr>
      <w:r>
        <w:rPr/>
        <w:t xml:space="preserve">3. OpenEMR saves the appointment and the module creates/reuses a telehealth session.</w:t>
      </w:r>
    </w:p>
    <w:p>
      <w:pPr>
        <w:pStyle w:val="ListParagraph"/>
      </w:pPr>
      <w:r>
        <w:rPr/>
        <w:t xml:space="preserve">4. Provider reopens the appointment and clicks Start Telehealth.</w:t>
      </w:r>
    </w:p>
    <w:p>
      <w:pPr>
        <w:pStyle w:val="ListParagraph"/>
      </w:pPr>
      <w:r>
        <w:rPr/>
        <w:t xml:space="preserve">5. The module launches the appointment's embedded Jitsi room inside OpenEMR.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Running a local Jitsi Docker stack is only needed when the project requires self-hosting, custom authentication, custom branding, recording infrastructure, or testing behavior that public meet.jit.si cannot support.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Milestones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Milestone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Output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Requirements confirmation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Version/Jitsi/module architecture confirmed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 dev environment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 running locally with module bind mount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0.5-1 day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Module skeleton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Installable module visible in OpenEMR module manager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Configuration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Admin page, feature flags, telehealth domain settings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Session management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Meeting/session records tied to appointments, patients, providers, encounters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Waiting room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Device checks, patient waiting state, provider admit flow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2-4 days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portal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Appointment list and secure join flow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UI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Upcoming sessions, waiting indicators, join/admit actions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Notification integration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Patient/provider arrival and status notifications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Security and audit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Authorization checks, signed links/tokens, audit events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Testing and docs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Test cases, evidence, install/config/upgrade guides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3-5 days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Core Data Model Draft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medsov_telehealth_sessions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id</w:t>
      </w:r>
    </w:p>
    <w:p>
      <w:pPr>
        <w:pStyle w:val="ListParagraph"/>
      </w:pPr>
      <w:r>
        <w:rPr/>
        <w:t xml:space="preserve">? uuid</w:t>
      </w:r>
    </w:p>
    <w:p>
      <w:pPr>
        <w:pStyle w:val="ListParagraph"/>
      </w:pPr>
      <w:r>
        <w:rPr/>
        <w:t xml:space="preserve">? pc_eid</w:t>
      </w:r>
    </w:p>
    <w:p>
      <w:pPr>
        <w:pStyle w:val="ListParagraph"/>
      </w:pPr>
      <w:r>
        <w:rPr/>
        <w:t xml:space="preserve">? pid</w:t>
      </w:r>
    </w:p>
    <w:p>
      <w:pPr>
        <w:pStyle w:val="ListParagraph"/>
      </w:pPr>
      <w:r>
        <w:rPr/>
        <w:t xml:space="preserve">? encounter</w:t>
      </w:r>
    </w:p>
    <w:p>
      <w:pPr>
        <w:pStyle w:val="ListParagraph"/>
      </w:pPr>
      <w:r>
        <w:rPr/>
        <w:t xml:space="preserve">? provider_id</w:t>
      </w:r>
    </w:p>
    <w:p>
      <w:pPr>
        <w:pStyle w:val="ListParagraph"/>
      </w:pPr>
      <w:r>
        <w:rPr/>
        <w:t xml:space="preserve">? meeting_room</w:t>
      </w:r>
    </w:p>
    <w:p>
      <w:pPr>
        <w:pStyle w:val="ListParagraph"/>
      </w:pPr>
      <w:r>
        <w:rPr/>
        <w:t xml:space="preserve">? status</w:t>
      </w:r>
    </w:p>
    <w:p>
      <w:pPr>
        <w:pStyle w:val="ListParagraph"/>
      </w:pPr>
      <w:r>
        <w:rPr/>
        <w:t xml:space="preserve">? patient_waiting_at</w:t>
      </w:r>
    </w:p>
    <w:p>
      <w:pPr>
        <w:pStyle w:val="ListParagraph"/>
      </w:pPr>
      <w:r>
        <w:rPr/>
        <w:t xml:space="preserve">? provider_joined_at</w:t>
      </w:r>
    </w:p>
    <w:p>
      <w:pPr>
        <w:pStyle w:val="ListParagraph"/>
      </w:pPr>
      <w:r>
        <w:rPr/>
        <w:t xml:space="preserve">? admitted_at</w:t>
      </w:r>
    </w:p>
    <w:p>
      <w:pPr>
        <w:pStyle w:val="ListParagraph"/>
      </w:pPr>
      <w:r>
        <w:rPr/>
        <w:t xml:space="preserve">? ended_at</w:t>
      </w:r>
    </w:p>
    <w:p>
      <w:pPr>
        <w:pStyle w:val="ListParagraph"/>
      </w:pPr>
      <w:r>
        <w:rPr/>
        <w:t xml:space="preserve">? created_at</w:t>
      </w:r>
    </w:p>
    <w:p>
      <w:pPr>
        <w:pStyle w:val="ListParagraph"/>
      </w:pPr>
      <w:r>
        <w:rPr/>
        <w:t xml:space="preserve">? updated_at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medsov_telehealth_audit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id</w:t>
      </w:r>
    </w:p>
    <w:p>
      <w:pPr>
        <w:pStyle w:val="ListParagraph"/>
      </w:pPr>
      <w:r>
        <w:rPr/>
        <w:t xml:space="preserve">? session_id</w:t>
      </w:r>
    </w:p>
    <w:p>
      <w:pPr>
        <w:pStyle w:val="ListParagraph"/>
      </w:pPr>
      <w:r>
        <w:rPr/>
        <w:t xml:space="preserve">? event_type</w:t>
      </w:r>
    </w:p>
    <w:p>
      <w:pPr>
        <w:pStyle w:val="ListParagraph"/>
      </w:pPr>
      <w:r>
        <w:rPr/>
        <w:t xml:space="preserve">? actor_type</w:t>
      </w:r>
    </w:p>
    <w:p>
      <w:pPr>
        <w:pStyle w:val="ListParagraph"/>
      </w:pPr>
      <w:r>
        <w:rPr/>
        <w:t xml:space="preserve">? actor_id</w:t>
      </w:r>
    </w:p>
    <w:p>
      <w:pPr>
        <w:pStyle w:val="ListParagraph"/>
      </w:pPr>
      <w:r>
        <w:rPr/>
        <w:t xml:space="preserve">? ip_address</w:t>
      </w:r>
    </w:p>
    <w:p>
      <w:pPr>
        <w:pStyle w:val="ListParagraph"/>
      </w:pPr>
      <w:r>
        <w:rPr/>
        <w:t xml:space="preserve">? user_agent</w:t>
      </w:r>
    </w:p>
    <w:p>
      <w:pPr>
        <w:pStyle w:val="ListParagraph"/>
      </w:pPr>
      <w:r>
        <w:rPr/>
        <w:t xml:space="preserve">? created_at</w:t>
      </w:r>
    </w:p>
    <w:p>
      <w:pPr>
        <w:pStyle w:val="ListParagraph"/>
      </w:pPr>
      <w:r>
        <w:rPr/>
        <w:t xml:space="preserve">? metadata_json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Security Direction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Do not expose predictable room names.</w:t>
      </w:r>
    </w:p>
    <w:p>
      <w:pPr>
        <w:pStyle w:val="ListParagraph"/>
      </w:pPr>
      <w:r>
        <w:rPr/>
        <w:t xml:space="preserve">? Generate opaque UUID-backed meeting rooms.</w:t>
      </w:r>
    </w:p>
    <w:p>
      <w:pPr>
        <w:pStyle w:val="ListParagraph"/>
      </w:pPr>
      <w:r>
        <w:rPr/>
        <w:t xml:space="preserve">? Validate appointment ownership before patient access.</w:t>
      </w:r>
    </w:p>
    <w:p>
      <w:pPr>
        <w:pStyle w:val="ListParagraph"/>
      </w:pPr>
      <w:r>
        <w:rPr/>
        <w:t xml:space="preserve">? Validate provider assignment or authorized role before provider access.</w:t>
      </w:r>
    </w:p>
    <w:p>
      <w:pPr>
        <w:pStyle w:val="ListParagraph"/>
      </w:pPr>
      <w:r>
        <w:rPr/>
        <w:t xml:space="preserve">? Use short-lived signed join tokens for external meeting links.</w:t>
      </w:r>
    </w:p>
    <w:p>
      <w:pPr>
        <w:pStyle w:val="ListParagraph"/>
      </w:pPr>
      <w:r>
        <w:rPr/>
        <w:t xml:space="preserve">? Log meeting creation, waiting room arrival, provider join, admission, and session end.</w:t>
      </w:r>
    </w:p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  <w:pPr>
      <w:spacing w:after="120"/>
    </w:pPr>
  </w:style>
  <w:style w:type="paragraph" w:styleId="Title">
    <w:name w:val="Title"/>
    <w:rPr>
      <w:b/>
      <w:sz w:val="36"/>
      <w:szCs w:val="36"/>
      <w:color w:val="111827"/>
    </w:rPr>
    <w:pPr>
      <w:spacing w:after="240"/>
    </w:pPr>
  </w:style>
  <w:style w:type="paragraph" w:styleId="Heading1">
    <w:name w:val="heading 1"/>
    <w:basedOn w:val="Normal"/>
    <w:rPr>
      <w:b/>
      <w:sz w:val="30"/>
      <w:szCs w:val="30"/>
      <w:color w:val="111827"/>
    </w:rPr>
    <w:pPr>
      <w:spacing w:before="240" w:after="120"/>
    </w:pPr>
  </w:style>
  <w:style w:type="paragraph" w:styleId="Heading2">
    <w:name w:val="heading 2"/>
    <w:basedOn w:val="Normal"/>
    <w:rPr>
      <w:b/>
      <w:sz w:val="26"/>
      <w:szCs w:val="26"/>
      <w:color w:val="111827"/>
    </w:rPr>
    <w:pPr>
      <w:spacing w:before="200" w:after="100"/>
    </w:pPr>
  </w:style>
  <w:style w:type="paragraph" w:styleId="Heading3">
    <w:name w:val="heading 3"/>
    <w:basedOn w:val="Normal"/>
    <w:rPr>
      <w:b/>
      <w:sz w:val="23"/>
      <w:szCs w:val="23"/>
      <w:color w:val="111827"/>
    </w:rPr>
    <w:pPr>
      <w:spacing w:before="160" w:after="80"/>
    </w:pPr>
  </w:style>
  <w:style w:type="paragraph" w:styleId="ListParagraph">
    <w:name w:val="List Paragraph"/>
    <w:basedOn w:val="Normal"/>
    <w:pPr>
      <w:ind w:left="360"/>
      <w:spacing w:after="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