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User Guide</w:t>
      </w:r>
    </w:p>
    <w:p>
      <w:pPr>
        <w:pStyle w:val="Heading1"/>
      </w:pPr>
      <w:r>
        <w:rPr/>
        <w:t xml:space="preserve">Medsov Telehealth User Guide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Provider Workflow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1. Log into OpenEMR.</w:t>
      </w:r>
    </w:p>
    <w:p>
      <w:pPr>
        <w:pStyle w:val="ListParagraph"/>
      </w:pPr>
      <w:r>
        <w:rPr/>
        <w:t xml:space="preserve">2. Open the Calendar.</w:t>
      </w:r>
    </w:p>
    <w:p>
      <w:pPr>
        <w:pStyle w:val="ListParagraph"/>
      </w:pPr>
      <w:r>
        <w:rPr/>
        <w:t xml:space="preserve">3. Create or open a Medsov Telehealth appointment.</w:t>
      </w:r>
    </w:p>
    <w:p>
      <w:pPr>
        <w:pStyle w:val="ListParagraph"/>
      </w:pPr>
      <w:r>
        <w:rPr/>
        <w:t xml:space="preserve">4. Confirm the appointment has a patient and provider.</w:t>
      </w:r>
    </w:p>
    <w:p>
      <w:pPr>
        <w:pStyle w:val="ListParagraph"/>
      </w:pPr>
      <w:r>
        <w:rPr/>
        <w:t xml:space="preserve">5. Use the Medsov Telehealth card in the appointment modal.</w:t>
      </w:r>
    </w:p>
    <w:p>
      <w:pPr>
        <w:pStyle w:val="ListParagraph"/>
      </w:pPr>
      <w:r>
        <w:rPr/>
        <w:t xml:space="preserve">6. Click Start Telehealth.</w:t>
      </w:r>
    </w:p>
    <w:p>
      <w:pPr>
        <w:pStyle w:val="ListParagraph"/>
      </w:pPr>
      <w:r>
        <w:rPr/>
        <w:t xml:space="preserve">7. If the patient is waiting, click Admit Patient.</w:t>
      </w:r>
    </w:p>
    <w:p>
      <w:pPr>
        <w:pStyle w:val="ListParagraph"/>
      </w:pPr>
      <w:r>
        <w:rPr/>
        <w:t xml:space="preserve">8. The Jitsi meeting opens inside OpenEMR.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Provider Upcoming Appointments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Open: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Calendar -&gt; Upcoming Appointments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or, for administrators: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Admin -&gt; Medsov Telehealth -&gt; Upcoming Appointments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This page shows upcoming Medsov Telehealth visits with: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appointment time</w:t>
      </w:r>
    </w:p>
    <w:p>
      <w:pPr>
        <w:pStyle w:val="ListParagraph"/>
      </w:pPr>
      <w:r>
        <w:rPr/>
        <w:t xml:space="preserve">? patient</w:t>
      </w:r>
    </w:p>
    <w:p>
      <w:pPr>
        <w:pStyle w:val="ListParagraph"/>
      </w:pPr>
      <w:r>
        <w:rPr/>
        <w:t xml:space="preserve">? provider</w:t>
      </w:r>
    </w:p>
    <w:p>
      <w:pPr>
        <w:pStyle w:val="ListParagraph"/>
      </w:pPr>
      <w:r>
        <w:rPr/>
        <w:t xml:space="preserve">? visit title</w:t>
      </w:r>
    </w:p>
    <w:p>
      <w:pPr>
        <w:pStyle w:val="ListParagraph"/>
      </w:pPr>
      <w:r>
        <w:rPr/>
        <w:t xml:space="preserve">? status indicator</w:t>
      </w:r>
    </w:p>
    <w:p>
      <w:pPr>
        <w:pStyle w:val="ListParagraph"/>
      </w:pPr>
      <w:r>
        <w:rPr/>
        <w:t xml:space="preserve">? Start action</w:t>
      </w:r>
    </w:p>
    <w:p>
      <w:pPr>
        <w:pStyle w:val="ListParagraph"/>
      </w:pPr>
      <w:r>
        <w:rPr/>
        <w:t xml:space="preserve">? Open Appointment action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Regular providers see assigned appointments. Administrators can view appointments across providers.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Patient Portal Workflow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1. Patient logs into the OpenEMR Patient Portal.</w:t>
      </w:r>
    </w:p>
    <w:p>
      <w:pPr>
        <w:pStyle w:val="ListParagraph"/>
      </w:pPr>
      <w:r>
        <w:rPr/>
        <w:t xml:space="preserve">2. Patient clicks Telehealth.</w:t>
      </w:r>
    </w:p>
    <w:p>
      <w:pPr>
        <w:pStyle w:val="ListParagraph"/>
      </w:pPr>
      <w:r>
        <w:rPr/>
        <w:t xml:space="preserve">3. Patient opens the upcoming virtual care visit.</w:t>
      </w:r>
    </w:p>
    <w:p>
      <w:pPr>
        <w:pStyle w:val="ListParagraph"/>
      </w:pPr>
      <w:r>
        <w:rPr/>
        <w:t xml:space="preserve">4. Patient clicks Check Devices.</w:t>
      </w:r>
    </w:p>
    <w:p>
      <w:pPr>
        <w:pStyle w:val="ListParagraph"/>
      </w:pPr>
      <w:r>
        <w:rPr/>
        <w:t xml:space="preserve">5. Patient waits for the provider to admit them.</w:t>
      </w:r>
    </w:p>
    <w:p>
      <w:pPr>
        <w:pStyle w:val="ListParagraph"/>
      </w:pPr>
      <w:r>
        <w:rPr/>
        <w:t xml:space="preserve">6. After admission, the patient joins the embedded Jitsi meeting.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Waiting Room Statuses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Waiting for provider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is ready but not yet admitted.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waiting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can see the patient is waiting.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admitted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can join the visit.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Visit canceled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Appointment is cancelled and cannot be joined.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Notifications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Provider receives: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Medsov floating alert in OpenEMR</w:t>
      </w:r>
    </w:p>
    <w:p>
      <w:pPr>
        <w:pStyle w:val="ListParagraph"/>
      </w:pPr>
      <w:r>
        <w:rPr/>
        <w:t xml:space="preserve">? OpenEMR Message Center notification</w:t>
      </w:r>
    </w:p>
    <w:p>
      <w:pPr>
        <w:pStyle w:val="ListParagraph"/>
      </w:pPr>
      <w:r>
        <w:rPr/>
        <w:t xml:space="preserve">? email through OpenEMR SMTP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Patient receives: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appointment invitation email</w:t>
      </w:r>
    </w:p>
    <w:p>
      <w:pPr>
        <w:pStyle w:val="ListParagraph"/>
      </w:pPr>
      <w:r>
        <w:rPr/>
        <w:t xml:space="preserve">? appointment update email when date/time changes</w:t>
      </w:r>
    </w:p>
    <w:p>
      <w:pPr>
        <w:pStyle w:val="ListParagraph"/>
      </w:pPr>
      <w:r>
        <w:rPr/>
        <w:t xml:space="preserve">? provider-started email if provider starts first</w:t>
      </w:r>
    </w:p>
    <w:p>
      <w:pPr>
        <w:pStyle w:val="ListParagraph"/>
      </w:pPr>
      <w:r>
        <w:rPr/>
        <w:t xml:space="preserve">? cancellation email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SMS is not active in this build.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  <w:color w:val="111827"/>
    </w:rPr>
    <w:pPr>
      <w:spacing w:after="240"/>
    </w:pPr>
  </w:style>
  <w:style w:type="paragraph" w:styleId="Heading1">
    <w:name w:val="heading 1"/>
    <w:basedOn w:val="Normal"/>
    <w:rPr>
      <w:b/>
      <w:sz w:val="30"/>
      <w:szCs w:val="30"/>
      <w:color w:val="111827"/>
    </w:rPr>
    <w:pPr>
      <w:spacing w:before="240" w:after="120"/>
    </w:pPr>
  </w:style>
  <w:style w:type="paragraph" w:styleId="Heading2">
    <w:name w:val="heading 2"/>
    <w:basedOn w:val="Normal"/>
    <w:rPr>
      <w:b/>
      <w:sz w:val="26"/>
      <w:szCs w:val="26"/>
      <w:color w:val="111827"/>
    </w:rPr>
    <w:pPr>
      <w:spacing w:before="200" w:after="100"/>
    </w:pPr>
  </w:style>
  <w:style w:type="paragraph" w:styleId="Heading3">
    <w:name w:val="heading 3"/>
    <w:basedOn w:val="Normal"/>
    <w:rPr>
      <w:b/>
      <w:sz w:val="23"/>
      <w:szCs w:val="23"/>
      <w:color w:val="111827"/>
    </w:rPr>
    <w:pPr>
      <w:spacing w:before="160"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