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after="80"/>
      </w:pPr>
      <w:r>
        <w:rPr>
          <w:sz w:val="20"/>
          <w:color w:val="F4212E"/>
          <w:b/>
        </w:rPr>
        <w:t xml:space="preserve">MEDSOV TELEHEALTH</w:t>
      </w:r>
    </w:p>
    <w:p>
      <w:pPr>
        <w:spacing w:after="240"/>
      </w:pPr>
      <w:r>
        <w:rPr>
          <w:sz w:val="38"/>
          <w:color w:val="231F20"/>
          <w:b/>
        </w:rPr>
        <w:t xml:space="preserve">Medsov Telehealth Configuration Guide</w:t>
      </w:r>
    </w:p>
    <w:p>
      <w:pPr>
        <w:pBdr>
          <w:bottom w:val="single" w:sz="12" w:space="1" w:color="F4212E"/>
        </w:pBdr>
        <w:spacing w:after="280"/>
      </w:pPr>
    </w:p>
    <w:p>
      <w:pPr>
        <w:spacing w:after="80"/>
      </w:pPr>
      <w:r>
        <w:rPr>
          <w:sz w:val="22"/>
          <w:color w:val="231F20"/>
        </w:rPr>
        <w:t xml:space="preserve"/>
      </w:r>
    </w:p>
    <w:p>
      <w:pPr>
        <w:spacing w:after="100"/>
      </w:pPr>
      <w:r>
        <w:rPr>
          <w:sz w:val="21"/>
          <w:color w:val="231F20"/>
        </w:rPr>
        <w:t xml:space="preserve">Open the configuration screen from:</w:t>
      </w:r>
    </w:p>
    <w:p>
      <w:pPr>
        <w:spacing w:after="80"/>
      </w:pPr>
      <w:r>
        <w:rPr>
          <w:sz w:val="22"/>
          <w:color w:val="231F20"/>
        </w:rPr>
        <w:t xml:space="preserve"/>
      </w:r>
    </w:p>
    <w:p>
      <w:pPr>
        <w:shd w:fill="F4F4F4"/>
        <w:spacing w:after="40"/>
      </w:pPr>
      <w:r>
        <w:rPr>
          <w:sz w:val="18"/>
          <w:color w:val="231F20"/>
          <w:rFonts w:ascii="Courier New" w:hAnsi="Courier New"/>
        </w:rPr>
        <w:t xml:space="preserve">Admin -&gt; Medsov Telehealth -&gt; Telehealth Setup</w:t>
      </w:r>
    </w:p>
    <w:p>
      <w:pPr>
        <w:spacing w:after="80"/>
      </w:pPr>
      <w:r>
        <w:rPr>
          <w:sz w:val="22"/>
          <w:color w:val="231F20"/>
        </w:rPr>
        <w:t xml:space="preserve"/>
      </w:r>
    </w:p>
    <w:p>
      <w:pPr>
        <w:spacing w:after="140"/>
      </w:pPr>
      <w:r>
        <w:rPr>
          <w:sz w:val="28"/>
          <w:color w:val="F4212E"/>
          <w:b/>
        </w:rPr>
        <w:t xml:space="preserve">Feature Flags</w:t>
      </w:r>
    </w:p>
    <w:p>
      <w:pPr>
        <w:spacing w:after="80"/>
      </w:pPr>
      <w:r>
        <w:rPr>
          <w:sz w:val="22"/>
          <w:color w:val="231F20"/>
        </w:rPr>
        <w:t xml:space="preserve"/>
      </w:r>
    </w:p>
    <w:tbl>
      <w:tblPr>
        <w:tblStyle w:val="TableGrid"/>
        <w:tblW w:w="0" w:type="auto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r>
        <w:tc>
          <w:tcPr>
            <w:shd w:fill="F4212E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color w:val="FFFFFF"/>
                <w:b/>
              </w:rPr>
              <w:t xml:space="preserve">Setting</w:t>
            </w:r>
          </w:p>
        </w:tc>
        <w:tc>
          <w:tcPr>
            <w:shd w:fill="F4212E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color w:val="FFFFFF"/>
                <w:b/>
              </w:rPr>
              <w:t xml:space="preserve">Purpose</w:t>
            </w:r>
          </w:p>
        </w:tc>
      </w:tr>
      <w:tr>
        <w:tc>
          <w:tcPr>
            <w:shd w:fill="FFF5F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color w:val="231F20"/>
              </w:rPr>
              <w:t xml:space="preserve">Enable Medsov Telehealth</w:t>
            </w:r>
          </w:p>
        </w:tc>
        <w:tc>
          <w:tcPr>
            <w:shd w:fill="FFF5F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color w:val="231F20"/>
              </w:rPr>
              <w:t xml:space="preserve">Enables or disables the module features.</w:t>
            </w:r>
          </w:p>
        </w:tc>
      </w:tr>
      <w:tr>
        <w:tc>
          <w:tcPr>
            <w:shd w:fill="FFF5F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color w:val="231F20"/>
              </w:rPr>
              <w:t xml:space="preserve">Enable Waiting Room</w:t>
            </w:r>
          </w:p>
        </w:tc>
        <w:tc>
          <w:tcPr>
            <w:shd w:fill="FFF5F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color w:val="231F20"/>
              </w:rPr>
              <w:t xml:space="preserve">Requires patients to wait until the assigned provider admits them.</w:t>
            </w:r>
          </w:p>
        </w:tc>
      </w:tr>
      <w:tr>
        <w:tc>
          <w:tcPr>
            <w:shd w:fill="FFF5F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color w:val="231F20"/>
              </w:rPr>
              <w:t xml:space="preserve">Enable Video</w:t>
            </w:r>
          </w:p>
        </w:tc>
        <w:tc>
          <w:tcPr>
            <w:shd w:fill="FFF5F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color w:val="231F20"/>
              </w:rPr>
              <w:t xml:space="preserve">Enables video device checks and Jitsi video behavior.</w:t>
            </w:r>
          </w:p>
        </w:tc>
      </w:tr>
      <w:tr>
        <w:tc>
          <w:tcPr>
            <w:shd w:fill="FFF5F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color w:val="231F20"/>
              </w:rPr>
              <w:t xml:space="preserve">Enable Audio</w:t>
            </w:r>
          </w:p>
        </w:tc>
        <w:tc>
          <w:tcPr>
            <w:shd w:fill="FFF5F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color w:val="231F20"/>
              </w:rPr>
              <w:t xml:space="preserve">Enables microphone checks and Jitsi audio behavior.</w:t>
            </w:r>
          </w:p>
        </w:tc>
      </w:tr>
      <w:tr>
        <w:tc>
          <w:tcPr>
            <w:shd w:fill="FFF5F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color w:val="231F20"/>
              </w:rPr>
              <w:t xml:space="preserve">Enable Email Notifications</w:t>
            </w:r>
          </w:p>
        </w:tc>
        <w:tc>
          <w:tcPr>
            <w:shd w:fill="FFF5F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color w:val="231F20"/>
              </w:rPr>
              <w:t xml:space="preserve">Sends patient/provider emails through OpenEMR SMTP.</w:t>
            </w:r>
          </w:p>
        </w:tc>
      </w:tr>
      <w:tr>
        <w:tc>
          <w:tcPr>
            <w:shd w:fill="FFF5F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color w:val="231F20"/>
              </w:rPr>
              <w:t xml:space="preserve">Enable SMS Notifications</w:t>
            </w:r>
          </w:p>
        </w:tc>
        <w:tc>
          <w:tcPr>
            <w:shd w:fill="FFF5F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color w:val="231F20"/>
              </w:rPr>
              <w:t xml:space="preserve">Not used in this delivery. SMS delivery is intentionally disabled/out of scope for now.</w:t>
            </w:r>
          </w:p>
        </w:tc>
      </w:tr>
    </w:tbl>
    <w:p>
      <w:pPr>
        <w:spacing w:after="120"/>
      </w:pPr>
      <w:r>
        <w:rPr>
          <w:sz w:val="22"/>
          <w:color w:val="231F20"/>
        </w:rPr>
        <w:t xml:space="preserve"/>
      </w:r>
    </w:p>
    <w:p>
      <w:pPr>
        <w:spacing w:after="80"/>
      </w:pPr>
      <w:r>
        <w:rPr>
          <w:sz w:val="22"/>
          <w:color w:val="231F20"/>
        </w:rPr>
        <w:t xml:space="preserve"/>
      </w:r>
    </w:p>
    <w:p>
      <w:pPr>
        <w:spacing w:after="140"/>
      </w:pPr>
      <w:r>
        <w:rPr>
          <w:sz w:val="28"/>
          <w:color w:val="F4212E"/>
          <w:b/>
        </w:rPr>
        <w:t xml:space="preserve">Telehealth Service Settings</w:t>
      </w:r>
    </w:p>
    <w:p>
      <w:pPr>
        <w:spacing w:after="80"/>
      </w:pPr>
      <w:r>
        <w:rPr>
          <w:sz w:val="22"/>
          <w:color w:val="231F20"/>
        </w:rPr>
        <w:t xml:space="preserve"/>
      </w:r>
    </w:p>
    <w:tbl>
      <w:tblPr>
        <w:tblStyle w:val="TableGrid"/>
        <w:tblW w:w="0" w:type="auto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r>
        <w:tc>
          <w:tcPr>
            <w:shd w:fill="F4212E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color w:val="FFFFFF"/>
                <w:b/>
              </w:rPr>
              <w:t xml:space="preserve">Setting</w:t>
            </w:r>
          </w:p>
        </w:tc>
        <w:tc>
          <w:tcPr>
            <w:shd w:fill="F4212E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color w:val="FFFFFF"/>
                <w:b/>
              </w:rPr>
              <w:t xml:space="preserve">Example</w:t>
            </w:r>
          </w:p>
        </w:tc>
        <w:tc>
          <w:tcPr>
            <w:shd w:fill="F4212E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color w:val="FFFFFF"/>
                <w:b/>
              </w:rPr>
              <w:t xml:space="preserve">Purpose</w:t>
            </w:r>
          </w:p>
        </w:tc>
      </w:tr>
      <w:tr>
        <w:tc>
          <w:tcPr>
            <w:shd w:fill="FFF5F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color w:val="231F20"/>
              </w:rPr>
              <w:t xml:space="preserve">Jitsi Domain</w:t>
            </w:r>
          </w:p>
        </w:tc>
        <w:tc>
          <w:tcPr>
            <w:shd w:fill="FFF5F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color w:val="231F20"/>
              </w:rPr>
              <w:t xml:space="preserve">meet.jit.si</w:t>
            </w:r>
          </w:p>
        </w:tc>
        <w:tc>
          <w:tcPr>
            <w:shd w:fill="FFF5F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color w:val="231F20"/>
              </w:rPr>
              <w:t xml:space="preserve">Domain passed to the Jitsi iframe API.</w:t>
            </w:r>
          </w:p>
        </w:tc>
      </w:tr>
      <w:tr>
        <w:tc>
          <w:tcPr>
            <w:shd w:fill="FFF5F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color w:val="231F20"/>
              </w:rPr>
              <w:t xml:space="preserve">Jitsi Base URL</w:t>
            </w:r>
          </w:p>
        </w:tc>
        <w:tc>
          <w:tcPr>
            <w:shd w:fill="FFF5F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color w:val="231F20"/>
              </w:rPr>
              <w:t xml:space="preserve">https://meet.jit.si</w:t>
            </w:r>
          </w:p>
        </w:tc>
        <w:tc>
          <w:tcPr>
            <w:shd w:fill="FFF5F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color w:val="231F20"/>
              </w:rPr>
              <w:t xml:space="preserve">Base URL for meeting service configuration.</w:t>
            </w:r>
          </w:p>
        </w:tc>
      </w:tr>
      <w:tr>
        <w:tc>
          <w:tcPr>
            <w:shd w:fill="FFF5F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color w:val="231F20"/>
              </w:rPr>
              <w:t xml:space="preserve">Jitsi External API Script</w:t>
            </w:r>
          </w:p>
        </w:tc>
        <w:tc>
          <w:tcPr>
            <w:shd w:fill="FFF5F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color w:val="231F20"/>
              </w:rPr>
              <w:t xml:space="preserve">https://meet.jit.si/external_api.js</w:t>
            </w:r>
          </w:p>
        </w:tc>
        <w:tc>
          <w:tcPr>
            <w:shd w:fill="FFF5F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color w:val="231F20"/>
              </w:rPr>
              <w:t xml:space="preserve">Script loaded on the embedded meeting page.</w:t>
            </w:r>
          </w:p>
        </w:tc>
      </w:tr>
    </w:tbl>
    <w:p>
      <w:pPr>
        <w:spacing w:after="120"/>
      </w:pPr>
      <w:r>
        <w:rPr>
          <w:sz w:val="22"/>
          <w:color w:val="231F20"/>
        </w:rPr>
        <w:t xml:space="preserve"/>
      </w:r>
    </w:p>
    <w:p>
      <w:pPr>
        <w:spacing w:after="80"/>
      </w:pPr>
      <w:r>
        <w:rPr>
          <w:sz w:val="22"/>
          <w:color w:val="231F20"/>
        </w:rPr>
        <w:t xml:space="preserve"/>
      </w:r>
    </w:p>
    <w:p>
      <w:pPr>
        <w:spacing w:after="140"/>
      </w:pPr>
      <w:r>
        <w:rPr>
          <w:sz w:val="28"/>
          <w:color w:val="F4212E"/>
          <w:b/>
        </w:rPr>
        <w:t xml:space="preserve">Capacity Settings</w:t>
      </w:r>
    </w:p>
    <w:p>
      <w:pPr>
        <w:spacing w:after="80"/>
      </w:pPr>
      <w:r>
        <w:rPr>
          <w:sz w:val="22"/>
          <w:color w:val="231F20"/>
        </w:rPr>
        <w:t xml:space="preserve"/>
      </w:r>
    </w:p>
    <w:tbl>
      <w:tblPr>
        <w:tblStyle w:val="TableGrid"/>
        <w:tblW w:w="0" w:type="auto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r>
        <w:tc>
          <w:tcPr>
            <w:shd w:fill="F4212E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color w:val="FFFFFF"/>
                <w:b/>
              </w:rPr>
              <w:t xml:space="preserve">Setting</w:t>
            </w:r>
          </w:p>
        </w:tc>
        <w:tc>
          <w:tcPr>
            <w:shd w:fill="F4212E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color w:val="FFFFFF"/>
                <w:b/>
              </w:rPr>
              <w:t xml:space="preserve">Purpose</w:t>
            </w:r>
          </w:p>
        </w:tc>
      </w:tr>
      <w:tr>
        <w:tc>
          <w:tcPr>
            <w:shd w:fill="FFF5F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color w:val="231F20"/>
              </w:rPr>
              <w:t xml:space="preserve">Maximum Participants</w:t>
            </w:r>
          </w:p>
        </w:tc>
        <w:tc>
          <w:tcPr>
            <w:shd w:fill="FFF5F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color w:val="231F20"/>
              </w:rPr>
              <w:t xml:space="preserve">Enforces the maximum number of active provider/patient participants allowed into a telehealth session.</w:t>
            </w:r>
          </w:p>
        </w:tc>
      </w:tr>
    </w:tbl>
    <w:p>
      <w:pPr>
        <w:spacing w:after="120"/>
      </w:pPr>
      <w:r>
        <w:rPr>
          <w:sz w:val="22"/>
          <w:color w:val="231F20"/>
        </w:rPr>
        <w:t xml:space="preserve"/>
      </w:r>
    </w:p>
    <w:p>
      <w:pPr>
        <w:spacing w:after="80"/>
      </w:pPr>
      <w:r>
        <w:rPr>
          <w:sz w:val="22"/>
          <w:color w:val="231F20"/>
        </w:rPr>
        <w:t xml:space="preserve"/>
      </w:r>
    </w:p>
    <w:p>
      <w:pPr>
        <w:spacing w:after="100"/>
      </w:pPr>
      <w:r>
        <w:rPr>
          <w:sz w:val="21"/>
          <w:color w:val="231F20"/>
        </w:rPr>
        <w:t xml:space="preserve">Note: participant capacity is enforced by the Medsov Telehealth module before the embedded Jitsi page loads. A private Jitsi deployment may still add a second layer of capacity policy if required for production.</w:t>
      </w:r>
    </w:p>
    <w:p>
      <w:pPr>
        <w:spacing w:after="80"/>
      </w:pPr>
      <w:r>
        <w:rPr>
          <w:sz w:val="22"/>
          <w:color w:val="231F20"/>
        </w:rPr>
        <w:t xml:space="preserve"/>
      </w:r>
    </w:p>
    <w:p>
      <w:pPr>
        <w:spacing w:after="140"/>
      </w:pPr>
      <w:r>
        <w:rPr>
          <w:sz w:val="28"/>
          <w:color w:val="F4212E"/>
          <w:b/>
        </w:rPr>
        <w:t xml:space="preserve">Email Settings</w:t>
      </w:r>
    </w:p>
    <w:p>
      <w:pPr>
        <w:spacing w:after="80"/>
      </w:pPr>
      <w:r>
        <w:rPr>
          <w:sz w:val="22"/>
          <w:color w:val="231F20"/>
        </w:rPr>
        <w:t xml:space="preserve"/>
      </w:r>
    </w:p>
    <w:p>
      <w:pPr>
        <w:spacing w:after="100"/>
      </w:pPr>
      <w:r>
        <w:rPr>
          <w:sz w:val="21"/>
          <w:color w:val="231F20"/>
        </w:rPr>
        <w:t xml:space="preserve">Emails are sent through OpenEMR SMTP settings. In local Docker development, Mailpit receives the messages:</w:t>
      </w:r>
    </w:p>
    <w:p>
      <w:pPr>
        <w:spacing w:after="80"/>
      </w:pPr>
      <w:r>
        <w:rPr>
          <w:sz w:val="22"/>
          <w:color w:val="231F20"/>
        </w:rPr>
        <w:t xml:space="preserve"/>
      </w:r>
    </w:p>
    <w:p>
      <w:pPr>
        <w:shd w:fill="F4F4F4"/>
        <w:spacing w:after="40"/>
      </w:pPr>
      <w:r>
        <w:rPr>
          <w:sz w:val="18"/>
          <w:color w:val="231F20"/>
          <w:rFonts w:ascii="Courier New" w:hAnsi="Courier New"/>
        </w:rPr>
        <w:t xml:space="preserve">http://localhost:8026</w:t>
      </w:r>
    </w:p>
    <w:p>
      <w:pPr>
        <w:spacing w:after="80"/>
      </w:pPr>
      <w:r>
        <w:rPr>
          <w:sz w:val="22"/>
          <w:color w:val="231F20"/>
        </w:rPr>
        <w:t xml:space="preserve"/>
      </w:r>
    </w:p>
    <w:p>
      <w:pPr>
        <w:spacing w:after="100"/>
      </w:pPr>
      <w:r>
        <w:rPr>
          <w:sz w:val="21"/>
          <w:color w:val="231F20"/>
        </w:rPr>
        <w:t xml:space="preserve">For production, configure SMTP in OpenEMR using the organization email provider.</w:t>
      </w:r>
    </w:p>
    <w:p>
      <w:pPr>
        <w:spacing w:after="80"/>
      </w:pPr>
      <w:r>
        <w:rPr>
          <w:sz w:val="22"/>
          <w:color w:val="231F20"/>
        </w:rPr>
        <w:t xml:space="preserve"/>
      </w:r>
    </w:p>
    <w:p>
      <w:pPr>
        <w:spacing w:after="140"/>
      </w:pPr>
      <w:r>
        <w:rPr>
          <w:sz w:val="28"/>
          <w:color w:val="F4212E"/>
          <w:b/>
        </w:rPr>
        <w:t xml:space="preserve">Recommended Local Test Settings</w:t>
      </w:r>
    </w:p>
    <w:p>
      <w:pPr>
        <w:spacing w:after="80"/>
      </w:pPr>
      <w:r>
        <w:rPr>
          <w:sz w:val="22"/>
          <w:color w:val="231F20"/>
        </w:rPr>
        <w:t xml:space="preserve"/>
      </w:r>
    </w:p>
    <w:p>
      <w:pPr>
        <w:shd w:fill="F4F4F4"/>
        <w:spacing w:after="40"/>
      </w:pPr>
      <w:r>
        <w:rPr>
          <w:sz w:val="18"/>
          <w:color w:val="231F20"/>
          <w:rFonts w:ascii="Courier New" w:hAnsi="Courier New"/>
        </w:rPr>
        <w:t xml:space="preserve">Jitsi Domain: meet.jit.si</w:t>
      </w:r>
    </w:p>
    <w:p>
      <w:pPr>
        <w:shd w:fill="F4F4F4"/>
        <w:spacing w:after="40"/>
      </w:pPr>
      <w:r>
        <w:rPr>
          <w:sz w:val="18"/>
          <w:color w:val="231F20"/>
          <w:rFonts w:ascii="Courier New" w:hAnsi="Courier New"/>
        </w:rPr>
        <w:t xml:space="preserve">Jitsi Base URL: https://meet.jit.si</w:t>
      </w:r>
    </w:p>
    <w:p>
      <w:pPr>
        <w:shd w:fill="F4F4F4"/>
        <w:spacing w:after="40"/>
      </w:pPr>
      <w:r>
        <w:rPr>
          <w:sz w:val="18"/>
          <w:color w:val="231F20"/>
          <w:rFonts w:ascii="Courier New" w:hAnsi="Courier New"/>
        </w:rPr>
        <w:t xml:space="preserve">Jitsi External API Script: https://meet.jit.si/external_api.js</w:t>
      </w:r>
    </w:p>
    <w:p>
      <w:pPr>
        <w:shd w:fill="F4F4F4"/>
        <w:spacing w:after="40"/>
      </w:pPr>
      <w:r>
        <w:rPr>
          <w:sz w:val="18"/>
          <w:color w:val="231F20"/>
          <w:rFonts w:ascii="Courier New" w:hAnsi="Courier New"/>
        </w:rPr>
        <w:t xml:space="preserve">Waiting Room: enabled</w:t>
      </w:r>
    </w:p>
    <w:p>
      <w:pPr>
        <w:shd w:fill="F4F4F4"/>
        <w:spacing w:after="40"/>
      </w:pPr>
      <w:r>
        <w:rPr>
          <w:sz w:val="18"/>
          <w:color w:val="231F20"/>
          <w:rFonts w:ascii="Courier New" w:hAnsi="Courier New"/>
        </w:rPr>
        <w:t xml:space="preserve">Audio: enabled</w:t>
      </w:r>
    </w:p>
    <w:p>
      <w:pPr>
        <w:shd w:fill="F4F4F4"/>
        <w:spacing w:after="40"/>
      </w:pPr>
      <w:r>
        <w:rPr>
          <w:sz w:val="18"/>
          <w:color w:val="231F20"/>
          <w:rFonts w:ascii="Courier New" w:hAnsi="Courier New"/>
        </w:rPr>
        <w:t xml:space="preserve">Video: enabled</w:t>
      </w:r>
    </w:p>
    <w:p>
      <w:pPr>
        <w:shd w:fill="F4F4F4"/>
        <w:spacing w:after="40"/>
      </w:pPr>
      <w:r>
        <w:rPr>
          <w:sz w:val="18"/>
          <w:color w:val="231F20"/>
          <w:rFonts w:ascii="Courier New" w:hAnsi="Courier New"/>
        </w:rPr>
        <w:t xml:space="preserve">Email Notifications: enabled</w:t>
      </w:r>
    </w:p>
    <w:p>
      <w:pPr>
        <w:shd w:fill="F4F4F4"/>
        <w:spacing w:after="40"/>
      </w:pPr>
      <w:r>
        <w:rPr>
          <w:sz w:val="18"/>
          <w:color w:val="231F20"/>
          <w:rFonts w:ascii="Courier New" w:hAnsi="Courier New"/>
        </w:rPr>
        <w:t xml:space="preserve">SMS Notifications: disabled</w:t>
      </w:r>
    </w:p>
    <w:sectPr>
      <w:pgSz w:w="12240" w:h="15840"/>
      <w:pgMar w:top="1080" w:right="1080" w:bottom="1080" w:left="108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Calibri" w:hAnsi="Calibri"/>
      <w:sz w:val="22"/>
    </w:rPr>
  </w:style>
  <w:style w:type="table" w:styleId="TableGrid">
    <w:name w:val="Table Grid"/>
    <w:tblPr>
      <w:tblBorders>
        <w:top w:val="single" w:sz="4" w:color="D9D9D9"/>
        <w:left w:val="single" w:sz="4" w:color="D9D9D9"/>
        <w:bottom w:val="single" w:sz="4" w:color="D9D9D9"/>
        <w:right w:val="single" w:sz="4" w:color="D9D9D9"/>
        <w:insideH w:val="single" w:sz="4" w:color="D9D9D9"/>
        <w:insideV w:val="single" w:sz="4" w:color="D9D9D9"/>
      </w:tblBorders>
    </w:tblPr>
  </w:style>
</w:styles>
</file>

<file path=word/_rels/document.xml.rels><?xml version="1.0" encoding="UTF-8" standalone="yes"?>
<Relationships xmlns="http://schemas.openxmlformats.org/package/2006/relationships"/>
</file>