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40"/>
        <w:jc w:val="left"/>
      </w:pPr>
      <w:r>
        <w:rPr>
          <w:rFonts w:ascii="Calibri" w:cs="Calibri" w:eastAsia="Calibri" w:hAnsi="Calibri"/>
          <w:b/>
          <w:bCs/>
          <w:color w:val="2F6FED"/>
          <w:spacing w:val="40"/>
          <w:sz w:val="24"/>
          <w:szCs w:val="24"/>
        </w:rPr>
        <w:t xml:space="preserve">PULSEBOARD ANALYTICS</w:t>
      </w:r>
    </w:p>
    <w:p>
      <w:pPr>
        <w:spacing w:after="120"/>
      </w:pPr>
      <w:r>
        <w:rPr>
          <w:rFonts w:ascii="Calibri" w:cs="Calibri" w:eastAsia="Calibri" w:hAnsi="Calibri"/>
          <w:b/>
          <w:bCs/>
          <w:color w:val="1A2233"/>
          <w:sz w:val="62"/>
          <w:szCs w:val="62"/>
        </w:rPr>
        <w:t xml:space="preserve">GA4 &amp; Google Tag Manager</w:t>
      </w:r>
    </w:p>
    <w:p>
      <w:pPr>
        <w:spacing w:after="240"/>
      </w:pPr>
      <w:r>
        <w:rPr>
          <w:rFonts w:ascii="Calibri" w:cs="Calibri" w:eastAsia="Calibri" w:hAnsi="Calibri"/>
          <w:color w:val="5A6472"/>
          <w:sz w:val="40"/>
          <w:szCs w:val="40"/>
        </w:rPr>
        <w:t xml:space="preserve">Implementation &amp; Setup Guide</w:t>
      </w:r>
    </w:p>
    <w:p>
      <w:pPr>
        <w:pBdr>
          <w:bottom w:val="single" w:color="2F6FED" w:sz="10" w:space="6"/>
        </w:pBdr>
        <w:spacing w:after="40"/>
      </w:pPr>
      <w:r>
        <w:t xml:space="preserve"/>
      </w:r>
    </w:p>
    <w:p>
      <w:pPr>
        <w:spacing w:after="60" w:before="200"/>
      </w:pPr>
      <w:r>
        <w:rPr>
          <w:rFonts w:ascii="Calibri" w:cs="Calibri" w:eastAsia="Calibri" w:hAnsi="Calibri"/>
          <w:i/>
          <w:iCs/>
          <w:color w:val="5A6472"/>
          <w:sz w:val="22"/>
          <w:szCs w:val="22"/>
        </w:rPr>
        <w:t xml:space="preserve">A step-by-step reference for building the consent-gated, event-driven measurement stack — for setup, testing, and explaining the design to others.</w:t>
      </w:r>
    </w:p>
    <w:p>
      <w:pPr>
        <w:spacing w:before="260"/>
      </w:pPr>
    </w:p>
    <w:tbl>
      <w:tblPr>
        <w:tblW w:type="dxa" w:w="9360"/>
        <w:tblBorders>
          <w:top w:val="single" w:color="C9D3E4" w:sz="2"/>
          <w:left w:val="single" w:color="C9D3E4" w:sz="2"/>
          <w:bottom w:val="single" w:color="C9D3E4" w:sz="2"/>
          <w:right w:val="single" w:color="C9D3E4" w:sz="2"/>
          <w:insideH w:val="single" w:color="C9D3E4" w:sz="2"/>
          <w:insideV w:val="single" w:color="C9D3E4" w:sz="2"/>
        </w:tblBorders>
      </w:tblPr>
      <w:tblGrid>
        <w:gridCol w:w="3000"/>
        <w:gridCol w:w="6360"/>
      </w:tblGrid>
      <w:tr>
        <w:trPr>
          <w:tblHeader/>
        </w:trPr>
        <w:tc>
          <w:tcPr>
            <w:tcW w:type="dxa" w:w="3000"/>
            <w:shd w:fill="2F6FED" w:color="auto" w:val="clear"/>
            <w:tcMar>
              <w:top w:type="dxa" w:w="70"/>
              <w:left w:type="dxa" w:w="110"/>
              <w:bottom w:type="dxa" w:w="70"/>
              <w:right w:type="dxa" w:w="110"/>
            </w:tcMar>
            <w:vAlign w:val="center"/>
          </w:tcPr>
          <w:p>
            <w:pPr>
              <w:spacing w:after="0" w:line="258"/>
            </w:pPr>
            <w:r>
              <w:rPr>
                <w:rFonts w:ascii="Calibri" w:cs="Calibri" w:eastAsia="Calibri" w:hAnsi="Calibri"/>
                <w:b/>
                <w:bCs/>
                <w:color w:val="FFFFFF"/>
                <w:sz w:val="19"/>
                <w:szCs w:val="19"/>
              </w:rPr>
              <w:t xml:space="preserve">Key</w:t>
            </w:r>
          </w:p>
        </w:tc>
        <w:tc>
          <w:tcPr>
            <w:tcW w:type="dxa" w:w="6360"/>
            <w:shd w:fill="2F6FED" w:color="auto" w:val="clear"/>
            <w:tcMar>
              <w:top w:type="dxa" w:w="70"/>
              <w:left w:type="dxa" w:w="110"/>
              <w:bottom w:type="dxa" w:w="70"/>
              <w:right w:type="dxa" w:w="110"/>
            </w:tcMar>
            <w:vAlign w:val="center"/>
          </w:tcPr>
          <w:p>
            <w:pPr>
              <w:spacing w:after="0" w:line="258"/>
            </w:pPr>
            <w:r>
              <w:rPr>
                <w:rFonts w:ascii="Calibri" w:cs="Calibri" w:eastAsia="Calibri" w:hAnsi="Calibri"/>
                <w:b/>
                <w:bCs/>
                <w:color w:val="FFFFFF"/>
                <w:sz w:val="19"/>
                <w:szCs w:val="19"/>
              </w:rPr>
              <w:t xml:space="preserve">Value</w:t>
            </w:r>
          </w:p>
        </w:tc>
      </w:tr>
      <w:tr>
        <w:tc>
          <w:tcPr>
            <w:tcW w:type="dxa" w:w="30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Production site</w:t>
            </w:r>
          </w:p>
        </w:tc>
        <w:tc>
          <w:tcPr>
            <w:tcW w:type="dxa" w:w="636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https://pulseboard-tawny.vercel.app/</w:t>
            </w:r>
          </w:p>
        </w:tc>
      </w:tr>
      <w:tr>
        <w:tc>
          <w:tcPr>
            <w:tcW w:type="dxa" w:w="30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GTM container</w:t>
            </w:r>
          </w:p>
        </w:tc>
        <w:tc>
          <w:tcPr>
            <w:tcW w:type="dxa" w:w="636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GTM-WHTKJV76</w:t>
            </w:r>
          </w:p>
        </w:tc>
      </w:tr>
      <w:tr>
        <w:tc>
          <w:tcPr>
            <w:tcW w:type="dxa" w:w="30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GA4 Measurement ID</w:t>
            </w:r>
          </w:p>
        </w:tc>
        <w:tc>
          <w:tcPr>
            <w:tcW w:type="dxa" w:w="636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G-E495LVXW2H</w:t>
            </w:r>
          </w:p>
        </w:tc>
      </w:tr>
      <w:tr>
        <w:tc>
          <w:tcPr>
            <w:tcW w:type="dxa" w:w="30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Consent storage key</w:t>
            </w:r>
          </w:p>
        </w:tc>
        <w:tc>
          <w:tcPr>
            <w:tcW w:type="dxa" w:w="636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pulseboard_analytics_consent</w:t>
            </w:r>
          </w:p>
        </w:tc>
      </w:tr>
      <w:tr>
        <w:tc>
          <w:tcPr>
            <w:tcW w:type="dxa" w:w="30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Analytics loader</w:t>
            </w:r>
          </w:p>
        </w:tc>
        <w:tc>
          <w:tcPr>
            <w:tcW w:type="dxa" w:w="636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@next/third-parties/google (GTM only)</w:t>
            </w:r>
          </w:p>
        </w:tc>
      </w:tr>
      <w:tr>
        <w:tc>
          <w:tcPr>
            <w:tcW w:type="dxa" w:w="30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Data model</w:t>
            </w:r>
          </w:p>
        </w:tc>
        <w:tc>
          <w:tcPr>
            <w:tcW w:type="dxa" w:w="636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Consent-gated, first-party dataLayer events</w:t>
            </w:r>
          </w:p>
        </w:tc>
      </w:tr>
    </w:tbl>
    <w:p>
      <w:r>
        <w:br w:type="page"/>
      </w:r>
    </w:p>
    <w:p>
      <w:pPr>
        <w:spacing w:after="120"/>
      </w:pPr>
      <w:r>
        <w:rPr>
          <w:rFonts w:ascii="Calibri" w:cs="Calibri" w:eastAsia="Calibri" w:hAnsi="Calibri"/>
          <w:b/>
          <w:bCs/>
          <w:color w:val="1A2233"/>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rFonts w:ascii="Calibri" w:cs="Calibri" w:eastAsia="Calibri" w:hAnsi="Calibri"/>
          <w:b/>
          <w:bCs/>
          <w:color w:val="1A2233"/>
          <w:sz w:val="30"/>
          <w:szCs w:val="30"/>
        </w:rPr>
        <w:t xml:space="preserve">1. Overview</w:t>
      </w:r>
    </w:p>
    <w:p>
      <w:pPr>
        <w:spacing w:after="120" w:line="276"/>
      </w:pPr>
      <w:r>
        <w:rPr>
          <w:rFonts w:ascii="Calibri" w:cs="Calibri" w:eastAsia="Calibri" w:hAnsi="Calibri"/>
          <w:color w:val="1A2233"/>
          <w:sz w:val="21"/>
          <w:szCs w:val="21"/>
        </w:rPr>
        <w:t xml:space="preserve">PulseBoard is a Next.js product-feedback board. This guide documents how the application, Google Tag Manager (GTM), Google Analytics 4 (GA4), and consent controls work together to measure the product loop, and how to reproduce the setup from scratch.</w:t>
      </w:r>
    </w:p>
    <w:p>
      <w:pPr>
        <w:spacing w:after="120" w:line="276"/>
      </w:pPr>
      <w:r>
        <w:rPr>
          <w:rFonts w:ascii="Calibri" w:cs="Calibri" w:eastAsia="Calibri" w:hAnsi="Calibri"/>
          <w:color w:val="1A2233"/>
          <w:sz w:val="21"/>
          <w:szCs w:val="21"/>
        </w:rPr>
        <w:t xml:space="preserve">The design principle is simple: </w:t>
      </w:r>
      <w:r>
        <w:rPr>
          <w:rFonts w:ascii="Calibri" w:cs="Calibri" w:eastAsia="Calibri" w:hAnsi="Calibri"/>
          <w:b/>
          <w:bCs/>
          <w:color w:val="1A2233"/>
          <w:sz w:val="21"/>
          <w:szCs w:val="21"/>
        </w:rPr>
        <w:t xml:space="preserve">nothing is tracked until the visitor explicitly opts in</w:t>
      </w:r>
      <w:r>
        <w:rPr>
          <w:rFonts w:ascii="Calibri" w:cs="Calibri" w:eastAsia="Calibri" w:hAnsi="Calibri"/>
          <w:color w:val="1A2233"/>
          <w:sz w:val="21"/>
          <w:szCs w:val="21"/>
        </w:rPr>
        <w:t xml:space="preserve">, and only structured, non-personal data ever leaves the browser. GTM is the </w:t>
      </w:r>
      <w:r>
        <w:rPr>
          <w:rFonts w:ascii="Calibri" w:cs="Calibri" w:eastAsia="Calibri" w:hAnsi="Calibri"/>
          <w:i/>
          <w:iCs/>
          <w:color w:val="1A2233"/>
          <w:sz w:val="21"/>
          <w:szCs w:val="21"/>
        </w:rPr>
        <w:t xml:space="preserve">single</w:t>
      </w:r>
      <w:r>
        <w:rPr>
          <w:rFonts w:ascii="Calibri" w:cs="Calibri" w:eastAsia="Calibri" w:hAnsi="Calibri"/>
          <w:color w:val="1A2233"/>
          <w:sz w:val="21"/>
          <w:szCs w:val="21"/>
        </w:rPr>
        <w:t xml:space="preserve"> GA4 loader — the app never ships a separate gtag.js snippet.</w:t>
      </w:r>
    </w:p>
    <w:tbl>
      <w:tblPr>
        <w:tblW w:type="dxa" w:w="9360"/>
        <w:tblBorders>
          <w:top w:val="none"/>
          <w:left w:val="single" w:color="9A5B00" w:sz="24"/>
          <w:bottom w:val="none"/>
          <w:right w:val="none"/>
          <w:insideH w:val="none"/>
          <w:insideV w:val="none"/>
        </w:tblBorders>
      </w:tblPr>
      <w:tblGrid>
        <w:gridCol w:w="9360"/>
      </w:tblGrid>
      <w:tr>
        <w:tc>
          <w:tcPr>
            <w:tcW w:type="dxa" w:w="9360"/>
            <w:shd w:fill="FFF6E6" w:color="auto" w:val="clear"/>
            <w:tcMar>
              <w:top w:type="dxa" w:w="100"/>
              <w:left w:type="dxa" w:w="160"/>
              <w:bottom w:type="dxa" w:w="100"/>
              <w:right w:type="dxa" w:w="140"/>
            </w:tcMar>
          </w:tcPr>
          <w:p>
            <w:pPr>
              <w:spacing w:after="40"/>
            </w:pPr>
            <w:r>
              <w:rPr>
                <w:rFonts w:ascii="Calibri" w:cs="Calibri" w:eastAsia="Calibri" w:hAnsi="Calibri"/>
                <w:b/>
                <w:bCs/>
                <w:color w:val="9A5B00"/>
                <w:sz w:val="20"/>
                <w:szCs w:val="20"/>
              </w:rPr>
              <w:t xml:space="preserve">Golden rule</w:t>
            </w:r>
          </w:p>
          <w:p>
            <w:pPr>
              <w:spacing w:after="0" w:line="270"/>
            </w:pPr>
            <w:r>
              <w:rPr>
                <w:rFonts w:ascii="Calibri" w:cs="Calibri" w:eastAsia="Calibri" w:hAnsi="Calibri"/>
                <w:color w:val="1A2233"/>
                <w:sz w:val="21"/>
                <w:szCs w:val="21"/>
              </w:rPr>
              <w:t xml:space="preserve">Do not add a standalone </w:t>
            </w:r>
            <w:r>
              <w:rPr>
                <w:rFonts w:ascii="Consolas" w:cs="Consolas" w:eastAsia="Consolas" w:hAnsi="Consolas"/>
                <w:color w:val="1B4DB8"/>
                <w:sz w:val="19"/>
                <w:szCs w:val="19"/>
              </w:rPr>
              <w:t xml:space="preserve">gtag.js</w:t>
            </w:r>
            <w:r>
              <w:rPr>
                <w:rFonts w:ascii="Calibri" w:cs="Calibri" w:eastAsia="Calibri" w:hAnsi="Calibri"/>
                <w:color w:val="1A2233"/>
                <w:sz w:val="21"/>
                <w:szCs w:val="21"/>
              </w:rPr>
              <w:t xml:space="preserve"> snippet. GTM is the only GA4 loader. Running both would double every page view and event count.</w:t>
            </w:r>
          </w:p>
        </w:tc>
      </w:tr>
    </w:tbl>
    <w:p>
      <w:pPr>
        <w:pStyle w:val="Heading2"/>
        <w:spacing w:after="100" w:before="240"/>
      </w:pPr>
      <w:r>
        <w:rPr>
          <w:rFonts w:ascii="Calibri" w:cs="Calibri" w:eastAsia="Calibri" w:hAnsi="Calibri"/>
          <w:b/>
          <w:bCs/>
          <w:color w:val="1B4DB8"/>
          <w:sz w:val="25"/>
          <w:szCs w:val="25"/>
        </w:rPr>
        <w:t xml:space="preserve">What we measure</w:t>
      </w:r>
    </w:p>
    <w:p>
      <w:pPr>
        <w:spacing w:after="120" w:line="276"/>
      </w:pPr>
      <w:r>
        <w:rPr>
          <w:rFonts w:ascii="Calibri" w:cs="Calibri" w:eastAsia="Calibri" w:hAnsi="Calibri"/>
          <w:color w:val="1A2233"/>
          <w:sz w:val="21"/>
          <w:szCs w:val="21"/>
        </w:rPr>
        <w:t xml:space="preserve">The implementation follows the customer-led product loop:</w:t>
      </w:r>
    </w:p>
    <w:p>
      <w:pPr>
        <w:pStyle w:val="ListParagraph"/>
        <w:numPr>
          <w:ilvl w:val="0"/>
          <w:numId w:val="2"/>
        </w:numPr>
        <w:spacing w:after="70" w:line="268"/>
      </w:pPr>
      <w:r>
        <w:rPr>
          <w:rFonts w:ascii="Calibri" w:cs="Calibri" w:eastAsia="Calibri" w:hAnsi="Calibri"/>
          <w:color w:val="1A2233"/>
          <w:sz w:val="21"/>
          <w:szCs w:val="21"/>
        </w:rPr>
        <w:t xml:space="preserve">A visitor arrives and views product content.</w:t>
      </w:r>
    </w:p>
    <w:p>
      <w:pPr>
        <w:pStyle w:val="ListParagraph"/>
        <w:numPr>
          <w:ilvl w:val="0"/>
          <w:numId w:val="2"/>
        </w:numPr>
        <w:spacing w:after="70" w:line="268"/>
      </w:pPr>
      <w:r>
        <w:rPr>
          <w:rFonts w:ascii="Calibri" w:cs="Calibri" w:eastAsia="Calibri" w:hAnsi="Calibri"/>
          <w:color w:val="1A2233"/>
          <w:sz w:val="21"/>
          <w:szCs w:val="21"/>
        </w:rPr>
        <w:t xml:space="preserve">The visitor explores a product or clicks a primary call to action.</w:t>
      </w:r>
    </w:p>
    <w:p>
      <w:pPr>
        <w:pStyle w:val="ListParagraph"/>
        <w:numPr>
          <w:ilvl w:val="0"/>
          <w:numId w:val="2"/>
        </w:numPr>
        <w:spacing w:after="70" w:line="268"/>
      </w:pPr>
      <w:r>
        <w:rPr>
          <w:rFonts w:ascii="Calibri" w:cs="Calibri" w:eastAsia="Calibri" w:hAnsi="Calibri"/>
          <w:color w:val="1A2233"/>
          <w:sz w:val="21"/>
          <w:szCs w:val="21"/>
        </w:rPr>
        <w:t xml:space="preserve">The visitor upvotes an existing feature or submits a new request.</w:t>
      </w:r>
    </w:p>
    <w:p>
      <w:pPr>
        <w:pStyle w:val="ListParagraph"/>
        <w:numPr>
          <w:ilvl w:val="0"/>
          <w:numId w:val="2"/>
        </w:numPr>
        <w:spacing w:after="70" w:line="268"/>
      </w:pPr>
      <w:r>
        <w:rPr>
          <w:rFonts w:ascii="Calibri" w:cs="Calibri" w:eastAsia="Calibri" w:hAnsi="Calibri"/>
          <w:color w:val="1A2233"/>
          <w:sz w:val="21"/>
          <w:szCs w:val="21"/>
        </w:rPr>
        <w:t xml:space="preserve">The visitor may subscribe for product updates.</w:t>
      </w:r>
    </w:p>
    <w:p>
      <w:pPr>
        <w:pStyle w:val="ListParagraph"/>
        <w:numPr>
          <w:ilvl w:val="0"/>
          <w:numId w:val="2"/>
        </w:numPr>
        <w:spacing w:after="70" w:line="268"/>
      </w:pPr>
      <w:r>
        <w:rPr>
          <w:rFonts w:ascii="Calibri" w:cs="Calibri" w:eastAsia="Calibri" w:hAnsi="Calibri"/>
          <w:color w:val="1A2233"/>
          <w:sz w:val="21"/>
          <w:szCs w:val="21"/>
        </w:rPr>
        <w:t xml:space="preserve">Product managers use aggregate demand and acquisition data to prioritize work.</w:t>
      </w:r>
    </w:p>
    <w:tbl>
      <w:tblPr>
        <w:tblW w:type="dxa" w:w="9360"/>
        <w:tblBorders>
          <w:top w:val="none"/>
          <w:left w:val="single" w:color="2F6FED" w:sz="24"/>
          <w:bottom w:val="none"/>
          <w:right w:val="none"/>
          <w:insideH w:val="none"/>
          <w:insideV w:val="none"/>
        </w:tblBorders>
      </w:tblPr>
      <w:tblGrid>
        <w:gridCol w:w="9360"/>
      </w:tblGrid>
      <w:tr>
        <w:tc>
          <w:tcPr>
            <w:tcW w:type="dxa" w:w="9360"/>
            <w:shd w:fill="EEF3FD" w:color="auto" w:val="clear"/>
            <w:tcMar>
              <w:top w:type="dxa" w:w="100"/>
              <w:left w:type="dxa" w:w="160"/>
              <w:bottom w:type="dxa" w:w="100"/>
              <w:right w:type="dxa" w:w="140"/>
            </w:tcMar>
          </w:tcPr>
          <w:p>
            <w:pPr>
              <w:spacing w:after="40"/>
            </w:pPr>
            <w:r>
              <w:rPr>
                <w:rFonts w:ascii="Calibri" w:cs="Calibri" w:eastAsia="Calibri" w:hAnsi="Calibri"/>
                <w:b/>
                <w:bCs/>
                <w:color w:val="2F6FED"/>
                <w:sz w:val="20"/>
                <w:szCs w:val="20"/>
              </w:rPr>
              <w:t xml:space="preserve">Never collected</w:t>
            </w:r>
          </w:p>
          <w:p>
            <w:pPr>
              <w:spacing w:after="0" w:line="270"/>
            </w:pPr>
            <w:r>
              <w:rPr>
                <w:rFonts w:ascii="Calibri" w:cs="Calibri" w:eastAsia="Calibri" w:hAnsi="Calibri"/>
                <w:color w:val="1A2233"/>
                <w:sz w:val="21"/>
                <w:szCs w:val="21"/>
              </w:rPr>
              <w:t xml:space="preserve">Email addresses, feedback descriptions, request titles, local visitor IDs, and any other free-form user input are </w:t>
            </w:r>
            <w:r>
              <w:rPr>
                <w:rFonts w:ascii="Calibri" w:cs="Calibri" w:eastAsia="Calibri" w:hAnsi="Calibri"/>
                <w:b/>
                <w:bCs/>
                <w:color w:val="1A2233"/>
                <w:sz w:val="21"/>
                <w:szCs w:val="21"/>
              </w:rPr>
              <w:t xml:space="preserve">never</w:t>
            </w:r>
            <w:r>
              <w:rPr>
                <w:rFonts w:ascii="Calibri" w:cs="Calibri" w:eastAsia="Calibri" w:hAnsi="Calibri"/>
                <w:color w:val="1A2233"/>
                <w:sz w:val="21"/>
                <w:szCs w:val="21"/>
              </w:rPr>
              <w:t xml:space="preserve"> sent to GTM or GA4.</w:t>
            </w:r>
          </w:p>
        </w:tc>
      </w:tr>
    </w:tbl>
    <w:p>
      <w:pPr>
        <w:pStyle w:val="Heading1"/>
        <w:spacing w:after="140" w:before="320"/>
      </w:pPr>
      <w:r>
        <w:rPr>
          <w:rFonts w:ascii="Calibri" w:cs="Calibri" w:eastAsia="Calibri" w:hAnsi="Calibri"/>
          <w:b/>
          <w:bCs/>
          <w:color w:val="1A2233"/>
          <w:sz w:val="30"/>
          <w:szCs w:val="30"/>
        </w:rPr>
        <w:t xml:space="preserve">2. Architecture &amp; data flow</w:t>
      </w:r>
    </w:p>
    <w:p>
      <w:pPr>
        <w:spacing w:after="120" w:line="276"/>
      </w:pPr>
      <w:r>
        <w:rPr>
          <w:rFonts w:ascii="Calibri" w:cs="Calibri" w:eastAsia="Calibri" w:hAnsi="Calibri"/>
          <w:color w:val="1A2233"/>
          <w:sz w:val="21"/>
          <w:szCs w:val="21"/>
        </w:rPr>
        <w:t xml:space="preserve">Every tracked action flows through a single consent-aware helper, </w:t>
      </w:r>
      <w:r>
        <w:rPr>
          <w:rFonts w:ascii="Consolas" w:cs="Consolas" w:eastAsia="Consolas" w:hAnsi="Consolas"/>
          <w:color w:val="1B4DB8"/>
          <w:sz w:val="19"/>
          <w:szCs w:val="19"/>
        </w:rPr>
        <w:t xml:space="preserve">trackEvent()</w:t>
      </w:r>
      <w:r>
        <w:rPr>
          <w:rFonts w:ascii="Calibri" w:cs="Calibri" w:eastAsia="Calibri" w:hAnsi="Calibri"/>
          <w:color w:val="1A2233"/>
          <w:sz w:val="21"/>
          <w:szCs w:val="21"/>
        </w:rPr>
        <w:t xml:space="preserve">. If consent is not granted, the event is discarded before it ever reaches the data layer. GTM itself is only rendered when consent is </w:t>
      </w:r>
      <w:r>
        <w:rPr>
          <w:rFonts w:ascii="Consolas" w:cs="Consolas" w:eastAsia="Consolas" w:hAnsi="Consolas"/>
          <w:color w:val="1B4DB8"/>
          <w:sz w:val="19"/>
          <w:szCs w:val="19"/>
        </w:rPr>
        <w:t xml:space="preserve">granted</w:t>
      </w:r>
      <w:r>
        <w:rPr>
          <w:rFonts w:ascii="Calibri" w:cs="Calibri" w:eastAsia="Calibri" w:hAnsi="Calibri"/>
          <w:color w:val="1A2233"/>
          <w:sz w:val="21"/>
          <w:szCs w:val="21"/>
        </w:rPr>
        <w:t xml:space="preserve">.</w:t>
      </w:r>
    </w:p>
    <w:p>
      <w:pPr>
        <w:pBdr>
          <w:top w:val="single" w:color="C9D3E4" w:sz="2" w:space="4"/>
          <w:left w:val="single" w:color="2F6FED" w:sz="18" w:space="6"/>
        </w:pBdr>
        <w:shd w:fill="F3F4F6" w:color="auto" w:val="clear"/>
        <w:spacing w:after="0" w:line="264"/>
      </w:pPr>
      <w:r>
        <w:rPr>
          <w:rFonts w:ascii="Consolas" w:cs="Consolas" w:eastAsia="Consolas" w:hAnsi="Consolas"/>
          <w:color w:val="222831"/>
          <w:sz w:val="18"/>
          <w:szCs w:val="18"/>
        </w:rPr>
        <w:t xml:space="preserve">Visitor action</w:t>
      </w:r>
    </w:p>
    <w:p>
      <w:pPr>
        <w:pBdr>
          <w:left w:val="single" w:color="2F6FED" w:sz="18" w:space="6"/>
        </w:pBdr>
        <w:shd w:fill="F3F4F6" w:color="auto" w:val="clear"/>
        <w:spacing w:after="0" w:line="264"/>
      </w:pPr>
      <w:r>
        <w:rPr>
          <w:rFonts w:ascii="Consolas" w:cs="Consolas" w:eastAsia="Consolas" w:hAnsi="Consolas"/>
          <w:color w:val="222831"/>
          <w:sz w:val="18"/>
          <w:szCs w:val="18"/>
        </w:rPr>
        <w:t xml:space="preserve">    |</w:t>
      </w:r>
    </w:p>
    <w:p>
      <w:pPr>
        <w:pBdr>
          <w:left w:val="single" w:color="2F6FED" w:sz="18" w:space="6"/>
        </w:pBdr>
        <w:shd w:fill="F3F4F6" w:color="auto" w:val="clear"/>
        <w:spacing w:after="0" w:line="264"/>
      </w:pPr>
      <w:r>
        <w:rPr>
          <w:rFonts w:ascii="Consolas" w:cs="Consolas" w:eastAsia="Consolas" w:hAnsi="Consolas"/>
          <w:color w:val="222831"/>
          <w:sz w:val="18"/>
          <w:szCs w:val="18"/>
        </w:rPr>
        <w:t xml:space="preserve">    v</w:t>
      </w:r>
    </w:p>
    <w:p>
      <w:pPr>
        <w:pBdr>
          <w:left w:val="single" w:color="2F6FED" w:sz="18" w:space="6"/>
        </w:pBdr>
        <w:shd w:fill="F3F4F6" w:color="auto" w:val="clear"/>
        <w:spacing w:after="0" w:line="264"/>
      </w:pPr>
      <w:r>
        <w:rPr>
          <w:rFonts w:ascii="Consolas" w:cs="Consolas" w:eastAsia="Consolas" w:hAnsi="Consolas"/>
          <w:color w:val="222831"/>
          <w:sz w:val="18"/>
          <w:szCs w:val="18"/>
        </w:rPr>
        <w:t xml:space="preserve">PulseBoard React component</w:t>
      </w:r>
    </w:p>
    <w:p>
      <w:pPr>
        <w:pBdr>
          <w:left w:val="single" w:color="2F6FED" w:sz="18" w:space="6"/>
        </w:pBdr>
        <w:shd w:fill="F3F4F6" w:color="auto" w:val="clear"/>
        <w:spacing w:after="0" w:line="264"/>
      </w:pPr>
      <w:r>
        <w:rPr>
          <w:rFonts w:ascii="Consolas" w:cs="Consolas" w:eastAsia="Consolas" w:hAnsi="Consolas"/>
          <w:color w:val="222831"/>
          <w:sz w:val="18"/>
          <w:szCs w:val="18"/>
        </w:rPr>
        <w:t xml:space="preserve">    |</w:t>
      </w:r>
    </w:p>
    <w:p>
      <w:pPr>
        <w:pBdr>
          <w:left w:val="single" w:color="2F6FED" w:sz="18" w:space="6"/>
        </w:pBdr>
        <w:shd w:fill="F3F4F6" w:color="auto" w:val="clear"/>
        <w:spacing w:after="0" w:line="264"/>
      </w:pPr>
      <w:r>
        <w:rPr>
          <w:rFonts w:ascii="Consolas" w:cs="Consolas" w:eastAsia="Consolas" w:hAnsi="Consolas"/>
          <w:color w:val="222831"/>
          <w:sz w:val="18"/>
          <w:szCs w:val="18"/>
        </w:rPr>
        <w:t xml:space="preserve">    v</w:t>
      </w:r>
    </w:p>
    <w:p>
      <w:pPr>
        <w:pBdr>
          <w:left w:val="single" w:color="2F6FED" w:sz="18" w:space="6"/>
        </w:pBdr>
        <w:shd w:fill="F3F4F6" w:color="auto" w:val="clear"/>
        <w:spacing w:after="0" w:line="264"/>
      </w:pPr>
      <w:r>
        <w:rPr>
          <w:rFonts w:ascii="Consolas" w:cs="Consolas" w:eastAsia="Consolas" w:hAnsi="Consolas"/>
          <w:color w:val="222831"/>
          <w:sz w:val="18"/>
          <w:szCs w:val="18"/>
        </w:rPr>
        <w:t xml:space="preserve">trackEvent() checks analytics consent</w:t>
      </w:r>
    </w:p>
    <w:p>
      <w:pPr>
        <w:pBdr>
          <w:left w:val="single" w:color="2F6FED" w:sz="18" w:space="6"/>
        </w:pBdr>
        <w:shd w:fill="F3F4F6" w:color="auto" w:val="clear"/>
        <w:spacing w:after="0" w:line="264"/>
      </w:pPr>
      <w:r>
        <w:rPr>
          <w:rFonts w:ascii="Consolas" w:cs="Consolas" w:eastAsia="Consolas" w:hAnsi="Consolas"/>
          <w:color w:val="222831"/>
          <w:sz w:val="18"/>
          <w:szCs w:val="18"/>
        </w:rPr>
        <w:t xml:space="preserve">    |</w:t>
      </w:r>
    </w:p>
    <w:p>
      <w:pPr>
        <w:pBdr>
          <w:left w:val="single" w:color="2F6FED" w:sz="18" w:space="6"/>
        </w:pBdr>
        <w:shd w:fill="F3F4F6" w:color="auto" w:val="clear"/>
        <w:spacing w:after="0" w:line="264"/>
      </w:pPr>
      <w:r>
        <w:rPr>
          <w:rFonts w:ascii="Consolas" w:cs="Consolas" w:eastAsia="Consolas" w:hAnsi="Consolas"/>
          <w:color w:val="222831"/>
          <w:sz w:val="18"/>
          <w:szCs w:val="18"/>
        </w:rPr>
        <w:t xml:space="preserve">    +-- consent not granted --&gt; event is discarded</w:t>
      </w:r>
    </w:p>
    <w:p>
      <w:pPr>
        <w:pBdr>
          <w:left w:val="single" w:color="2F6FED" w:sz="18" w:space="6"/>
        </w:pBdr>
        <w:shd w:fill="F3F4F6" w:color="auto" w:val="clear"/>
        <w:spacing w:after="0" w:line="264"/>
      </w:pPr>
      <w:r>
        <w:rPr>
          <w:rFonts w:ascii="Consolas" w:cs="Consolas" w:eastAsia="Consolas" w:hAnsi="Consolas"/>
          <w:color w:val="222831"/>
          <w:sz w:val="18"/>
          <w:szCs w:val="18"/>
        </w:rPr>
        <w:t xml:space="preserve">    |</w:t>
      </w:r>
    </w:p>
    <w:p>
      <w:pPr>
        <w:pBdr>
          <w:left w:val="single" w:color="2F6FED" w:sz="18" w:space="6"/>
        </w:pBdr>
        <w:shd w:fill="F3F4F6" w:color="auto" w:val="clear"/>
        <w:spacing w:after="0" w:line="264"/>
      </w:pPr>
      <w:r>
        <w:rPr>
          <w:rFonts w:ascii="Consolas" w:cs="Consolas" w:eastAsia="Consolas" w:hAnsi="Consolas"/>
          <w:color w:val="222831"/>
          <w:sz w:val="18"/>
          <w:szCs w:val="18"/>
        </w:rPr>
        <w:t xml:space="preserve">    +-- consent granted ------&gt; window.dataLayer.push(...)</w:t>
      </w:r>
    </w:p>
    <w:p>
      <w:pPr>
        <w:pBdr>
          <w:left w:val="single" w:color="2F6FED" w:sz="18" w:space="6"/>
        </w:pBdr>
        <w:shd w:fill="F3F4F6" w:color="auto" w:val="clear"/>
        <w:spacing w:after="0" w:line="264"/>
      </w:pPr>
      <w:r>
        <w:rPr>
          <w:rFonts w:ascii="Consolas" w:cs="Consolas" w:eastAsia="Consolas" w:hAnsi="Consolas"/>
          <w:color w:val="222831"/>
          <w:sz w:val="18"/>
          <w:szCs w:val="18"/>
        </w:rPr>
        <w:t xml:space="preserve">                                  |</w:t>
      </w:r>
    </w:p>
    <w:p>
      <w:pPr>
        <w:pBdr>
          <w:left w:val="single" w:color="2F6FED" w:sz="18" w:space="6"/>
        </w:pBdr>
        <w:shd w:fill="F3F4F6" w:color="auto" w:val="clear"/>
        <w:spacing w:after="0" w:line="264"/>
      </w:pPr>
      <w:r>
        <w:rPr>
          <w:rFonts w:ascii="Consolas" w:cs="Consolas" w:eastAsia="Consolas" w:hAnsi="Consolas"/>
          <w:color w:val="222831"/>
          <w:sz w:val="18"/>
          <w:szCs w:val="18"/>
        </w:rPr>
        <w:t xml:space="preserve">                                  v</w:t>
      </w:r>
    </w:p>
    <w:p>
      <w:pPr>
        <w:pBdr>
          <w:left w:val="single" w:color="2F6FED" w:sz="18" w:space="6"/>
        </w:pBdr>
        <w:shd w:fill="F3F4F6" w:color="auto" w:val="clear"/>
        <w:spacing w:after="0" w:line="264"/>
      </w:pPr>
      <w:r>
        <w:rPr>
          <w:rFonts w:ascii="Consolas" w:cs="Consolas" w:eastAsia="Consolas" w:hAnsi="Consolas"/>
          <w:color w:val="222831"/>
          <w:sz w:val="18"/>
          <w:szCs w:val="18"/>
        </w:rPr>
        <w:t xml:space="preserve">                             GTM custom-event trigger</w:t>
      </w:r>
    </w:p>
    <w:p>
      <w:pPr>
        <w:pBdr>
          <w:left w:val="single" w:color="2F6FED" w:sz="18" w:space="6"/>
        </w:pBdr>
        <w:shd w:fill="F3F4F6" w:color="auto" w:val="clear"/>
        <w:spacing w:after="0" w:line="264"/>
      </w:pPr>
      <w:r>
        <w:rPr>
          <w:rFonts w:ascii="Consolas" w:cs="Consolas" w:eastAsia="Consolas" w:hAnsi="Consolas"/>
          <w:color w:val="222831"/>
          <w:sz w:val="18"/>
          <w:szCs w:val="18"/>
        </w:rPr>
        <w:t xml:space="preserve">                                  |</w:t>
      </w:r>
    </w:p>
    <w:p>
      <w:pPr>
        <w:pBdr>
          <w:left w:val="single" w:color="2F6FED" w:sz="18" w:space="6"/>
        </w:pBdr>
        <w:shd w:fill="F3F4F6" w:color="auto" w:val="clear"/>
        <w:spacing w:after="0" w:line="264"/>
      </w:pPr>
      <w:r>
        <w:rPr>
          <w:rFonts w:ascii="Consolas" w:cs="Consolas" w:eastAsia="Consolas" w:hAnsi="Consolas"/>
          <w:color w:val="222831"/>
          <w:sz w:val="18"/>
          <w:szCs w:val="18"/>
        </w:rPr>
        <w:t xml:space="preserve">                                  v</w:t>
      </w:r>
    </w:p>
    <w:p>
      <w:pPr>
        <w:pBdr>
          <w:left w:val="single" w:color="2F6FED" w:sz="18" w:space="6"/>
        </w:pBdr>
        <w:shd w:fill="F3F4F6" w:color="auto" w:val="clear"/>
        <w:spacing w:after="0" w:line="264"/>
      </w:pPr>
      <w:r>
        <w:rPr>
          <w:rFonts w:ascii="Consolas" w:cs="Consolas" w:eastAsia="Consolas" w:hAnsi="Consolas"/>
          <w:color w:val="222831"/>
          <w:sz w:val="18"/>
          <w:szCs w:val="18"/>
        </w:rPr>
        <w:t xml:space="preserve">                             GA4 Event tag</w:t>
      </w:r>
    </w:p>
    <w:p>
      <w:pPr>
        <w:pBdr>
          <w:left w:val="single" w:color="2F6FED" w:sz="18" w:space="6"/>
        </w:pBdr>
        <w:shd w:fill="F3F4F6" w:color="auto" w:val="clear"/>
        <w:spacing w:after="0" w:line="264"/>
      </w:pPr>
      <w:r>
        <w:rPr>
          <w:rFonts w:ascii="Consolas" w:cs="Consolas" w:eastAsia="Consolas" w:hAnsi="Consolas"/>
          <w:color w:val="222831"/>
          <w:sz w:val="18"/>
          <w:szCs w:val="18"/>
        </w:rPr>
        <w:t xml:space="preserve">                                  |</w:t>
      </w:r>
    </w:p>
    <w:p>
      <w:pPr>
        <w:pBdr>
          <w:left w:val="single" w:color="2F6FED" w:sz="18" w:space="6"/>
        </w:pBdr>
        <w:shd w:fill="F3F4F6" w:color="auto" w:val="clear"/>
        <w:spacing w:after="0" w:line="264"/>
      </w:pPr>
      <w:r>
        <w:rPr>
          <w:rFonts w:ascii="Consolas" w:cs="Consolas" w:eastAsia="Consolas" w:hAnsi="Consolas"/>
          <w:color w:val="222831"/>
          <w:sz w:val="18"/>
          <w:szCs w:val="18"/>
        </w:rPr>
        <w:t xml:space="preserve">                                  v</w:t>
      </w:r>
    </w:p>
    <w:p>
      <w:pPr>
        <w:pBdr>
          <w:left w:val="single" w:color="2F6FED" w:sz="18" w:space="6"/>
        </w:pBdr>
        <w:shd w:fill="F3F4F6" w:color="auto" w:val="clear"/>
        <w:spacing w:after="0" w:line="264"/>
      </w:pPr>
      <w:r>
        <w:rPr>
          <w:rFonts w:ascii="Consolas" w:cs="Consolas" w:eastAsia="Consolas" w:hAnsi="Consolas"/>
          <w:color w:val="222831"/>
          <w:sz w:val="18"/>
          <w:szCs w:val="18"/>
        </w:rPr>
        <w:t xml:space="preserve">                       GA4 Realtime / reports / explorations</w:t>
      </w:r>
    </w:p>
    <w:p>
      <w:pPr>
        <w:pBdr>
          <w:left w:val="single" w:color="2F6FED" w:sz="18" w:space="6"/>
        </w:pBdr>
        <w:shd w:fill="F3F4F6" w:color="auto" w:val="clear"/>
        <w:spacing w:after="0" w:line="264"/>
      </w:pPr>
      <w:r>
        <w:rPr>
          <w:rFonts w:ascii="Consolas" w:cs="Consolas" w:eastAsia="Consolas" w:hAnsi="Consolas"/>
          <w:color w:val="222831"/>
          <w:sz w:val="18"/>
          <w:szCs w:val="18"/>
        </w:rPr>
        <w:t xml:space="preserve">                                  |</w:t>
      </w:r>
    </w:p>
    <w:p>
      <w:pPr>
        <w:pBdr>
          <w:left w:val="single" w:color="2F6FED" w:sz="18" w:space="6"/>
        </w:pBdr>
        <w:shd w:fill="F3F4F6" w:color="auto" w:val="clear"/>
        <w:spacing w:after="0" w:line="264"/>
      </w:pPr>
      <w:r>
        <w:rPr>
          <w:rFonts w:ascii="Consolas" w:cs="Consolas" w:eastAsia="Consolas" w:hAnsi="Consolas"/>
          <w:color w:val="222831"/>
          <w:sz w:val="18"/>
          <w:szCs w:val="18"/>
        </w:rPr>
        <w:t xml:space="preserve">                                  v</w:t>
      </w:r>
    </w:p>
    <w:p>
      <w:pPr>
        <w:pBdr>
          <w:bottom w:val="single" w:color="C9D3E4" w:sz="2" w:space="4"/>
          <w:left w:val="single" w:color="2F6FED" w:sz="18" w:space="6"/>
        </w:pBdr>
        <w:shd w:fill="F3F4F6" w:color="auto" w:val="clear"/>
        <w:spacing w:after="0" w:line="264"/>
      </w:pPr>
      <w:r>
        <w:rPr>
          <w:rFonts w:ascii="Consolas" w:cs="Consolas" w:eastAsia="Consolas" w:hAnsi="Consolas"/>
          <w:color w:val="222831"/>
          <w:sz w:val="18"/>
          <w:szCs w:val="18"/>
        </w:rPr>
        <w:t xml:space="preserve">                    Optional Google Sheets Data API report</w:t>
      </w:r>
    </w:p>
    <w:p>
      <w:pPr>
        <w:spacing w:after="120" w:line="276"/>
      </w:pPr>
      <w:r>
        <w:rPr>
          <w:rFonts w:ascii="Calibri" w:cs="Calibri" w:eastAsia="Calibri" w:hAnsi="Calibri"/>
          <w:i/>
          <w:iCs/>
          <w:color w:val="5A6472"/>
          <w:sz w:val="21"/>
          <w:szCs w:val="21"/>
        </w:rPr>
        <w:t xml:space="preserve">Allowing, declining, or withdrawing consent reloads the current URL, so the GTM container is either present from page startup or completely absent — never half-loaded.</w:t>
      </w:r>
    </w:p>
    <w:p>
      <w:pPr>
        <w:pStyle w:val="Heading1"/>
        <w:spacing w:after="140" w:before="320"/>
      </w:pPr>
      <w:r>
        <w:rPr>
          <w:rFonts w:ascii="Calibri" w:cs="Calibri" w:eastAsia="Calibri" w:hAnsi="Calibri"/>
          <w:b/>
          <w:bCs/>
          <w:color w:val="1A2233"/>
          <w:sz w:val="30"/>
          <w:szCs w:val="30"/>
        </w:rPr>
        <w:t xml:space="preserve">3. Application implementation</w:t>
      </w:r>
    </w:p>
    <w:p>
      <w:pPr>
        <w:pStyle w:val="Heading2"/>
        <w:spacing w:after="100" w:before="240"/>
      </w:pPr>
      <w:r>
        <w:rPr>
          <w:rFonts w:ascii="Calibri" w:cs="Calibri" w:eastAsia="Calibri" w:hAnsi="Calibri"/>
          <w:b/>
          <w:bCs/>
          <w:color w:val="1B4DB8"/>
          <w:sz w:val="25"/>
          <w:szCs w:val="25"/>
        </w:rPr>
        <w:t xml:space="preserve">File responsibilities</w:t>
      </w:r>
    </w:p>
    <w:tbl>
      <w:tblPr>
        <w:tblW w:type="dxa" w:w="9360"/>
        <w:tblBorders>
          <w:top w:val="single" w:color="C9D3E4" w:sz="2"/>
          <w:left w:val="single" w:color="C9D3E4" w:sz="2"/>
          <w:bottom w:val="single" w:color="C9D3E4" w:sz="2"/>
          <w:right w:val="single" w:color="C9D3E4" w:sz="2"/>
          <w:insideH w:val="single" w:color="C9D3E4" w:sz="2"/>
          <w:insideV w:val="single" w:color="C9D3E4" w:sz="2"/>
        </w:tblBorders>
      </w:tblPr>
      <w:tblGrid>
        <w:gridCol w:w="3600"/>
        <w:gridCol w:w="5760"/>
      </w:tblGrid>
      <w:tr>
        <w:trPr>
          <w:tblHeader/>
        </w:trPr>
        <w:tc>
          <w:tcPr>
            <w:tcW w:type="dxa" w:w="3600"/>
            <w:shd w:fill="2F6FED" w:color="auto" w:val="clear"/>
            <w:tcMar>
              <w:top w:type="dxa" w:w="70"/>
              <w:left w:type="dxa" w:w="110"/>
              <w:bottom w:type="dxa" w:w="70"/>
              <w:right w:type="dxa" w:w="110"/>
            </w:tcMar>
            <w:vAlign w:val="center"/>
          </w:tcPr>
          <w:p>
            <w:pPr>
              <w:spacing w:after="0" w:line="258"/>
            </w:pPr>
            <w:r>
              <w:rPr>
                <w:rFonts w:ascii="Calibri" w:cs="Calibri" w:eastAsia="Calibri" w:hAnsi="Calibri"/>
                <w:b/>
                <w:bCs/>
                <w:color w:val="FFFFFF"/>
                <w:sz w:val="19"/>
                <w:szCs w:val="19"/>
              </w:rPr>
              <w:t xml:space="preserve">File</w:t>
            </w:r>
          </w:p>
        </w:tc>
        <w:tc>
          <w:tcPr>
            <w:tcW w:type="dxa" w:w="5760"/>
            <w:shd w:fill="2F6FED" w:color="auto" w:val="clear"/>
            <w:tcMar>
              <w:top w:type="dxa" w:w="70"/>
              <w:left w:type="dxa" w:w="110"/>
              <w:bottom w:type="dxa" w:w="70"/>
              <w:right w:type="dxa" w:w="110"/>
            </w:tcMar>
            <w:vAlign w:val="center"/>
          </w:tcPr>
          <w:p>
            <w:pPr>
              <w:spacing w:after="0" w:line="258"/>
            </w:pPr>
            <w:r>
              <w:rPr>
                <w:rFonts w:ascii="Calibri" w:cs="Calibri" w:eastAsia="Calibri" w:hAnsi="Calibri"/>
                <w:b/>
                <w:bCs/>
                <w:color w:val="FFFFFF"/>
                <w:sz w:val="19"/>
                <w:szCs w:val="19"/>
              </w:rPr>
              <w:t xml:space="preserve">Responsibility</w:t>
            </w:r>
          </w:p>
        </w:tc>
      </w:tr>
      <w:tr>
        <w:tc>
          <w:tcPr>
            <w:tcW w:type="dxa" w:w="36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app/layout.tsx</w:t>
            </w:r>
          </w:p>
        </w:tc>
        <w:tc>
          <w:tcPr>
            <w:tcW w:type="dxa" w:w="576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Validates the GTM container ID and mounts the analytics provider globally.</w:t>
            </w:r>
          </w:p>
        </w:tc>
      </w:tr>
      <w:tr>
        <w:tc>
          <w:tcPr>
            <w:tcW w:type="dxa" w:w="36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components/analytics-provider.tsx</w:t>
            </w:r>
          </w:p>
        </w:tc>
        <w:tc>
          <w:tcPr>
            <w:tcW w:type="dxa" w:w="576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Reads/updates consent, conditionally loads GTM, and shows the consent prompt.</w:t>
            </w:r>
          </w:p>
        </w:tc>
      </w:tr>
      <w:tr>
        <w:tc>
          <w:tcPr>
            <w:tcW w:type="dxa" w:w="36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lib/analytics-consent.ts</w:t>
            </w:r>
          </w:p>
        </w:tc>
        <w:tc>
          <w:tcPr>
            <w:tcW w:type="dxa" w:w="576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Defines the browser storage key and privacy-preference event.</w:t>
            </w:r>
          </w:p>
        </w:tc>
      </w:tr>
      <w:tr>
        <w:tc>
          <w:tcPr>
            <w:tcW w:type="dxa" w:w="36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lib/analytics.ts</w:t>
            </w:r>
          </w:p>
        </w:tc>
        <w:tc>
          <w:tcPr>
            <w:tcW w:type="dxa" w:w="576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Defines typed analytics payloads and the consent-aware trackEvent() helper.</w:t>
            </w:r>
          </w:p>
        </w:tc>
      </w:tr>
      <w:tr>
        <w:tc>
          <w:tcPr>
            <w:tcW w:type="dxa" w:w="36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types/analytics.d.ts</w:t>
            </w:r>
          </w:p>
        </w:tc>
        <w:tc>
          <w:tcPr>
            <w:tcW w:type="dxa" w:w="576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Adds a TypeScript definition for window.dataLayer.</w:t>
            </w:r>
          </w:p>
        </w:tc>
      </w:tr>
      <w:tr>
        <w:tc>
          <w:tcPr>
            <w:tcW w:type="dxa" w:w="36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app/board/page.tsx</w:t>
            </w:r>
          </w:p>
        </w:tc>
        <w:tc>
          <w:tcPr>
            <w:tcW w:type="dxa" w:w="576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Emits feature upvotes.</w:t>
            </w:r>
          </w:p>
        </w:tc>
      </w:tr>
      <w:tr>
        <w:tc>
          <w:tcPr>
            <w:tcW w:type="dxa" w:w="36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components/newsletter-form.tsx</w:t>
            </w:r>
          </w:p>
        </w:tc>
        <w:tc>
          <w:tcPr>
            <w:tcW w:type="dxa" w:w="576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Emits successful newsletter leads.</w:t>
            </w:r>
          </w:p>
        </w:tc>
      </w:tr>
      <w:tr>
        <w:tc>
          <w:tcPr>
            <w:tcW w:type="dxa" w:w="36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app/submit/page.tsx</w:t>
            </w:r>
          </w:p>
        </w:tc>
        <w:tc>
          <w:tcPr>
            <w:tcW w:type="dxa" w:w="576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Emits successful feature-request submissions.</w:t>
            </w:r>
          </w:p>
        </w:tc>
      </w:tr>
      <w:tr>
        <w:tc>
          <w:tcPr>
            <w:tcW w:type="dxa" w:w="36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components/product-view-tracker.tsx</w:t>
            </w:r>
          </w:p>
        </w:tc>
        <w:tc>
          <w:tcPr>
            <w:tcW w:type="dxa" w:w="576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Emits product-detail views.</w:t>
            </w:r>
          </w:p>
        </w:tc>
      </w:tr>
      <w:tr>
        <w:tc>
          <w:tcPr>
            <w:tcW w:type="dxa" w:w="36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components/tracked-link.tsx</w:t>
            </w:r>
          </w:p>
        </w:tc>
        <w:tc>
          <w:tcPr>
            <w:tcW w:type="dxa" w:w="576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Emits selected CTA clicks.</w:t>
            </w:r>
          </w:p>
        </w:tc>
      </w:tr>
      <w:tr>
        <w:tc>
          <w:tcPr>
            <w:tcW w:type="dxa" w:w="36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app/privacy/page.tsx</w:t>
            </w:r>
          </w:p>
        </w:tc>
        <w:tc>
          <w:tcPr>
            <w:tcW w:type="dxa" w:w="576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Explains analytics use and consent behavior.</w:t>
            </w:r>
          </w:p>
        </w:tc>
      </w:tr>
      <w:tr>
        <w:tc>
          <w:tcPr>
            <w:tcW w:type="dxa" w:w="36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next.config.ts</w:t>
            </w:r>
          </w:p>
        </w:tc>
        <w:tc>
          <w:tcPr>
            <w:tcW w:type="dxa" w:w="576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Allows required GTM, GA4, and Tag Assistant endpoints in the CSP.</w:t>
            </w:r>
          </w:p>
        </w:tc>
      </w:tr>
    </w:tbl>
    <w:p>
      <w:pPr>
        <w:pStyle w:val="Heading2"/>
        <w:spacing w:after="100" w:before="240"/>
      </w:pPr>
      <w:r>
        <w:rPr>
          <w:rFonts w:ascii="Calibri" w:cs="Calibri" w:eastAsia="Calibri" w:hAnsi="Calibri"/>
          <w:b/>
          <w:bCs/>
          <w:color w:val="1B4DB8"/>
          <w:sz w:val="25"/>
          <w:szCs w:val="25"/>
        </w:rPr>
        <w:t xml:space="preserve">GTM container loading</w:t>
      </w:r>
    </w:p>
    <w:p>
      <w:pPr>
        <w:spacing w:after="120" w:line="276"/>
      </w:pPr>
      <w:r>
        <w:rPr>
          <w:rFonts w:ascii="Consolas" w:cs="Consolas" w:eastAsia="Consolas" w:hAnsi="Consolas"/>
          <w:color w:val="1B4DB8"/>
          <w:sz w:val="19"/>
          <w:szCs w:val="19"/>
        </w:rPr>
        <w:t xml:space="preserve">app/layout.tsx</w:t>
      </w:r>
      <w:r>
        <w:rPr>
          <w:rFonts w:ascii="Calibri" w:cs="Calibri" w:eastAsia="Calibri" w:hAnsi="Calibri"/>
          <w:color w:val="1A2233"/>
          <w:sz w:val="21"/>
          <w:szCs w:val="21"/>
        </w:rPr>
        <w:t xml:space="preserve"> reads </w:t>
      </w:r>
      <w:r>
        <w:rPr>
          <w:rFonts w:ascii="Consolas" w:cs="Consolas" w:eastAsia="Consolas" w:hAnsi="Consolas"/>
          <w:color w:val="1B4DB8"/>
          <w:sz w:val="19"/>
          <w:szCs w:val="19"/>
        </w:rPr>
        <w:t xml:space="preserve">NEXT_PUBLIC_GTM_ID</w:t>
      </w:r>
      <w:r>
        <w:rPr>
          <w:rFonts w:ascii="Calibri" w:cs="Calibri" w:eastAsia="Calibri" w:hAnsi="Calibri"/>
          <w:color w:val="1A2233"/>
          <w:sz w:val="21"/>
          <w:szCs w:val="21"/>
        </w:rPr>
        <w:t xml:space="preserve">. It accepts only an ID matching </w:t>
      </w:r>
      <w:r>
        <w:rPr>
          <w:rFonts w:ascii="Consolas" w:cs="Consolas" w:eastAsia="Consolas" w:hAnsi="Consolas"/>
          <w:color w:val="1B4DB8"/>
          <w:sz w:val="19"/>
          <w:szCs w:val="19"/>
        </w:rPr>
        <w:t xml:space="preserve">GTM-[A-Z0-9]+</w:t>
      </w:r>
      <w:r>
        <w:rPr>
          <w:rFonts w:ascii="Calibri" w:cs="Calibri" w:eastAsia="Calibri" w:hAnsi="Calibri"/>
          <w:color w:val="1A2233"/>
          <w:sz w:val="21"/>
          <w:szCs w:val="21"/>
        </w:rPr>
        <w:t xml:space="preserve"> and otherwise falls back to </w:t>
      </w:r>
      <w:r>
        <w:rPr>
          <w:rFonts w:ascii="Consolas" w:cs="Consolas" w:eastAsia="Consolas" w:hAnsi="Consolas"/>
          <w:color w:val="1B4DB8"/>
          <w:sz w:val="19"/>
          <w:szCs w:val="19"/>
        </w:rPr>
        <w:t xml:space="preserve">GTM-WHTKJV76</w:t>
      </w:r>
      <w:r>
        <w:rPr>
          <w:rFonts w:ascii="Calibri" w:cs="Calibri" w:eastAsia="Calibri" w:hAnsi="Calibri"/>
          <w:color w:val="1A2233"/>
          <w:sz w:val="21"/>
          <w:szCs w:val="21"/>
        </w:rPr>
        <w:t xml:space="preserve">.</w:t>
      </w:r>
    </w:p>
    <w:p>
      <w:pPr>
        <w:pBdr>
          <w:top w:val="single" w:color="C9D3E4" w:sz="2" w:space="4"/>
          <w:bottom w:val="single" w:color="C9D3E4" w:sz="2" w:space="4"/>
          <w:left w:val="single" w:color="2F6FED" w:sz="18" w:space="6"/>
        </w:pBdr>
        <w:shd w:fill="F3F4F6" w:color="auto" w:val="clear"/>
        <w:spacing w:after="0" w:line="264"/>
      </w:pPr>
      <w:r>
        <w:rPr>
          <w:rFonts w:ascii="Consolas" w:cs="Consolas" w:eastAsia="Consolas" w:hAnsi="Consolas"/>
          <w:color w:val="222831"/>
          <w:sz w:val="18"/>
          <w:szCs w:val="18"/>
        </w:rPr>
        <w:t xml:space="preserve">NEXT_PUBLIC_GTM_ID=GTM-WHTKJV76</w:t>
      </w:r>
    </w:p>
    <w:p>
      <w:pPr>
        <w:spacing w:after="120" w:line="276"/>
      </w:pPr>
      <w:r>
        <w:rPr>
          <w:rFonts w:ascii="Calibri" w:cs="Calibri" w:eastAsia="Calibri" w:hAnsi="Calibri"/>
          <w:color w:val="1A2233"/>
          <w:sz w:val="21"/>
          <w:szCs w:val="21"/>
        </w:rPr>
        <w:t xml:space="preserve">The app uses </w:t>
      </w:r>
      <w:r>
        <w:rPr>
          <w:rFonts w:ascii="Consolas" w:cs="Consolas" w:eastAsia="Consolas" w:hAnsi="Consolas"/>
          <w:color w:val="1B4DB8"/>
          <w:sz w:val="19"/>
          <w:szCs w:val="19"/>
        </w:rPr>
        <w:t xml:space="preserve">GoogleTagManager</w:t>
      </w:r>
      <w:r>
        <w:rPr>
          <w:rFonts w:ascii="Calibri" w:cs="Calibri" w:eastAsia="Calibri" w:hAnsi="Calibri"/>
          <w:color w:val="1A2233"/>
          <w:sz w:val="21"/>
          <w:szCs w:val="21"/>
        </w:rPr>
        <w:t xml:space="preserve"> from </w:t>
      </w:r>
      <w:r>
        <w:rPr>
          <w:rFonts w:ascii="Consolas" w:cs="Consolas" w:eastAsia="Consolas" w:hAnsi="Consolas"/>
          <w:color w:val="1B4DB8"/>
          <w:sz w:val="19"/>
          <w:szCs w:val="19"/>
        </w:rPr>
        <w:t xml:space="preserve">@next/third-parties/google</w:t>
      </w:r>
      <w:r>
        <w:rPr>
          <w:rFonts w:ascii="Calibri" w:cs="Calibri" w:eastAsia="Calibri" w:hAnsi="Calibri"/>
          <w:color w:val="1A2233"/>
          <w:sz w:val="21"/>
          <w:szCs w:val="21"/>
        </w:rPr>
        <w:t xml:space="preserve">, so the script is not manually pasted into every page. The root layout makes it available throughout the App Router application.</w:t>
      </w:r>
    </w:p>
    <w:p>
      <w:pPr>
        <w:pStyle w:val="Heading2"/>
        <w:spacing w:after="100" w:before="240"/>
      </w:pPr>
      <w:r>
        <w:rPr>
          <w:rFonts w:ascii="Calibri" w:cs="Calibri" w:eastAsia="Calibri" w:hAnsi="Calibri"/>
          <w:b/>
          <w:bCs/>
          <w:color w:val="1B4DB8"/>
          <w:sz w:val="25"/>
          <w:szCs w:val="25"/>
        </w:rPr>
        <w:t xml:space="preserve">Consent behavior</w:t>
      </w:r>
    </w:p>
    <w:p>
      <w:pPr>
        <w:pStyle w:val="ListParagraph"/>
        <w:numPr>
          <w:ilvl w:val="0"/>
          <w:numId w:val="3"/>
        </w:numPr>
        <w:spacing w:after="70" w:line="268"/>
      </w:pPr>
      <w:r>
        <w:rPr>
          <w:rFonts w:ascii="Calibri" w:cs="Calibri" w:eastAsia="Calibri" w:hAnsi="Calibri"/>
          <w:color w:val="1A2233"/>
          <w:sz w:val="21"/>
          <w:szCs w:val="21"/>
        </w:rPr>
        <w:t xml:space="preserve">A new visitor sees </w:t>
      </w:r>
      <w:r>
        <w:rPr>
          <w:rFonts w:ascii="Calibri" w:cs="Calibri" w:eastAsia="Calibri" w:hAnsi="Calibri"/>
          <w:b/>
          <w:bCs/>
          <w:color w:val="1A2233"/>
          <w:sz w:val="21"/>
          <w:szCs w:val="21"/>
        </w:rPr>
        <w:t xml:space="preserve">Allow analytics</w:t>
      </w:r>
      <w:r>
        <w:rPr>
          <w:rFonts w:ascii="Calibri" w:cs="Calibri" w:eastAsia="Calibri" w:hAnsi="Calibri"/>
          <w:color w:val="1A2233"/>
          <w:sz w:val="21"/>
          <w:szCs w:val="21"/>
        </w:rPr>
        <w:t xml:space="preserve"> and </w:t>
      </w:r>
      <w:r>
        <w:rPr>
          <w:rFonts w:ascii="Calibri" w:cs="Calibri" w:eastAsia="Calibri" w:hAnsi="Calibri"/>
          <w:b/>
          <w:bCs/>
          <w:color w:val="1A2233"/>
          <w:sz w:val="21"/>
          <w:szCs w:val="21"/>
        </w:rPr>
        <w:t xml:space="preserve">Decline</w:t>
      </w:r>
      <w:r>
        <w:rPr>
          <w:rFonts w:ascii="Calibri" w:cs="Calibri" w:eastAsia="Calibri" w:hAnsi="Calibri"/>
          <w:color w:val="1A2233"/>
          <w:sz w:val="21"/>
          <w:szCs w:val="21"/>
        </w:rPr>
        <w:t xml:space="preserve"> choices.</w:t>
      </w:r>
    </w:p>
    <w:p>
      <w:pPr>
        <w:pStyle w:val="ListParagraph"/>
        <w:numPr>
          <w:ilvl w:val="0"/>
          <w:numId w:val="3"/>
        </w:numPr>
        <w:spacing w:after="70" w:line="268"/>
      </w:pPr>
      <w:r>
        <w:rPr>
          <w:rFonts w:ascii="Calibri" w:cs="Calibri" w:eastAsia="Calibri" w:hAnsi="Calibri"/>
          <w:color w:val="1A2233"/>
          <w:sz w:val="21"/>
          <w:szCs w:val="21"/>
        </w:rPr>
        <w:t xml:space="preserve">GTM does not load before the visitor allows analytics.</w:t>
      </w:r>
    </w:p>
    <w:p>
      <w:pPr>
        <w:pStyle w:val="ListParagraph"/>
        <w:numPr>
          <w:ilvl w:val="0"/>
          <w:numId w:val="3"/>
        </w:numPr>
        <w:spacing w:after="70" w:line="268"/>
      </w:pPr>
      <w:r>
        <w:rPr>
          <w:rFonts w:ascii="Calibri" w:cs="Calibri" w:eastAsia="Calibri" w:hAnsi="Calibri"/>
          <w:color w:val="1A2233"/>
          <w:sz w:val="21"/>
          <w:szCs w:val="21"/>
        </w:rPr>
        <w:t xml:space="preserve">Consent is stored in localStorage under </w:t>
      </w:r>
      <w:r>
        <w:rPr>
          <w:rFonts w:ascii="Consolas" w:cs="Consolas" w:eastAsia="Consolas" w:hAnsi="Consolas"/>
          <w:color w:val="1B4DB8"/>
          <w:sz w:val="19"/>
          <w:szCs w:val="19"/>
        </w:rPr>
        <w:t xml:space="preserve">pulseboard_analytics_consent</w:t>
      </w:r>
      <w:r>
        <w:rPr>
          <w:rFonts w:ascii="Calibri" w:cs="Calibri" w:eastAsia="Calibri" w:hAnsi="Calibri"/>
          <w:color w:val="1A2233"/>
          <w:sz w:val="21"/>
          <w:szCs w:val="21"/>
        </w:rPr>
        <w:t xml:space="preserve">.</w:t>
      </w:r>
    </w:p>
    <w:p>
      <w:pPr>
        <w:pStyle w:val="ListParagraph"/>
        <w:numPr>
          <w:ilvl w:val="0"/>
          <w:numId w:val="3"/>
        </w:numPr>
        <w:spacing w:after="70" w:line="268"/>
      </w:pPr>
      <w:r>
        <w:rPr>
          <w:rFonts w:ascii="Consolas" w:cs="Consolas" w:eastAsia="Consolas" w:hAnsi="Consolas"/>
          <w:color w:val="1B4DB8"/>
          <w:sz w:val="19"/>
          <w:szCs w:val="19"/>
        </w:rPr>
        <w:t xml:space="preserve">trackEvent()</w:t>
      </w:r>
      <w:r>
        <w:rPr>
          <w:rFonts w:ascii="Calibri" w:cs="Calibri" w:eastAsia="Calibri" w:hAnsi="Calibri"/>
          <w:color w:val="1A2233"/>
          <w:sz w:val="21"/>
          <w:szCs w:val="21"/>
        </w:rPr>
        <w:t xml:space="preserve"> checks that stored value before every data-layer push.</w:t>
      </w:r>
    </w:p>
    <w:p>
      <w:pPr>
        <w:pStyle w:val="ListParagraph"/>
        <w:numPr>
          <w:ilvl w:val="0"/>
          <w:numId w:val="3"/>
        </w:numPr>
        <w:spacing w:after="70" w:line="268"/>
      </w:pPr>
      <w:r>
        <w:rPr>
          <w:rFonts w:ascii="Calibri" w:cs="Calibri" w:eastAsia="Calibri" w:hAnsi="Calibri"/>
          <w:color w:val="1A2233"/>
          <w:sz w:val="21"/>
          <w:szCs w:val="21"/>
        </w:rPr>
        <w:t xml:space="preserve">Selecting or changing a choice clears the current data layer and reloads the page (preserving the current URL, including GTM Preview parameters).</w:t>
      </w:r>
    </w:p>
    <w:p>
      <w:pPr>
        <w:pStyle w:val="ListParagraph"/>
        <w:numPr>
          <w:ilvl w:val="0"/>
          <w:numId w:val="3"/>
        </w:numPr>
        <w:spacing w:after="70" w:line="268"/>
      </w:pPr>
      <w:r>
        <w:rPr>
          <w:rFonts w:ascii="Calibri" w:cs="Calibri" w:eastAsia="Calibri" w:hAnsi="Calibri"/>
          <w:color w:val="1A2233"/>
          <w:sz w:val="21"/>
          <w:szCs w:val="21"/>
        </w:rPr>
        <w:t xml:space="preserve">Visitors can reopen </w:t>
      </w:r>
      <w:r>
        <w:rPr>
          <w:rFonts w:ascii="Calibri" w:cs="Calibri" w:eastAsia="Calibri" w:hAnsi="Calibri"/>
          <w:b/>
          <w:bCs/>
          <w:color w:val="1A2233"/>
          <w:sz w:val="21"/>
          <w:szCs w:val="21"/>
        </w:rPr>
        <w:t xml:space="preserve">Privacy choices</w:t>
      </w:r>
      <w:r>
        <w:rPr>
          <w:rFonts w:ascii="Calibri" w:cs="Calibri" w:eastAsia="Calibri" w:hAnsi="Calibri"/>
          <w:color w:val="1A2233"/>
          <w:sz w:val="21"/>
          <w:szCs w:val="21"/>
        </w:rPr>
        <w:t xml:space="preserve"> from the footer.</w:t>
      </w:r>
    </w:p>
    <w:p>
      <w:pPr>
        <w:pStyle w:val="ListParagraph"/>
        <w:numPr>
          <w:ilvl w:val="0"/>
          <w:numId w:val="3"/>
        </w:numPr>
        <w:spacing w:after="70" w:line="268"/>
      </w:pPr>
      <w:r>
        <w:rPr>
          <w:rFonts w:ascii="Calibri" w:cs="Calibri" w:eastAsia="Calibri" w:hAnsi="Calibri"/>
          <w:color w:val="1A2233"/>
          <w:sz w:val="21"/>
          <w:szCs w:val="21"/>
        </w:rPr>
        <w:t xml:space="preserve">The GTM </w:t>
      </w:r>
      <w:r>
        <w:rPr>
          <w:rFonts w:ascii="Consolas" w:cs="Consolas" w:eastAsia="Consolas" w:hAnsi="Consolas"/>
          <w:color w:val="1B4DB8"/>
          <w:sz w:val="19"/>
          <w:szCs w:val="19"/>
        </w:rPr>
        <w:t xml:space="preserve">noscript</w:t>
      </w:r>
      <w:r>
        <w:rPr>
          <w:rFonts w:ascii="Calibri" w:cs="Calibri" w:eastAsia="Calibri" w:hAnsi="Calibri"/>
          <w:color w:val="1A2233"/>
          <w:sz w:val="21"/>
          <w:szCs w:val="21"/>
        </w:rPr>
        <w:t xml:space="preserve"> iframe is intentionally omitted because consent cannot be collected reliably without JavaScript.</w:t>
      </w:r>
    </w:p>
    <w:tbl>
      <w:tblPr>
        <w:tblW w:type="dxa" w:w="9360"/>
        <w:tblBorders>
          <w:top w:val="none"/>
          <w:left w:val="single" w:color="1F7A45" w:sz="24"/>
          <w:bottom w:val="none"/>
          <w:right w:val="none"/>
          <w:insideH w:val="none"/>
          <w:insideV w:val="none"/>
        </w:tblBorders>
      </w:tblPr>
      <w:tblGrid>
        <w:gridCol w:w="9360"/>
      </w:tblGrid>
      <w:tr>
        <w:tc>
          <w:tcPr>
            <w:tcW w:type="dxa" w:w="9360"/>
            <w:shd w:fill="EAF6EF" w:color="auto" w:val="clear"/>
            <w:tcMar>
              <w:top w:type="dxa" w:w="100"/>
              <w:left w:type="dxa" w:w="160"/>
              <w:bottom w:type="dxa" w:w="100"/>
              <w:right w:type="dxa" w:w="140"/>
            </w:tcMar>
          </w:tcPr>
          <w:p>
            <w:pPr>
              <w:spacing w:after="40"/>
            </w:pPr>
            <w:r>
              <w:rPr>
                <w:rFonts w:ascii="Calibri" w:cs="Calibri" w:eastAsia="Calibri" w:hAnsi="Calibri"/>
                <w:b/>
                <w:bCs/>
                <w:color w:val="1F7A45"/>
                <w:sz w:val="20"/>
                <w:szCs w:val="20"/>
              </w:rPr>
              <w:t xml:space="preserve">Strict opt-in</w:t>
            </w:r>
          </w:p>
          <w:p>
            <w:pPr>
              <w:spacing w:after="0" w:line="270"/>
            </w:pPr>
            <w:r>
              <w:rPr>
                <w:rFonts w:ascii="Calibri" w:cs="Calibri" w:eastAsia="Calibri" w:hAnsi="Calibri"/>
                <w:color w:val="1A2233"/>
                <w:sz w:val="21"/>
                <w:szCs w:val="21"/>
              </w:rPr>
              <w:t xml:space="preserve">This is a strict opt-in implementation — analytics is not loaded first and then adjusted via Google Consent Mode. Nothing loads until the visitor says yes.</w:t>
            </w:r>
          </w:p>
        </w:tc>
      </w:tr>
    </w:tbl>
    <w:p>
      <w:r>
        <w:br w:type="page"/>
      </w:r>
    </w:p>
    <w:p>
      <w:pPr>
        <w:pStyle w:val="Heading1"/>
        <w:spacing w:after="140" w:before="320"/>
      </w:pPr>
      <w:r>
        <w:rPr>
          <w:rFonts w:ascii="Calibri" w:cs="Calibri" w:eastAsia="Calibri" w:hAnsi="Calibri"/>
          <w:b/>
          <w:bCs/>
          <w:color w:val="1A2233"/>
          <w:sz w:val="30"/>
          <w:szCs w:val="30"/>
        </w:rPr>
        <w:t xml:space="preserve">4. Event measurement plan</w:t>
      </w:r>
    </w:p>
    <w:p>
      <w:pPr>
        <w:pStyle w:val="Heading2"/>
        <w:spacing w:after="100" w:before="240"/>
      </w:pPr>
      <w:r>
        <w:rPr>
          <w:rFonts w:ascii="Calibri" w:cs="Calibri" w:eastAsia="Calibri" w:hAnsi="Calibri"/>
          <w:b/>
          <w:bCs/>
          <w:color w:val="1B4DB8"/>
          <w:sz w:val="25"/>
          <w:szCs w:val="25"/>
        </w:rPr>
        <w:t xml:space="preserve">Events emitted by the application</w:t>
      </w:r>
    </w:p>
    <w:tbl>
      <w:tblPr>
        <w:tblW w:type="dxa" w:w="9360"/>
        <w:tblBorders>
          <w:top w:val="single" w:color="C9D3E4" w:sz="2"/>
          <w:left w:val="single" w:color="C9D3E4" w:sz="2"/>
          <w:bottom w:val="single" w:color="C9D3E4" w:sz="2"/>
          <w:right w:val="single" w:color="C9D3E4" w:sz="2"/>
          <w:insideH w:val="single" w:color="C9D3E4" w:sz="2"/>
          <w:insideV w:val="single" w:color="C9D3E4" w:sz="2"/>
        </w:tblBorders>
      </w:tblPr>
      <w:tblGrid>
        <w:gridCol w:w="1900"/>
        <w:gridCol w:w="2500"/>
        <w:gridCol w:w="2560"/>
        <w:gridCol w:w="2400"/>
      </w:tblGrid>
      <w:tr>
        <w:trPr>
          <w:tblHeader/>
        </w:trPr>
        <w:tc>
          <w:tcPr>
            <w:tcW w:type="dxa" w:w="1900"/>
            <w:shd w:fill="2F6FED" w:color="auto" w:val="clear"/>
            <w:tcMar>
              <w:top w:type="dxa" w:w="70"/>
              <w:left w:type="dxa" w:w="110"/>
              <w:bottom w:type="dxa" w:w="70"/>
              <w:right w:type="dxa" w:w="110"/>
            </w:tcMar>
            <w:vAlign w:val="center"/>
          </w:tcPr>
          <w:p>
            <w:pPr>
              <w:spacing w:after="0" w:line="258"/>
            </w:pPr>
            <w:r>
              <w:rPr>
                <w:rFonts w:ascii="Calibri" w:cs="Calibri" w:eastAsia="Calibri" w:hAnsi="Calibri"/>
                <w:b/>
                <w:bCs/>
                <w:color w:val="FFFFFF"/>
                <w:sz w:val="19"/>
                <w:szCs w:val="19"/>
              </w:rPr>
              <w:t xml:space="preserve">Event</w:t>
            </w:r>
          </w:p>
        </w:tc>
        <w:tc>
          <w:tcPr>
            <w:tcW w:type="dxa" w:w="2500"/>
            <w:shd w:fill="2F6FED" w:color="auto" w:val="clear"/>
            <w:tcMar>
              <w:top w:type="dxa" w:w="70"/>
              <w:left w:type="dxa" w:w="110"/>
              <w:bottom w:type="dxa" w:w="70"/>
              <w:right w:type="dxa" w:w="110"/>
            </w:tcMar>
            <w:vAlign w:val="center"/>
          </w:tcPr>
          <w:p>
            <w:pPr>
              <w:spacing w:after="0" w:line="258"/>
            </w:pPr>
            <w:r>
              <w:rPr>
                <w:rFonts w:ascii="Calibri" w:cs="Calibri" w:eastAsia="Calibri" w:hAnsi="Calibri"/>
                <w:b/>
                <w:bCs/>
                <w:color w:val="FFFFFF"/>
                <w:sz w:val="19"/>
                <w:szCs w:val="19"/>
              </w:rPr>
              <w:t xml:space="preserve">When it fires</w:t>
            </w:r>
          </w:p>
        </w:tc>
        <w:tc>
          <w:tcPr>
            <w:tcW w:type="dxa" w:w="2560"/>
            <w:shd w:fill="2F6FED" w:color="auto" w:val="clear"/>
            <w:tcMar>
              <w:top w:type="dxa" w:w="70"/>
              <w:left w:type="dxa" w:w="110"/>
              <w:bottom w:type="dxa" w:w="70"/>
              <w:right w:type="dxa" w:w="110"/>
            </w:tcMar>
            <w:vAlign w:val="center"/>
          </w:tcPr>
          <w:p>
            <w:pPr>
              <w:spacing w:after="0" w:line="258"/>
            </w:pPr>
            <w:r>
              <w:rPr>
                <w:rFonts w:ascii="Calibri" w:cs="Calibri" w:eastAsia="Calibri" w:hAnsi="Calibri"/>
                <w:b/>
                <w:bCs/>
                <w:color w:val="FFFFFF"/>
                <w:sz w:val="19"/>
                <w:szCs w:val="19"/>
              </w:rPr>
              <w:t xml:space="preserve">Data-layer fields</w:t>
            </w:r>
          </w:p>
        </w:tc>
        <w:tc>
          <w:tcPr>
            <w:tcW w:type="dxa" w:w="2400"/>
            <w:shd w:fill="2F6FED" w:color="auto" w:val="clear"/>
            <w:tcMar>
              <w:top w:type="dxa" w:w="70"/>
              <w:left w:type="dxa" w:w="110"/>
              <w:bottom w:type="dxa" w:w="70"/>
              <w:right w:type="dxa" w:w="110"/>
            </w:tcMar>
            <w:vAlign w:val="center"/>
          </w:tcPr>
          <w:p>
            <w:pPr>
              <w:spacing w:after="0" w:line="258"/>
            </w:pPr>
            <w:r>
              <w:rPr>
                <w:rFonts w:ascii="Calibri" w:cs="Calibri" w:eastAsia="Calibri" w:hAnsi="Calibri"/>
                <w:b/>
                <w:bCs/>
                <w:color w:val="FFFFFF"/>
                <w:sz w:val="19"/>
                <w:szCs w:val="19"/>
              </w:rPr>
              <w:t xml:space="preserve">Business question</w:t>
            </w:r>
          </w:p>
        </w:tc>
      </w:tr>
      <w:tr>
        <w:tc>
          <w:tcPr>
            <w:tcW w:type="dxa" w:w="19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page_view</w:t>
            </w:r>
          </w:p>
        </w:tc>
        <w:tc>
          <w:tcPr>
            <w:tcW w:type="dxa" w:w="25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GA4 Enhanced Measurement after GTM loads</w:t>
            </w:r>
          </w:p>
        </w:tc>
        <w:tc>
          <w:tcPr>
            <w:tcW w:type="dxa" w:w="256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Auto-collected</w:t>
            </w:r>
          </w:p>
        </w:tc>
        <w:tc>
          <w:tcPr>
            <w:tcW w:type="dxa" w:w="24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Which pages attract &amp; retain visitors?</w:t>
            </w:r>
          </w:p>
        </w:tc>
      </w:tr>
      <w:tr>
        <w:tc>
          <w:tcPr>
            <w:tcW w:type="dxa" w:w="19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cta_click</w:t>
            </w:r>
          </w:p>
        </w:tc>
        <w:tc>
          <w:tcPr>
            <w:tcW w:type="dxa" w:w="25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A tracked homepage CTA is selected</w:t>
            </w:r>
          </w:p>
        </w:tc>
        <w:tc>
          <w:tcPr>
            <w:tcW w:type="dxa" w:w="256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cta_name, cta_location</w:t>
            </w:r>
          </w:p>
        </w:tc>
        <w:tc>
          <w:tcPr>
            <w:tcW w:type="dxa" w:w="24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Which CTA/placement drive exploration?</w:t>
            </w:r>
          </w:p>
        </w:tc>
      </w:tr>
      <w:tr>
        <w:tc>
          <w:tcPr>
            <w:tcW w:type="dxa" w:w="19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product_view</w:t>
            </w:r>
          </w:p>
        </w:tc>
        <w:tc>
          <w:tcPr>
            <w:tcW w:type="dxa" w:w="25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A product detail page mounts</w:t>
            </w:r>
          </w:p>
        </w:tc>
        <w:tc>
          <w:tcPr>
            <w:tcW w:type="dxa" w:w="256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product_id, product_name</w:t>
            </w:r>
          </w:p>
        </w:tc>
        <w:tc>
          <w:tcPr>
            <w:tcW w:type="dxa" w:w="24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Which products receive the most interest?</w:t>
            </w:r>
          </w:p>
        </w:tc>
      </w:tr>
      <w:tr>
        <w:tc>
          <w:tcPr>
            <w:tcW w:type="dxa" w:w="19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feature_upvote</w:t>
            </w:r>
          </w:p>
        </w:tc>
        <w:tc>
          <w:tcPr>
            <w:tcW w:type="dxa" w:w="25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First local vote for a feature</w:t>
            </w:r>
          </w:p>
        </w:tc>
        <w:tc>
          <w:tcPr>
            <w:tcW w:type="dxa" w:w="256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feature_data.feature_id, feature_data.feature_name</w:t>
            </w:r>
          </w:p>
        </w:tc>
        <w:tc>
          <w:tcPr>
            <w:tcW w:type="dxa" w:w="24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Which features have the strongest demand?</w:t>
            </w:r>
          </w:p>
        </w:tc>
      </w:tr>
      <w:tr>
        <w:tc>
          <w:tcPr>
            <w:tcW w:type="dxa" w:w="19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feature_request_submit</w:t>
            </w:r>
          </w:p>
        </w:tc>
        <w:tc>
          <w:tcPr>
            <w:tcW w:type="dxa" w:w="25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Request API returns success</w:t>
            </w:r>
          </w:p>
        </w:tc>
        <w:tc>
          <w:tcPr>
            <w:tcW w:type="dxa" w:w="256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product_id, category</w:t>
            </w:r>
          </w:p>
        </w:tc>
        <w:tc>
          <w:tcPr>
            <w:tcW w:type="dxa" w:w="24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What kinds of requests are submitted?</w:t>
            </w:r>
          </w:p>
        </w:tc>
      </w:tr>
      <w:tr>
        <w:tc>
          <w:tcPr>
            <w:tcW w:type="dxa" w:w="19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generate_lead</w:t>
            </w:r>
          </w:p>
        </w:tc>
        <w:tc>
          <w:tcPr>
            <w:tcW w:type="dxa" w:w="25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Newsletter API returns success</w:t>
            </w:r>
          </w:p>
        </w:tc>
        <w:tc>
          <w:tcPr>
            <w:tcW w:type="dxa" w:w="256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lead_source</w:t>
            </w:r>
          </w:p>
        </w:tc>
        <w:tc>
          <w:tcPr>
            <w:tcW w:type="dxa" w:w="24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Which placement creates leads?</w:t>
            </w:r>
          </w:p>
        </w:tc>
      </w:tr>
    </w:tbl>
    <w:tbl>
      <w:tblPr>
        <w:tblW w:type="dxa" w:w="9360"/>
        <w:tblBorders>
          <w:top w:val="none"/>
          <w:left w:val="single" w:color="9A5B00" w:sz="24"/>
          <w:bottom w:val="none"/>
          <w:right w:val="none"/>
          <w:insideH w:val="none"/>
          <w:insideV w:val="none"/>
        </w:tblBorders>
      </w:tblPr>
      <w:tblGrid>
        <w:gridCol w:w="9360"/>
      </w:tblGrid>
      <w:tr>
        <w:tc>
          <w:tcPr>
            <w:tcW w:type="dxa" w:w="9360"/>
            <w:shd w:fill="FFF6E6" w:color="auto" w:val="clear"/>
            <w:tcMar>
              <w:top w:type="dxa" w:w="100"/>
              <w:left w:type="dxa" w:w="160"/>
              <w:bottom w:type="dxa" w:w="100"/>
              <w:right w:type="dxa" w:w="140"/>
            </w:tcMar>
          </w:tcPr>
          <w:p>
            <w:pPr>
              <w:spacing w:after="40"/>
            </w:pPr>
            <w:r>
              <w:rPr>
                <w:rFonts w:ascii="Calibri" w:cs="Calibri" w:eastAsia="Calibri" w:hAnsi="Calibri"/>
                <w:b/>
                <w:bCs/>
                <w:color w:val="9A5B00"/>
                <w:sz w:val="20"/>
                <w:szCs w:val="20"/>
              </w:rPr>
              <w:t xml:space="preserve">Reserved events</w:t>
            </w:r>
          </w:p>
          <w:p>
            <w:pPr>
              <w:spacing w:after="0" w:line="270"/>
            </w:pPr>
            <w:r>
              <w:rPr>
                <w:rFonts w:ascii="Consolas" w:cs="Consolas" w:eastAsia="Consolas" w:hAnsi="Consolas"/>
                <w:color w:val="1B4DB8"/>
                <w:sz w:val="19"/>
                <w:szCs w:val="19"/>
              </w:rPr>
              <w:t xml:space="preserve">roadmap_filter</w:t>
            </w:r>
            <w:r>
              <w:rPr>
                <w:rFonts w:ascii="Calibri" w:cs="Calibri" w:eastAsia="Calibri" w:hAnsi="Calibri"/>
                <w:color w:val="1A2233"/>
                <w:sz w:val="21"/>
                <w:szCs w:val="21"/>
              </w:rPr>
              <w:t xml:space="preserve"> and </w:t>
            </w:r>
            <w:r>
              <w:rPr>
                <w:rFonts w:ascii="Consolas" w:cs="Consolas" w:eastAsia="Consolas" w:hAnsi="Consolas"/>
                <w:color w:val="1B4DB8"/>
                <w:sz w:val="19"/>
                <w:szCs w:val="19"/>
              </w:rPr>
              <w:t xml:space="preserve">virtual_page_view</w:t>
            </w:r>
            <w:r>
              <w:rPr>
                <w:rFonts w:ascii="Calibri" w:cs="Calibri" w:eastAsia="Calibri" w:hAnsi="Calibri"/>
                <w:color w:val="1A2233"/>
                <w:sz w:val="21"/>
                <w:szCs w:val="21"/>
              </w:rPr>
              <w:t xml:space="preserve"> exist in the TypeScript event type as reserved future events, but no UI component emits them yet. Do not use them in production reporting until a component starts pushing them.</w:t>
            </w:r>
          </w:p>
        </w:tc>
      </w:tr>
    </w:tbl>
    <w:p>
      <w:pPr>
        <w:pStyle w:val="Heading2"/>
        <w:spacing w:after="100" w:before="240"/>
      </w:pPr>
      <w:r>
        <w:rPr>
          <w:rFonts w:ascii="Calibri" w:cs="Calibri" w:eastAsia="Calibri" w:hAnsi="Calibri"/>
          <w:b/>
          <w:bCs/>
          <w:color w:val="1B4DB8"/>
          <w:sz w:val="25"/>
          <w:szCs w:val="25"/>
        </w:rPr>
        <w:t xml:space="preserve">Exact data-layer examples</w:t>
      </w:r>
    </w:p>
    <w:p>
      <w:pPr>
        <w:pStyle w:val="Heading3"/>
        <w:spacing w:after="80" w:before="180"/>
      </w:pPr>
      <w:r>
        <w:rPr>
          <w:rFonts w:ascii="Calibri" w:cs="Calibri" w:eastAsia="Calibri" w:hAnsi="Calibri"/>
          <w:b/>
          <w:bCs/>
          <w:color w:val="1A2233"/>
          <w:sz w:val="22"/>
          <w:szCs w:val="22"/>
        </w:rPr>
        <w:t xml:space="preserve">Feature upvote</w:t>
      </w:r>
    </w:p>
    <w:p>
      <w:pPr>
        <w:pBdr>
          <w:top w:val="single" w:color="C9D3E4" w:sz="2" w:space="4"/>
          <w:left w:val="single" w:color="2F6FED" w:sz="18" w:space="6"/>
        </w:pBdr>
        <w:shd w:fill="F3F4F6" w:color="auto" w:val="clear"/>
        <w:spacing w:after="0" w:line="264"/>
      </w:pPr>
      <w:r>
        <w:rPr>
          <w:rFonts w:ascii="Consolas" w:cs="Consolas" w:eastAsia="Consolas" w:hAnsi="Consolas"/>
          <w:color w:val="222831"/>
          <w:sz w:val="18"/>
          <w:szCs w:val="18"/>
        </w:rPr>
        <w:t xml:space="preserve">window.dataLayer.push({</w:t>
      </w:r>
    </w:p>
    <w:p>
      <w:pPr>
        <w:pBdr>
          <w:left w:val="single" w:color="2F6FED" w:sz="18" w:space="6"/>
        </w:pBdr>
        <w:shd w:fill="F3F4F6" w:color="auto" w:val="clear"/>
        <w:spacing w:after="0" w:line="264"/>
      </w:pPr>
      <w:r>
        <w:rPr>
          <w:rFonts w:ascii="Consolas" w:cs="Consolas" w:eastAsia="Consolas" w:hAnsi="Consolas"/>
          <w:color w:val="222831"/>
          <w:sz w:val="18"/>
          <w:szCs w:val="18"/>
        </w:rPr>
        <w:t xml:space="preserve">  event: "feature_upvote",</w:t>
      </w:r>
    </w:p>
    <w:p>
      <w:pPr>
        <w:pBdr>
          <w:left w:val="single" w:color="2F6FED" w:sz="18" w:space="6"/>
        </w:pBdr>
        <w:shd w:fill="F3F4F6" w:color="auto" w:val="clear"/>
        <w:spacing w:after="0" w:line="264"/>
      </w:pPr>
      <w:r>
        <w:rPr>
          <w:rFonts w:ascii="Consolas" w:cs="Consolas" w:eastAsia="Consolas" w:hAnsi="Consolas"/>
          <w:color w:val="222831"/>
          <w:sz w:val="18"/>
          <w:szCs w:val="18"/>
        </w:rPr>
        <w:t xml:space="preserve">  feature_data: {</w:t>
      </w:r>
    </w:p>
    <w:p>
      <w:pPr>
        <w:pBdr>
          <w:left w:val="single" w:color="2F6FED" w:sz="18" w:space="6"/>
        </w:pBdr>
        <w:shd w:fill="F3F4F6" w:color="auto" w:val="clear"/>
        <w:spacing w:after="0" w:line="264"/>
      </w:pPr>
      <w:r>
        <w:rPr>
          <w:rFonts w:ascii="Consolas" w:cs="Consolas" w:eastAsia="Consolas" w:hAnsi="Consolas"/>
          <w:color w:val="222831"/>
          <w:sz w:val="18"/>
          <w:szCs w:val="18"/>
        </w:rPr>
        <w:t xml:space="preserve">    feature_id: "feat_1",</w:t>
      </w:r>
    </w:p>
    <w:p>
      <w:pPr>
        <w:pBdr>
          <w:left w:val="single" w:color="2F6FED" w:sz="18" w:space="6"/>
        </w:pBdr>
        <w:shd w:fill="F3F4F6" w:color="auto" w:val="clear"/>
        <w:spacing w:after="0" w:line="264"/>
      </w:pPr>
      <w:r>
        <w:rPr>
          <w:rFonts w:ascii="Consolas" w:cs="Consolas" w:eastAsia="Consolas" w:hAnsi="Consolas"/>
          <w:color w:val="222831"/>
          <w:sz w:val="18"/>
          <w:szCs w:val="18"/>
        </w:rPr>
        <w:t xml:space="preserve">    feature_name: "Add Dark Mode"</w:t>
      </w:r>
    </w:p>
    <w:p>
      <w:pPr>
        <w:pBdr>
          <w:left w:val="single" w:color="2F6FED" w:sz="18" w:space="6"/>
        </w:pBdr>
        <w:shd w:fill="F3F4F6" w:color="auto" w:val="clear"/>
        <w:spacing w:after="0" w:line="264"/>
      </w:pPr>
      <w:r>
        <w:rPr>
          <w:rFonts w:ascii="Consolas" w:cs="Consolas" w:eastAsia="Consolas" w:hAnsi="Consolas"/>
          <w:color w:val="222831"/>
          <w:sz w:val="18"/>
          <w:szCs w:val="18"/>
        </w:rPr>
        <w:t xml:space="preserve">  }</w:t>
      </w:r>
    </w:p>
    <w:p>
      <w:pPr>
        <w:pBdr>
          <w:bottom w:val="single" w:color="C9D3E4" w:sz="2" w:space="4"/>
          <w:left w:val="single" w:color="2F6FED" w:sz="18" w:space="6"/>
        </w:pBdr>
        <w:shd w:fill="F3F4F6" w:color="auto" w:val="clear"/>
        <w:spacing w:after="0" w:line="264"/>
      </w:pPr>
      <w:r>
        <w:rPr>
          <w:rFonts w:ascii="Consolas" w:cs="Consolas" w:eastAsia="Consolas" w:hAnsi="Consolas"/>
          <w:color w:val="222831"/>
          <w:sz w:val="18"/>
          <w:szCs w:val="18"/>
        </w:rPr>
        <w:t xml:space="preserve">});</w:t>
      </w:r>
    </w:p>
    <w:p>
      <w:pPr>
        <w:pStyle w:val="Heading3"/>
        <w:spacing w:after="80" w:before="180"/>
      </w:pPr>
      <w:r>
        <w:rPr>
          <w:rFonts w:ascii="Calibri" w:cs="Calibri" w:eastAsia="Calibri" w:hAnsi="Calibri"/>
          <w:b/>
          <w:bCs/>
          <w:color w:val="1A2233"/>
          <w:sz w:val="22"/>
          <w:szCs w:val="22"/>
        </w:rPr>
        <w:t xml:space="preserve">Successful newsletter subscription</w:t>
      </w:r>
    </w:p>
    <w:p>
      <w:pPr>
        <w:pBdr>
          <w:top w:val="single" w:color="C9D3E4" w:sz="2" w:space="4"/>
          <w:left w:val="single" w:color="2F6FED" w:sz="18" w:space="6"/>
        </w:pBdr>
        <w:shd w:fill="F3F4F6" w:color="auto" w:val="clear"/>
        <w:spacing w:after="0" w:line="264"/>
      </w:pPr>
      <w:r>
        <w:rPr>
          <w:rFonts w:ascii="Consolas" w:cs="Consolas" w:eastAsia="Consolas" w:hAnsi="Consolas"/>
          <w:color w:val="222831"/>
          <w:sz w:val="18"/>
          <w:szCs w:val="18"/>
        </w:rPr>
        <w:t xml:space="preserve">window.dataLayer.push({</w:t>
      </w:r>
    </w:p>
    <w:p>
      <w:pPr>
        <w:pBdr>
          <w:left w:val="single" w:color="2F6FED" w:sz="18" w:space="6"/>
        </w:pBdr>
        <w:shd w:fill="F3F4F6" w:color="auto" w:val="clear"/>
        <w:spacing w:after="0" w:line="264"/>
      </w:pPr>
      <w:r>
        <w:rPr>
          <w:rFonts w:ascii="Consolas" w:cs="Consolas" w:eastAsia="Consolas" w:hAnsi="Consolas"/>
          <w:color w:val="222831"/>
          <w:sz w:val="18"/>
          <w:szCs w:val="18"/>
        </w:rPr>
        <w:t xml:space="preserve">  event: "generate_lead",</w:t>
      </w:r>
    </w:p>
    <w:p>
      <w:pPr>
        <w:pBdr>
          <w:left w:val="single" w:color="2F6FED" w:sz="18" w:space="6"/>
        </w:pBdr>
        <w:shd w:fill="F3F4F6" w:color="auto" w:val="clear"/>
        <w:spacing w:after="0" w:line="264"/>
      </w:pPr>
      <w:r>
        <w:rPr>
          <w:rFonts w:ascii="Consolas" w:cs="Consolas" w:eastAsia="Consolas" w:hAnsi="Consolas"/>
          <w:color w:val="222831"/>
          <w:sz w:val="18"/>
          <w:szCs w:val="18"/>
        </w:rPr>
        <w:t xml:space="preserve">  lead_source: "homepage_newsletter"</w:t>
      </w:r>
    </w:p>
    <w:p>
      <w:pPr>
        <w:pBdr>
          <w:bottom w:val="single" w:color="C9D3E4" w:sz="2" w:space="4"/>
          <w:left w:val="single" w:color="2F6FED" w:sz="18" w:space="6"/>
        </w:pBdr>
        <w:shd w:fill="F3F4F6" w:color="auto" w:val="clear"/>
        <w:spacing w:after="0" w:line="264"/>
      </w:pPr>
      <w:r>
        <w:rPr>
          <w:rFonts w:ascii="Consolas" w:cs="Consolas" w:eastAsia="Consolas" w:hAnsi="Consolas"/>
          <w:color w:val="222831"/>
          <w:sz w:val="18"/>
          <w:szCs w:val="18"/>
        </w:rPr>
        <w:t xml:space="preserve">});</w:t>
      </w:r>
    </w:p>
    <w:p>
      <w:pPr>
        <w:pStyle w:val="Heading3"/>
        <w:spacing w:after="80" w:before="180"/>
      </w:pPr>
      <w:r>
        <w:rPr>
          <w:rFonts w:ascii="Calibri" w:cs="Calibri" w:eastAsia="Calibri" w:hAnsi="Calibri"/>
          <w:b/>
          <w:bCs/>
          <w:color w:val="1A2233"/>
          <w:sz w:val="22"/>
          <w:szCs w:val="22"/>
        </w:rPr>
        <w:t xml:space="preserve">Successful feature request</w:t>
      </w:r>
    </w:p>
    <w:p>
      <w:pPr>
        <w:pBdr>
          <w:top w:val="single" w:color="C9D3E4" w:sz="2" w:space="4"/>
          <w:left w:val="single" w:color="2F6FED" w:sz="18" w:space="6"/>
        </w:pBdr>
        <w:shd w:fill="F3F4F6" w:color="auto" w:val="clear"/>
        <w:spacing w:after="0" w:line="264"/>
      </w:pPr>
      <w:r>
        <w:rPr>
          <w:rFonts w:ascii="Consolas" w:cs="Consolas" w:eastAsia="Consolas" w:hAnsi="Consolas"/>
          <w:color w:val="222831"/>
          <w:sz w:val="18"/>
          <w:szCs w:val="18"/>
        </w:rPr>
        <w:t xml:space="preserve">window.dataLayer.push({</w:t>
      </w:r>
    </w:p>
    <w:p>
      <w:pPr>
        <w:pBdr>
          <w:left w:val="single" w:color="2F6FED" w:sz="18" w:space="6"/>
        </w:pBdr>
        <w:shd w:fill="F3F4F6" w:color="auto" w:val="clear"/>
        <w:spacing w:after="0" w:line="264"/>
      </w:pPr>
      <w:r>
        <w:rPr>
          <w:rFonts w:ascii="Consolas" w:cs="Consolas" w:eastAsia="Consolas" w:hAnsi="Consolas"/>
          <w:color w:val="222831"/>
          <w:sz w:val="18"/>
          <w:szCs w:val="18"/>
        </w:rPr>
        <w:t xml:space="preserve">  event: "feature_request_submit",</w:t>
      </w:r>
    </w:p>
    <w:p>
      <w:pPr>
        <w:pBdr>
          <w:left w:val="single" w:color="2F6FED" w:sz="18" w:space="6"/>
        </w:pBdr>
        <w:shd w:fill="F3F4F6" w:color="auto" w:val="clear"/>
        <w:spacing w:after="0" w:line="264"/>
      </w:pPr>
      <w:r>
        <w:rPr>
          <w:rFonts w:ascii="Consolas" w:cs="Consolas" w:eastAsia="Consolas" w:hAnsi="Consolas"/>
          <w:color w:val="222831"/>
          <w:sz w:val="18"/>
          <w:szCs w:val="18"/>
        </w:rPr>
        <w:t xml:space="preserve">  product_id: "prod_1",</w:t>
      </w:r>
    </w:p>
    <w:p>
      <w:pPr>
        <w:pBdr>
          <w:left w:val="single" w:color="2F6FED" w:sz="18" w:space="6"/>
        </w:pBdr>
        <w:shd w:fill="F3F4F6" w:color="auto" w:val="clear"/>
        <w:spacing w:after="0" w:line="264"/>
      </w:pPr>
      <w:r>
        <w:rPr>
          <w:rFonts w:ascii="Consolas" w:cs="Consolas" w:eastAsia="Consolas" w:hAnsi="Consolas"/>
          <w:color w:val="222831"/>
          <w:sz w:val="18"/>
          <w:szCs w:val="18"/>
        </w:rPr>
        <w:t xml:space="preserve">  category: "Analytics"</w:t>
      </w:r>
    </w:p>
    <w:p>
      <w:pPr>
        <w:pBdr>
          <w:bottom w:val="single" w:color="C9D3E4" w:sz="2" w:space="4"/>
          <w:left w:val="single" w:color="2F6FED" w:sz="18" w:space="6"/>
        </w:pBdr>
        <w:shd w:fill="F3F4F6" w:color="auto" w:val="clear"/>
        <w:spacing w:after="0" w:line="264"/>
      </w:pPr>
      <w:r>
        <w:rPr>
          <w:rFonts w:ascii="Consolas" w:cs="Consolas" w:eastAsia="Consolas" w:hAnsi="Consolas"/>
          <w:color w:val="222831"/>
          <w:sz w:val="18"/>
          <w:szCs w:val="18"/>
        </w:rPr>
        <w:t xml:space="preserve">});</w:t>
      </w:r>
    </w:p>
    <w:p>
      <w:pPr>
        <w:pStyle w:val="Heading3"/>
        <w:spacing w:after="80" w:before="180"/>
      </w:pPr>
      <w:r>
        <w:rPr>
          <w:rFonts w:ascii="Calibri" w:cs="Calibri" w:eastAsia="Calibri" w:hAnsi="Calibri"/>
          <w:b/>
          <w:bCs/>
          <w:color w:val="1A2233"/>
          <w:sz w:val="22"/>
          <w:szCs w:val="22"/>
        </w:rPr>
        <w:t xml:space="preserve">Product detail view</w:t>
      </w:r>
    </w:p>
    <w:p>
      <w:pPr>
        <w:pBdr>
          <w:top w:val="single" w:color="C9D3E4" w:sz="2" w:space="4"/>
          <w:left w:val="single" w:color="2F6FED" w:sz="18" w:space="6"/>
        </w:pBdr>
        <w:shd w:fill="F3F4F6" w:color="auto" w:val="clear"/>
        <w:spacing w:after="0" w:line="264"/>
      </w:pPr>
      <w:r>
        <w:rPr>
          <w:rFonts w:ascii="Consolas" w:cs="Consolas" w:eastAsia="Consolas" w:hAnsi="Consolas"/>
          <w:color w:val="222831"/>
          <w:sz w:val="18"/>
          <w:szCs w:val="18"/>
        </w:rPr>
        <w:t xml:space="preserve">window.dataLayer.push({</w:t>
      </w:r>
    </w:p>
    <w:p>
      <w:pPr>
        <w:pBdr>
          <w:left w:val="single" w:color="2F6FED" w:sz="18" w:space="6"/>
        </w:pBdr>
        <w:shd w:fill="F3F4F6" w:color="auto" w:val="clear"/>
        <w:spacing w:after="0" w:line="264"/>
      </w:pPr>
      <w:r>
        <w:rPr>
          <w:rFonts w:ascii="Consolas" w:cs="Consolas" w:eastAsia="Consolas" w:hAnsi="Consolas"/>
          <w:color w:val="222831"/>
          <w:sz w:val="18"/>
          <w:szCs w:val="18"/>
        </w:rPr>
        <w:t xml:space="preserve">  event: "product_view",</w:t>
      </w:r>
    </w:p>
    <w:p>
      <w:pPr>
        <w:pBdr>
          <w:left w:val="single" w:color="2F6FED" w:sz="18" w:space="6"/>
        </w:pBdr>
        <w:shd w:fill="F3F4F6" w:color="auto" w:val="clear"/>
        <w:spacing w:after="0" w:line="264"/>
      </w:pPr>
      <w:r>
        <w:rPr>
          <w:rFonts w:ascii="Consolas" w:cs="Consolas" w:eastAsia="Consolas" w:hAnsi="Consolas"/>
          <w:color w:val="222831"/>
          <w:sz w:val="18"/>
          <w:szCs w:val="18"/>
        </w:rPr>
        <w:t xml:space="preserve">  product_id: "prod_1",</w:t>
      </w:r>
    </w:p>
    <w:p>
      <w:pPr>
        <w:pBdr>
          <w:left w:val="single" w:color="2F6FED" w:sz="18" w:space="6"/>
        </w:pBdr>
        <w:shd w:fill="F3F4F6" w:color="auto" w:val="clear"/>
        <w:spacing w:after="0" w:line="264"/>
      </w:pPr>
      <w:r>
        <w:rPr>
          <w:rFonts w:ascii="Consolas" w:cs="Consolas" w:eastAsia="Consolas" w:hAnsi="Consolas"/>
          <w:color w:val="222831"/>
          <w:sz w:val="18"/>
          <w:szCs w:val="18"/>
        </w:rPr>
        <w:t xml:space="preserve">  product_name: "Pulse Insights"</w:t>
      </w:r>
    </w:p>
    <w:p>
      <w:pPr>
        <w:pBdr>
          <w:bottom w:val="single" w:color="C9D3E4" w:sz="2" w:space="4"/>
          <w:left w:val="single" w:color="2F6FED" w:sz="18" w:space="6"/>
        </w:pBdr>
        <w:shd w:fill="F3F4F6" w:color="auto" w:val="clear"/>
        <w:spacing w:after="0" w:line="264"/>
      </w:pPr>
      <w:r>
        <w:rPr>
          <w:rFonts w:ascii="Consolas" w:cs="Consolas" w:eastAsia="Consolas" w:hAnsi="Consolas"/>
          <w:color w:val="222831"/>
          <w:sz w:val="18"/>
          <w:szCs w:val="18"/>
        </w:rPr>
        <w:t xml:space="preserve">});</w:t>
      </w:r>
    </w:p>
    <w:p>
      <w:pPr>
        <w:pStyle w:val="Heading3"/>
        <w:spacing w:after="80" w:before="180"/>
      </w:pPr>
      <w:r>
        <w:rPr>
          <w:rFonts w:ascii="Calibri" w:cs="Calibri" w:eastAsia="Calibri" w:hAnsi="Calibri"/>
          <w:b/>
          <w:bCs/>
          <w:color w:val="1A2233"/>
          <w:sz w:val="22"/>
          <w:szCs w:val="22"/>
        </w:rPr>
        <w:t xml:space="preserve">Tracked CTA click</w:t>
      </w:r>
    </w:p>
    <w:p>
      <w:pPr>
        <w:pBdr>
          <w:top w:val="single" w:color="C9D3E4" w:sz="2" w:space="4"/>
          <w:left w:val="single" w:color="2F6FED" w:sz="18" w:space="6"/>
        </w:pBdr>
        <w:shd w:fill="F3F4F6" w:color="auto" w:val="clear"/>
        <w:spacing w:after="0" w:line="264"/>
      </w:pPr>
      <w:r>
        <w:rPr>
          <w:rFonts w:ascii="Consolas" w:cs="Consolas" w:eastAsia="Consolas" w:hAnsi="Consolas"/>
          <w:color w:val="222831"/>
          <w:sz w:val="18"/>
          <w:szCs w:val="18"/>
        </w:rPr>
        <w:t xml:space="preserve">window.dataLayer.push({</w:t>
      </w:r>
    </w:p>
    <w:p>
      <w:pPr>
        <w:pBdr>
          <w:left w:val="single" w:color="2F6FED" w:sz="18" w:space="6"/>
        </w:pBdr>
        <w:shd w:fill="F3F4F6" w:color="auto" w:val="clear"/>
        <w:spacing w:after="0" w:line="264"/>
      </w:pPr>
      <w:r>
        <w:rPr>
          <w:rFonts w:ascii="Consolas" w:cs="Consolas" w:eastAsia="Consolas" w:hAnsi="Consolas"/>
          <w:color w:val="222831"/>
          <w:sz w:val="18"/>
          <w:szCs w:val="18"/>
        </w:rPr>
        <w:t xml:space="preserve">  event: "cta_click",</w:t>
      </w:r>
    </w:p>
    <w:p>
      <w:pPr>
        <w:pBdr>
          <w:left w:val="single" w:color="2F6FED" w:sz="18" w:space="6"/>
        </w:pBdr>
        <w:shd w:fill="F3F4F6" w:color="auto" w:val="clear"/>
        <w:spacing w:after="0" w:line="264"/>
      </w:pPr>
      <w:r>
        <w:rPr>
          <w:rFonts w:ascii="Consolas" w:cs="Consolas" w:eastAsia="Consolas" w:hAnsi="Consolas"/>
          <w:color w:val="222831"/>
          <w:sz w:val="18"/>
          <w:szCs w:val="18"/>
        </w:rPr>
        <w:t xml:space="preserve">  cta_name: "explore_feedback",</w:t>
      </w:r>
    </w:p>
    <w:p>
      <w:pPr>
        <w:pBdr>
          <w:left w:val="single" w:color="2F6FED" w:sz="18" w:space="6"/>
        </w:pBdr>
        <w:shd w:fill="F3F4F6" w:color="auto" w:val="clear"/>
        <w:spacing w:after="0" w:line="264"/>
      </w:pPr>
      <w:r>
        <w:rPr>
          <w:rFonts w:ascii="Consolas" w:cs="Consolas" w:eastAsia="Consolas" w:hAnsi="Consolas"/>
          <w:color w:val="222831"/>
          <w:sz w:val="18"/>
          <w:szCs w:val="18"/>
        </w:rPr>
        <w:t xml:space="preserve">  cta_location: "hero"</w:t>
      </w:r>
    </w:p>
    <w:p>
      <w:pPr>
        <w:pBdr>
          <w:bottom w:val="single" w:color="C9D3E4" w:sz="2" w:space="4"/>
          <w:left w:val="single" w:color="2F6FED" w:sz="18" w:space="6"/>
        </w:pBdr>
        <w:shd w:fill="F3F4F6" w:color="auto" w:val="clear"/>
        <w:spacing w:after="0" w:line="264"/>
      </w:pPr>
      <w:r>
        <w:rPr>
          <w:rFonts w:ascii="Consolas" w:cs="Consolas" w:eastAsia="Consolas" w:hAnsi="Consolas"/>
          <w:color w:val="222831"/>
          <w:sz w:val="18"/>
          <w:szCs w:val="18"/>
        </w:rPr>
        <w:t xml:space="preserve">});</w:t>
      </w:r>
    </w:p>
    <w:p>
      <w:r>
        <w:br w:type="page"/>
      </w:r>
    </w:p>
    <w:p>
      <w:pPr>
        <w:pStyle w:val="Heading1"/>
        <w:spacing w:after="140" w:before="320"/>
      </w:pPr>
      <w:r>
        <w:rPr>
          <w:rFonts w:ascii="Calibri" w:cs="Calibri" w:eastAsia="Calibri" w:hAnsi="Calibri"/>
          <w:b/>
          <w:bCs/>
          <w:color w:val="1A2233"/>
          <w:sz w:val="30"/>
          <w:szCs w:val="30"/>
        </w:rPr>
        <w:t xml:space="preserve">5. Create the GA4 property &amp; web stream</w:t>
      </w:r>
    </w:p>
    <w:p>
      <w:pPr>
        <w:spacing w:after="120" w:line="276"/>
      </w:pPr>
      <w:r>
        <w:rPr>
          <w:rFonts w:ascii="Calibri" w:cs="Calibri" w:eastAsia="Calibri" w:hAnsi="Calibri"/>
          <w:color w:val="1A2233"/>
          <w:sz w:val="21"/>
          <w:szCs w:val="21"/>
        </w:rPr>
        <w:t xml:space="preserve">For a new environment:</w:t>
      </w:r>
    </w:p>
    <w:p>
      <w:pPr>
        <w:pStyle w:val="ListParagraph"/>
        <w:numPr>
          <w:ilvl w:val="0"/>
          <w:numId w:val="4"/>
        </w:numPr>
        <w:spacing w:after="70" w:line="268"/>
      </w:pPr>
      <w:r>
        <w:rPr>
          <w:rFonts w:ascii="Calibri" w:cs="Calibri" w:eastAsia="Calibri" w:hAnsi="Calibri"/>
          <w:color w:val="1A2233"/>
          <w:sz w:val="21"/>
          <w:szCs w:val="21"/>
        </w:rPr>
        <w:t xml:space="preserve">Open Google Analytics and create or select the PulseBoard GA4 property.</w:t>
      </w:r>
    </w:p>
    <w:p>
      <w:pPr>
        <w:pStyle w:val="ListParagraph"/>
        <w:numPr>
          <w:ilvl w:val="0"/>
          <w:numId w:val="4"/>
        </w:numPr>
        <w:spacing w:after="70" w:line="268"/>
      </w:pPr>
      <w:r>
        <w:rPr>
          <w:rFonts w:ascii="Calibri" w:cs="Calibri" w:eastAsia="Calibri" w:hAnsi="Calibri"/>
          <w:color w:val="1A2233"/>
          <w:sz w:val="21"/>
          <w:szCs w:val="21"/>
        </w:rPr>
        <w:t xml:space="preserve">Go to </w:t>
      </w:r>
      <w:r>
        <w:rPr>
          <w:rFonts w:ascii="Calibri" w:cs="Calibri" w:eastAsia="Calibri" w:hAnsi="Calibri"/>
          <w:b/>
          <w:bCs/>
          <w:color w:val="1A2233"/>
          <w:sz w:val="21"/>
          <w:szCs w:val="21"/>
        </w:rPr>
        <w:t xml:space="preserve">Admin → Data collection and modification → Data streams</w:t>
      </w:r>
      <w:r>
        <w:rPr>
          <w:rFonts w:ascii="Calibri" w:cs="Calibri" w:eastAsia="Calibri" w:hAnsi="Calibri"/>
          <w:color w:val="1A2233"/>
          <w:sz w:val="21"/>
          <w:szCs w:val="21"/>
        </w:rPr>
        <w:t xml:space="preserve">.</w:t>
      </w:r>
    </w:p>
    <w:p>
      <w:pPr>
        <w:pStyle w:val="ListParagraph"/>
        <w:numPr>
          <w:ilvl w:val="0"/>
          <w:numId w:val="4"/>
        </w:numPr>
        <w:spacing w:after="70" w:line="268"/>
      </w:pPr>
      <w:r>
        <w:rPr>
          <w:rFonts w:ascii="Calibri" w:cs="Calibri" w:eastAsia="Calibri" w:hAnsi="Calibri"/>
          <w:color w:val="1A2233"/>
          <w:sz w:val="21"/>
          <w:szCs w:val="21"/>
        </w:rPr>
        <w:t xml:space="preserve">Create a Web stream using the production domain.</w:t>
      </w:r>
    </w:p>
    <w:p>
      <w:pPr>
        <w:pStyle w:val="ListParagraph"/>
        <w:numPr>
          <w:ilvl w:val="0"/>
          <w:numId w:val="4"/>
        </w:numPr>
        <w:spacing w:after="70" w:line="268"/>
      </w:pPr>
      <w:r>
        <w:rPr>
          <w:rFonts w:ascii="Calibri" w:cs="Calibri" w:eastAsia="Calibri" w:hAnsi="Calibri"/>
          <w:color w:val="1A2233"/>
          <w:sz w:val="21"/>
          <w:szCs w:val="21"/>
        </w:rPr>
        <w:t xml:space="preserve">Record the Measurement ID. The current production stream uses </w:t>
      </w:r>
      <w:r>
        <w:rPr>
          <w:rFonts w:ascii="Consolas" w:cs="Consolas" w:eastAsia="Consolas" w:hAnsi="Consolas"/>
          <w:color w:val="1B4DB8"/>
          <w:sz w:val="19"/>
          <w:szCs w:val="19"/>
        </w:rPr>
        <w:t xml:space="preserve">G-E495LVXW2H</w:t>
      </w:r>
      <w:r>
        <w:rPr>
          <w:rFonts w:ascii="Calibri" w:cs="Calibri" w:eastAsia="Calibri" w:hAnsi="Calibri"/>
          <w:color w:val="1A2233"/>
          <w:sz w:val="21"/>
          <w:szCs w:val="21"/>
        </w:rPr>
        <w:t xml:space="preserve">.</w:t>
      </w:r>
    </w:p>
    <w:p>
      <w:pPr>
        <w:pStyle w:val="ListParagraph"/>
        <w:numPr>
          <w:ilvl w:val="0"/>
          <w:numId w:val="4"/>
        </w:numPr>
        <w:spacing w:after="70" w:line="268"/>
      </w:pPr>
      <w:r>
        <w:rPr>
          <w:rFonts w:ascii="Calibri" w:cs="Calibri" w:eastAsia="Calibri" w:hAnsi="Calibri"/>
          <w:color w:val="1A2233"/>
          <w:sz w:val="21"/>
          <w:szCs w:val="21"/>
        </w:rPr>
        <w:t xml:space="preserve">Keep Enhanced Measurement enabled for standard interactions such as page views and scrolls.</w:t>
      </w:r>
    </w:p>
    <w:p>
      <w:pPr>
        <w:pStyle w:val="ListParagraph"/>
        <w:numPr>
          <w:ilvl w:val="0"/>
          <w:numId w:val="4"/>
        </w:numPr>
        <w:spacing w:after="70" w:line="268"/>
      </w:pPr>
      <w:r>
        <w:rPr>
          <w:rFonts w:ascii="Calibri" w:cs="Calibri" w:eastAsia="Calibri" w:hAnsi="Calibri"/>
          <w:color w:val="1A2233"/>
          <w:sz w:val="21"/>
          <w:szCs w:val="21"/>
        </w:rPr>
        <w:t xml:space="preserve">Do not paste the GA4 Google tag directly into PulseBoard; configure it through GTM (next section).</w:t>
      </w:r>
    </w:p>
    <w:tbl>
      <w:tblPr>
        <w:tblW w:type="dxa" w:w="9360"/>
        <w:tblBorders>
          <w:top w:val="none"/>
          <w:left w:val="single" w:color="2F6FED" w:sz="24"/>
          <w:bottom w:val="none"/>
          <w:right w:val="none"/>
          <w:insideH w:val="none"/>
          <w:insideV w:val="none"/>
        </w:tblBorders>
      </w:tblPr>
      <w:tblGrid>
        <w:gridCol w:w="9360"/>
      </w:tblGrid>
      <w:tr>
        <w:tc>
          <w:tcPr>
            <w:tcW w:type="dxa" w:w="9360"/>
            <w:shd w:fill="EEF3FD" w:color="auto" w:val="clear"/>
            <w:tcMar>
              <w:top w:type="dxa" w:w="100"/>
              <w:left w:type="dxa" w:w="160"/>
              <w:bottom w:type="dxa" w:w="100"/>
              <w:right w:type="dxa" w:w="140"/>
            </w:tcMar>
          </w:tcPr>
          <w:p>
            <w:pPr>
              <w:spacing w:after="40"/>
            </w:pPr>
            <w:r>
              <w:rPr>
                <w:rFonts w:ascii="Calibri" w:cs="Calibri" w:eastAsia="Calibri" w:hAnsi="Calibri"/>
                <w:b/>
                <w:bCs/>
                <w:color w:val="2F6FED"/>
                <w:sz w:val="20"/>
                <w:szCs w:val="20"/>
              </w:rPr>
              <w:t xml:space="preserve">Two different IDs</w:t>
            </w:r>
          </w:p>
          <w:p>
            <w:pPr>
              <w:spacing w:after="0" w:line="270"/>
            </w:pPr>
            <w:r>
              <w:rPr>
                <w:rFonts w:ascii="Calibri" w:cs="Calibri" w:eastAsia="Calibri" w:hAnsi="Calibri"/>
                <w:color w:val="1A2233"/>
                <w:sz w:val="21"/>
                <w:szCs w:val="21"/>
              </w:rPr>
              <w:t xml:space="preserve">The numeric </w:t>
            </w:r>
            <w:r>
              <w:rPr>
                <w:rFonts w:ascii="Calibri" w:cs="Calibri" w:eastAsia="Calibri" w:hAnsi="Calibri"/>
                <w:b/>
                <w:bCs/>
                <w:color w:val="1A2233"/>
                <w:sz w:val="21"/>
                <w:szCs w:val="21"/>
              </w:rPr>
              <w:t xml:space="preserve">GA4 Property ID</w:t>
            </w:r>
            <w:r>
              <w:rPr>
                <w:rFonts w:ascii="Calibri" w:cs="Calibri" w:eastAsia="Calibri" w:hAnsi="Calibri"/>
                <w:color w:val="1A2233"/>
                <w:sz w:val="21"/>
                <w:szCs w:val="21"/>
              </w:rPr>
              <w:t xml:space="preserve"> and the </w:t>
            </w:r>
            <w:r>
              <w:rPr>
                <w:rFonts w:ascii="Consolas" w:cs="Consolas" w:eastAsia="Consolas" w:hAnsi="Consolas"/>
                <w:color w:val="1B4DB8"/>
                <w:sz w:val="19"/>
                <w:szCs w:val="19"/>
              </w:rPr>
              <w:t xml:space="preserve">G-...</w:t>
            </w:r>
            <w:r>
              <w:rPr>
                <w:rFonts w:ascii="Calibri" w:cs="Calibri" w:eastAsia="Calibri" w:hAnsi="Calibri"/>
                <w:color w:val="1A2233"/>
                <w:sz w:val="21"/>
                <w:szCs w:val="21"/>
              </w:rPr>
              <w:t xml:space="preserve"> </w:t>
            </w:r>
            <w:r>
              <w:rPr>
                <w:rFonts w:ascii="Calibri" w:cs="Calibri" w:eastAsia="Calibri" w:hAnsi="Calibri"/>
                <w:b/>
                <w:bCs/>
                <w:color w:val="1A2233"/>
                <w:sz w:val="21"/>
                <w:szCs w:val="21"/>
              </w:rPr>
              <w:t xml:space="preserve">Measurement ID</w:t>
            </w:r>
            <w:r>
              <w:rPr>
                <w:rFonts w:ascii="Calibri" w:cs="Calibri" w:eastAsia="Calibri" w:hAnsi="Calibri"/>
                <w:color w:val="1A2233"/>
                <w:sz w:val="21"/>
                <w:szCs w:val="21"/>
              </w:rPr>
              <w:t xml:space="preserve"> are different values. API reporting uses the numeric Property ID; the GTM Google tag uses the Measurement ID.</w:t>
            </w:r>
          </w:p>
        </w:tc>
      </w:tr>
    </w:tbl>
    <w:p>
      <w:pPr>
        <w:pStyle w:val="Heading1"/>
        <w:spacing w:after="140" w:before="320"/>
      </w:pPr>
      <w:r>
        <w:rPr>
          <w:rFonts w:ascii="Calibri" w:cs="Calibri" w:eastAsia="Calibri" w:hAnsi="Calibri"/>
          <w:b/>
          <w:bCs/>
          <w:color w:val="1A2233"/>
          <w:sz w:val="30"/>
          <w:szCs w:val="30"/>
        </w:rPr>
        <w:t xml:space="preserve">6. Install &amp; configure GTM</w:t>
      </w:r>
    </w:p>
    <w:p>
      <w:pPr>
        <w:pStyle w:val="Heading2"/>
        <w:spacing w:after="100" w:before="240"/>
      </w:pPr>
      <w:r>
        <w:rPr>
          <w:rFonts w:ascii="Calibri" w:cs="Calibri" w:eastAsia="Calibri" w:hAnsi="Calibri"/>
          <w:b/>
          <w:bCs/>
          <w:color w:val="1B4DB8"/>
          <w:sz w:val="25"/>
          <w:szCs w:val="25"/>
        </w:rPr>
        <w:t xml:space="preserve">Create the container</w:t>
      </w:r>
    </w:p>
    <w:p>
      <w:pPr>
        <w:pStyle w:val="ListParagraph"/>
        <w:numPr>
          <w:ilvl w:val="0"/>
          <w:numId w:val="5"/>
        </w:numPr>
        <w:spacing w:after="70" w:line="268"/>
      </w:pPr>
      <w:r>
        <w:rPr>
          <w:rFonts w:ascii="Calibri" w:cs="Calibri" w:eastAsia="Calibri" w:hAnsi="Calibri"/>
          <w:color w:val="1A2233"/>
          <w:sz w:val="21"/>
          <w:szCs w:val="21"/>
        </w:rPr>
        <w:t xml:space="preserve">Create a Web container in Google Tag Manager.</w:t>
      </w:r>
    </w:p>
    <w:p>
      <w:pPr>
        <w:pStyle w:val="ListParagraph"/>
        <w:numPr>
          <w:ilvl w:val="0"/>
          <w:numId w:val="5"/>
        </w:numPr>
        <w:spacing w:after="70" w:line="268"/>
      </w:pPr>
      <w:r>
        <w:rPr>
          <w:rFonts w:ascii="Calibri" w:cs="Calibri" w:eastAsia="Calibri" w:hAnsi="Calibri"/>
          <w:color w:val="1A2233"/>
          <w:sz w:val="21"/>
          <w:szCs w:val="21"/>
        </w:rPr>
        <w:t xml:space="preserve">Use the production domain as the target website.</w:t>
      </w:r>
    </w:p>
    <w:p>
      <w:pPr>
        <w:pStyle w:val="ListParagraph"/>
        <w:numPr>
          <w:ilvl w:val="0"/>
          <w:numId w:val="5"/>
        </w:numPr>
        <w:spacing w:after="70" w:line="268"/>
      </w:pPr>
      <w:r>
        <w:rPr>
          <w:rFonts w:ascii="Calibri" w:cs="Calibri" w:eastAsia="Calibri" w:hAnsi="Calibri"/>
          <w:color w:val="1A2233"/>
          <w:sz w:val="21"/>
          <w:szCs w:val="21"/>
        </w:rPr>
        <w:t xml:space="preserve">Copy the container ID and set </w:t>
      </w:r>
      <w:r>
        <w:rPr>
          <w:rFonts w:ascii="Consolas" w:cs="Consolas" w:eastAsia="Consolas" w:hAnsi="Consolas"/>
          <w:color w:val="1B4DB8"/>
          <w:sz w:val="19"/>
          <w:szCs w:val="19"/>
        </w:rPr>
        <w:t xml:space="preserve">NEXT_PUBLIC_GTM_ID</w:t>
      </w:r>
      <w:r>
        <w:rPr>
          <w:rFonts w:ascii="Calibri" w:cs="Calibri" w:eastAsia="Calibri" w:hAnsi="Calibri"/>
          <w:color w:val="1A2233"/>
          <w:sz w:val="21"/>
          <w:szCs w:val="21"/>
        </w:rPr>
        <w:t xml:space="preserve"> in Vercel.</w:t>
      </w:r>
    </w:p>
    <w:p>
      <w:pPr>
        <w:pStyle w:val="ListParagraph"/>
        <w:numPr>
          <w:ilvl w:val="0"/>
          <w:numId w:val="5"/>
        </w:numPr>
        <w:spacing w:after="70" w:line="268"/>
      </w:pPr>
      <w:r>
        <w:rPr>
          <w:rFonts w:ascii="Calibri" w:cs="Calibri" w:eastAsia="Calibri" w:hAnsi="Calibri"/>
          <w:color w:val="1A2233"/>
          <w:sz w:val="21"/>
          <w:szCs w:val="21"/>
        </w:rPr>
        <w:t xml:space="preserve">Redeploy PulseBoard after changing the environment variable.</w:t>
      </w:r>
    </w:p>
    <w:p>
      <w:pPr>
        <w:spacing w:after="120" w:line="276"/>
      </w:pPr>
      <w:r>
        <w:rPr>
          <w:rFonts w:ascii="Calibri" w:cs="Calibri" w:eastAsia="Calibri" w:hAnsi="Calibri"/>
          <w:color w:val="1A2233"/>
          <w:sz w:val="21"/>
          <w:szCs w:val="21"/>
        </w:rPr>
        <w:t xml:space="preserve">The current container is </w:t>
      </w:r>
      <w:r>
        <w:rPr>
          <w:rFonts w:ascii="Consolas" w:cs="Consolas" w:eastAsia="Consolas" w:hAnsi="Consolas"/>
          <w:color w:val="1B4DB8"/>
          <w:sz w:val="19"/>
          <w:szCs w:val="19"/>
        </w:rPr>
        <w:t xml:space="preserve">GTM-WHTKJV76</w:t>
      </w:r>
      <w:r>
        <w:rPr>
          <w:rFonts w:ascii="Calibri" w:cs="Calibri" w:eastAsia="Calibri" w:hAnsi="Calibri"/>
          <w:color w:val="1A2233"/>
          <w:sz w:val="21"/>
          <w:szCs w:val="21"/>
        </w:rPr>
        <w:t xml:space="preserve">.</w:t>
      </w:r>
    </w:p>
    <w:p>
      <w:pPr>
        <w:pStyle w:val="Heading2"/>
        <w:spacing w:after="100" w:before="240"/>
      </w:pPr>
      <w:r>
        <w:rPr>
          <w:rFonts w:ascii="Calibri" w:cs="Calibri" w:eastAsia="Calibri" w:hAnsi="Calibri"/>
          <w:b/>
          <w:bCs/>
          <w:color w:val="1B4DB8"/>
          <w:sz w:val="25"/>
          <w:szCs w:val="25"/>
        </w:rPr>
        <w:t xml:space="preserve">Create the base Google tag</w:t>
      </w:r>
    </w:p>
    <w:p>
      <w:pPr>
        <w:spacing w:after="120" w:line="276"/>
      </w:pPr>
      <w:r>
        <w:rPr>
          <w:rFonts w:ascii="Calibri" w:cs="Calibri" w:eastAsia="Calibri" w:hAnsi="Calibri"/>
          <w:color w:val="1A2233"/>
          <w:sz w:val="21"/>
          <w:szCs w:val="21"/>
        </w:rPr>
        <w:t xml:space="preserve">In </w:t>
      </w:r>
      <w:r>
        <w:rPr>
          <w:rFonts w:ascii="Calibri" w:cs="Calibri" w:eastAsia="Calibri" w:hAnsi="Calibri"/>
          <w:b/>
          <w:bCs/>
          <w:color w:val="1A2233"/>
          <w:sz w:val="21"/>
          <w:szCs w:val="21"/>
        </w:rPr>
        <w:t xml:space="preserve">GTM → Workspace → Tags → New</w:t>
      </w:r>
      <w:r>
        <w:rPr>
          <w:rFonts w:ascii="Calibri" w:cs="Calibri" w:eastAsia="Calibri" w:hAnsi="Calibri"/>
          <w:color w:val="1A2233"/>
          <w:sz w:val="21"/>
          <w:szCs w:val="21"/>
        </w:rPr>
        <w:t xml:space="preserve">:</w:t>
      </w:r>
    </w:p>
    <w:tbl>
      <w:tblPr>
        <w:tblW w:type="dxa" w:w="9360"/>
        <w:tblBorders>
          <w:top w:val="single" w:color="C9D3E4" w:sz="2"/>
          <w:left w:val="single" w:color="C9D3E4" w:sz="2"/>
          <w:bottom w:val="single" w:color="C9D3E4" w:sz="2"/>
          <w:right w:val="single" w:color="C9D3E4" w:sz="2"/>
          <w:insideH w:val="single" w:color="C9D3E4" w:sz="2"/>
          <w:insideV w:val="single" w:color="C9D3E4" w:sz="2"/>
        </w:tblBorders>
      </w:tblPr>
      <w:tblGrid>
        <w:gridCol w:w="3000"/>
        <w:gridCol w:w="6360"/>
      </w:tblGrid>
      <w:tr>
        <w:trPr>
          <w:tblHeader/>
        </w:trPr>
        <w:tc>
          <w:tcPr>
            <w:tcW w:type="dxa" w:w="3000"/>
            <w:shd w:fill="2F6FED" w:color="auto" w:val="clear"/>
            <w:tcMar>
              <w:top w:type="dxa" w:w="70"/>
              <w:left w:type="dxa" w:w="110"/>
              <w:bottom w:type="dxa" w:w="70"/>
              <w:right w:type="dxa" w:w="110"/>
            </w:tcMar>
            <w:vAlign w:val="center"/>
          </w:tcPr>
          <w:p>
            <w:pPr>
              <w:spacing w:after="0" w:line="258"/>
            </w:pPr>
            <w:r>
              <w:rPr>
                <w:rFonts w:ascii="Calibri" w:cs="Calibri" w:eastAsia="Calibri" w:hAnsi="Calibri"/>
                <w:b/>
                <w:bCs/>
                <w:color w:val="FFFFFF"/>
                <w:sz w:val="19"/>
                <w:szCs w:val="19"/>
              </w:rPr>
              <w:t xml:space="preserve">Field</w:t>
            </w:r>
          </w:p>
        </w:tc>
        <w:tc>
          <w:tcPr>
            <w:tcW w:type="dxa" w:w="6360"/>
            <w:shd w:fill="2F6FED" w:color="auto" w:val="clear"/>
            <w:tcMar>
              <w:top w:type="dxa" w:w="70"/>
              <w:left w:type="dxa" w:w="110"/>
              <w:bottom w:type="dxa" w:w="70"/>
              <w:right w:type="dxa" w:w="110"/>
            </w:tcMar>
            <w:vAlign w:val="center"/>
          </w:tcPr>
          <w:p>
            <w:pPr>
              <w:spacing w:after="0" w:line="258"/>
            </w:pPr>
            <w:r>
              <w:rPr>
                <w:rFonts w:ascii="Calibri" w:cs="Calibri" w:eastAsia="Calibri" w:hAnsi="Calibri"/>
                <w:b/>
                <w:bCs/>
                <w:color w:val="FFFFFF"/>
                <w:sz w:val="19"/>
                <w:szCs w:val="19"/>
              </w:rPr>
              <w:t xml:space="preserve">Value</w:t>
            </w:r>
          </w:p>
        </w:tc>
      </w:tr>
      <w:tr>
        <w:tc>
          <w:tcPr>
            <w:tcW w:type="dxa" w:w="30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Tag name</w:t>
            </w:r>
          </w:p>
        </w:tc>
        <w:tc>
          <w:tcPr>
            <w:tcW w:type="dxa" w:w="636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Google Tag - GA4</w:t>
            </w:r>
          </w:p>
        </w:tc>
      </w:tr>
      <w:tr>
        <w:tc>
          <w:tcPr>
            <w:tcW w:type="dxa" w:w="30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Tag type</w:t>
            </w:r>
          </w:p>
        </w:tc>
        <w:tc>
          <w:tcPr>
            <w:tcW w:type="dxa" w:w="636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Google tag</w:t>
            </w:r>
          </w:p>
        </w:tc>
      </w:tr>
      <w:tr>
        <w:tc>
          <w:tcPr>
            <w:tcW w:type="dxa" w:w="30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Tag ID</w:t>
            </w:r>
          </w:p>
        </w:tc>
        <w:tc>
          <w:tcPr>
            <w:tcW w:type="dxa" w:w="636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G-E495LVXW2H</w:t>
            </w:r>
          </w:p>
        </w:tc>
      </w:tr>
      <w:tr>
        <w:tc>
          <w:tcPr>
            <w:tcW w:type="dxa" w:w="30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Trigger</w:t>
            </w:r>
          </w:p>
        </w:tc>
        <w:tc>
          <w:tcPr>
            <w:tcW w:type="dxa" w:w="636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Initialization - All Pages</w:t>
            </w:r>
          </w:p>
        </w:tc>
      </w:tr>
    </w:tbl>
    <w:tbl>
      <w:tblPr>
        <w:tblW w:type="dxa" w:w="9360"/>
        <w:tblBorders>
          <w:top w:val="none"/>
          <w:left w:val="single" w:color="9A5B00" w:sz="24"/>
          <w:bottom w:val="none"/>
          <w:right w:val="none"/>
          <w:insideH w:val="none"/>
          <w:insideV w:val="none"/>
        </w:tblBorders>
      </w:tblPr>
      <w:tblGrid>
        <w:gridCol w:w="9360"/>
      </w:tblGrid>
      <w:tr>
        <w:tc>
          <w:tcPr>
            <w:tcW w:type="dxa" w:w="9360"/>
            <w:shd w:fill="FFF6E6" w:color="auto" w:val="clear"/>
            <w:tcMar>
              <w:top w:type="dxa" w:w="100"/>
              <w:left w:type="dxa" w:w="160"/>
              <w:bottom w:type="dxa" w:w="100"/>
              <w:right w:type="dxa" w:w="140"/>
            </w:tcMar>
          </w:tcPr>
          <w:p>
            <w:pPr>
              <w:spacing w:after="40"/>
            </w:pPr>
            <w:r>
              <w:rPr>
                <w:rFonts w:ascii="Calibri" w:cs="Calibri" w:eastAsia="Calibri" w:hAnsi="Calibri"/>
                <w:b/>
                <w:bCs/>
                <w:color w:val="9A5B00"/>
                <w:sz w:val="20"/>
                <w:szCs w:val="20"/>
              </w:rPr>
              <w:t xml:space="preserve">Keep one base tag</w:t>
            </w:r>
          </w:p>
          <w:p>
            <w:pPr>
              <w:spacing w:after="0" w:line="270"/>
            </w:pPr>
            <w:r>
              <w:rPr>
                <w:rFonts w:ascii="Calibri" w:cs="Calibri" w:eastAsia="Calibri" w:hAnsi="Calibri"/>
                <w:color w:val="1A2233"/>
                <w:sz w:val="21"/>
                <w:szCs w:val="21"/>
              </w:rPr>
              <w:t xml:space="preserve">Keep only one base Google tag. Do not create another page-view tag if Enhanced Measurement is already providing page views.</w:t>
            </w:r>
          </w:p>
        </w:tc>
      </w:tr>
    </w:tbl>
    <w:p>
      <w:pPr>
        <w:pStyle w:val="Heading2"/>
        <w:spacing w:after="100" w:before="240"/>
      </w:pPr>
      <w:r>
        <w:rPr>
          <w:rFonts w:ascii="Calibri" w:cs="Calibri" w:eastAsia="Calibri" w:hAnsi="Calibri"/>
          <w:b/>
          <w:bCs/>
          <w:color w:val="1B4DB8"/>
          <w:sz w:val="25"/>
          <w:szCs w:val="25"/>
        </w:rPr>
        <w:t xml:space="preserve">Create data-layer variables</w:t>
      </w:r>
    </w:p>
    <w:p>
      <w:pPr>
        <w:spacing w:after="120" w:line="276"/>
      </w:pPr>
      <w:r>
        <w:rPr>
          <w:rFonts w:ascii="Calibri" w:cs="Calibri" w:eastAsia="Calibri" w:hAnsi="Calibri"/>
          <w:color w:val="1A2233"/>
          <w:sz w:val="21"/>
          <w:szCs w:val="21"/>
        </w:rPr>
        <w:t xml:space="preserve">In </w:t>
      </w:r>
      <w:r>
        <w:rPr>
          <w:rFonts w:ascii="Calibri" w:cs="Calibri" w:eastAsia="Calibri" w:hAnsi="Calibri"/>
          <w:b/>
          <w:bCs/>
          <w:color w:val="1A2233"/>
          <w:sz w:val="21"/>
          <w:szCs w:val="21"/>
        </w:rPr>
        <w:t xml:space="preserve">GTM → Variables → User-Defined Variables → New</w:t>
      </w:r>
      <w:r>
        <w:rPr>
          <w:rFonts w:ascii="Calibri" w:cs="Calibri" w:eastAsia="Calibri" w:hAnsi="Calibri"/>
          <w:color w:val="1A2233"/>
          <w:sz w:val="21"/>
          <w:szCs w:val="21"/>
        </w:rPr>
        <w:t xml:space="preserve">, create each as a </w:t>
      </w:r>
      <w:r>
        <w:rPr>
          <w:rFonts w:ascii="Calibri" w:cs="Calibri" w:eastAsia="Calibri" w:hAnsi="Calibri"/>
          <w:b/>
          <w:bCs/>
          <w:color w:val="1A2233"/>
          <w:sz w:val="21"/>
          <w:szCs w:val="21"/>
        </w:rPr>
        <w:t xml:space="preserve">Data Layer Variable</w:t>
      </w:r>
      <w:r>
        <w:rPr>
          <w:rFonts w:ascii="Calibri" w:cs="Calibri" w:eastAsia="Calibri" w:hAnsi="Calibri"/>
          <w:color w:val="1A2233"/>
          <w:sz w:val="21"/>
          <w:szCs w:val="21"/>
        </w:rPr>
        <w:t xml:space="preserve"> using </w:t>
      </w:r>
      <w:r>
        <w:rPr>
          <w:rFonts w:ascii="Calibri" w:cs="Calibri" w:eastAsia="Calibri" w:hAnsi="Calibri"/>
          <w:b/>
          <w:bCs/>
          <w:color w:val="1A2233"/>
          <w:sz w:val="21"/>
          <w:szCs w:val="21"/>
        </w:rPr>
        <w:t xml:space="preserve">Data Layer Version 2</w:t>
      </w:r>
      <w:r>
        <w:rPr>
          <w:rFonts w:ascii="Calibri" w:cs="Calibri" w:eastAsia="Calibri" w:hAnsi="Calibri"/>
          <w:color w:val="1A2233"/>
          <w:sz w:val="21"/>
          <w:szCs w:val="21"/>
        </w:rPr>
        <w:t xml:space="preserve">.</w:t>
      </w:r>
    </w:p>
    <w:tbl>
      <w:tblPr>
        <w:tblW w:type="dxa" w:w="9360"/>
        <w:tblBorders>
          <w:top w:val="single" w:color="C9D3E4" w:sz="2"/>
          <w:left w:val="single" w:color="C9D3E4" w:sz="2"/>
          <w:bottom w:val="single" w:color="C9D3E4" w:sz="2"/>
          <w:right w:val="single" w:color="C9D3E4" w:sz="2"/>
          <w:insideH w:val="single" w:color="C9D3E4" w:sz="2"/>
          <w:insideV w:val="single" w:color="C9D3E4" w:sz="2"/>
        </w:tblBorders>
      </w:tblPr>
      <w:tblGrid>
        <w:gridCol w:w="4200"/>
        <w:gridCol w:w="5160"/>
      </w:tblGrid>
      <w:tr>
        <w:trPr>
          <w:tblHeader/>
        </w:trPr>
        <w:tc>
          <w:tcPr>
            <w:tcW w:type="dxa" w:w="4200"/>
            <w:shd w:fill="2F6FED" w:color="auto" w:val="clear"/>
            <w:tcMar>
              <w:top w:type="dxa" w:w="70"/>
              <w:left w:type="dxa" w:w="110"/>
              <w:bottom w:type="dxa" w:w="70"/>
              <w:right w:type="dxa" w:w="110"/>
            </w:tcMar>
            <w:vAlign w:val="center"/>
          </w:tcPr>
          <w:p>
            <w:pPr>
              <w:spacing w:after="0" w:line="258"/>
            </w:pPr>
            <w:r>
              <w:rPr>
                <w:rFonts w:ascii="Calibri" w:cs="Calibri" w:eastAsia="Calibri" w:hAnsi="Calibri"/>
                <w:b/>
                <w:bCs/>
                <w:color w:val="FFFFFF"/>
                <w:sz w:val="19"/>
                <w:szCs w:val="19"/>
              </w:rPr>
              <w:t xml:space="preserve">GTM variable name</w:t>
            </w:r>
          </w:p>
        </w:tc>
        <w:tc>
          <w:tcPr>
            <w:tcW w:type="dxa" w:w="5160"/>
            <w:shd w:fill="2F6FED" w:color="auto" w:val="clear"/>
            <w:tcMar>
              <w:top w:type="dxa" w:w="70"/>
              <w:left w:type="dxa" w:w="110"/>
              <w:bottom w:type="dxa" w:w="70"/>
              <w:right w:type="dxa" w:w="110"/>
            </w:tcMar>
            <w:vAlign w:val="center"/>
          </w:tcPr>
          <w:p>
            <w:pPr>
              <w:spacing w:after="0" w:line="258"/>
            </w:pPr>
            <w:r>
              <w:rPr>
                <w:rFonts w:ascii="Calibri" w:cs="Calibri" w:eastAsia="Calibri" w:hAnsi="Calibri"/>
                <w:b/>
                <w:bCs/>
                <w:color w:val="FFFFFF"/>
                <w:sz w:val="19"/>
                <w:szCs w:val="19"/>
              </w:rPr>
              <w:t xml:space="preserve">Data Layer Variable Name</w:t>
            </w:r>
          </w:p>
        </w:tc>
      </w:tr>
      <w:tr>
        <w:tc>
          <w:tcPr>
            <w:tcW w:type="dxa" w:w="42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DLV - Feature ID</w:t>
            </w:r>
          </w:p>
        </w:tc>
        <w:tc>
          <w:tcPr>
            <w:tcW w:type="dxa" w:w="516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feature_data.feature_id</w:t>
            </w:r>
          </w:p>
        </w:tc>
      </w:tr>
      <w:tr>
        <w:tc>
          <w:tcPr>
            <w:tcW w:type="dxa" w:w="42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DLV - Feature Name</w:t>
            </w:r>
          </w:p>
        </w:tc>
        <w:tc>
          <w:tcPr>
            <w:tcW w:type="dxa" w:w="516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feature_data.feature_name</w:t>
            </w:r>
          </w:p>
        </w:tc>
      </w:tr>
      <w:tr>
        <w:tc>
          <w:tcPr>
            <w:tcW w:type="dxa" w:w="42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DLV - Product ID</w:t>
            </w:r>
          </w:p>
        </w:tc>
        <w:tc>
          <w:tcPr>
            <w:tcW w:type="dxa" w:w="516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product_id</w:t>
            </w:r>
          </w:p>
        </w:tc>
      </w:tr>
      <w:tr>
        <w:tc>
          <w:tcPr>
            <w:tcW w:type="dxa" w:w="42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DLV - Product Name</w:t>
            </w:r>
          </w:p>
        </w:tc>
        <w:tc>
          <w:tcPr>
            <w:tcW w:type="dxa" w:w="516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product_name</w:t>
            </w:r>
          </w:p>
        </w:tc>
      </w:tr>
      <w:tr>
        <w:tc>
          <w:tcPr>
            <w:tcW w:type="dxa" w:w="42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DLV - Category</w:t>
            </w:r>
          </w:p>
        </w:tc>
        <w:tc>
          <w:tcPr>
            <w:tcW w:type="dxa" w:w="516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category</w:t>
            </w:r>
          </w:p>
        </w:tc>
      </w:tr>
      <w:tr>
        <w:tc>
          <w:tcPr>
            <w:tcW w:type="dxa" w:w="42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DLV - Lead Source</w:t>
            </w:r>
          </w:p>
        </w:tc>
        <w:tc>
          <w:tcPr>
            <w:tcW w:type="dxa" w:w="516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lead_source</w:t>
            </w:r>
          </w:p>
        </w:tc>
      </w:tr>
      <w:tr>
        <w:tc>
          <w:tcPr>
            <w:tcW w:type="dxa" w:w="42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DLV - CTA Name</w:t>
            </w:r>
          </w:p>
        </w:tc>
        <w:tc>
          <w:tcPr>
            <w:tcW w:type="dxa" w:w="516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cta_name</w:t>
            </w:r>
          </w:p>
        </w:tc>
      </w:tr>
      <w:tr>
        <w:tc>
          <w:tcPr>
            <w:tcW w:type="dxa" w:w="42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DLV - CTA Location</w:t>
            </w:r>
          </w:p>
        </w:tc>
        <w:tc>
          <w:tcPr>
            <w:tcW w:type="dxa" w:w="516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cta_location</w:t>
            </w:r>
          </w:p>
        </w:tc>
      </w:tr>
    </w:tbl>
    <w:tbl>
      <w:tblPr>
        <w:tblW w:type="dxa" w:w="9360"/>
        <w:tblBorders>
          <w:top w:val="none"/>
          <w:left w:val="single" w:color="9A5B00" w:sz="24"/>
          <w:bottom w:val="none"/>
          <w:right w:val="none"/>
          <w:insideH w:val="none"/>
          <w:insideV w:val="none"/>
        </w:tblBorders>
      </w:tblPr>
      <w:tblGrid>
        <w:gridCol w:w="9360"/>
      </w:tblGrid>
      <w:tr>
        <w:tc>
          <w:tcPr>
            <w:tcW w:type="dxa" w:w="9360"/>
            <w:shd w:fill="FFF6E6" w:color="auto" w:val="clear"/>
            <w:tcMar>
              <w:top w:type="dxa" w:w="100"/>
              <w:left w:type="dxa" w:w="160"/>
              <w:bottom w:type="dxa" w:w="100"/>
              <w:right w:type="dxa" w:w="140"/>
            </w:tcMar>
          </w:tcPr>
          <w:p>
            <w:pPr>
              <w:spacing w:after="40"/>
            </w:pPr>
            <w:r>
              <w:rPr>
                <w:rFonts w:ascii="Calibri" w:cs="Calibri" w:eastAsia="Calibri" w:hAnsi="Calibri"/>
                <w:b/>
                <w:bCs/>
                <w:color w:val="9A5B00"/>
                <w:sz w:val="20"/>
                <w:szCs w:val="20"/>
              </w:rPr>
              <w:t xml:space="preserve">Nested paths</w:t>
            </w:r>
          </w:p>
          <w:p>
            <w:pPr>
              <w:spacing w:after="0" w:line="270"/>
            </w:pPr>
            <w:r>
              <w:rPr>
                <w:rFonts w:ascii="Calibri" w:cs="Calibri" w:eastAsia="Calibri" w:hAnsi="Calibri"/>
                <w:color w:val="1A2233"/>
                <w:sz w:val="21"/>
                <w:szCs w:val="21"/>
              </w:rPr>
              <w:t xml:space="preserve">The feature fields are nested under </w:t>
            </w:r>
            <w:r>
              <w:rPr>
                <w:rFonts w:ascii="Consolas" w:cs="Consolas" w:eastAsia="Consolas" w:hAnsi="Consolas"/>
                <w:color w:val="1B4DB8"/>
                <w:sz w:val="19"/>
                <w:szCs w:val="19"/>
              </w:rPr>
              <w:t xml:space="preserve">feature_data</w:t>
            </w:r>
            <w:r>
              <w:rPr>
                <w:rFonts w:ascii="Calibri" w:cs="Calibri" w:eastAsia="Calibri" w:hAnsi="Calibri"/>
                <w:color w:val="1A2233"/>
                <w:sz w:val="21"/>
                <w:szCs w:val="21"/>
              </w:rPr>
              <w:t xml:space="preserve">, so their full dotted paths are required. Using only </w:t>
            </w:r>
            <w:r>
              <w:rPr>
                <w:rFonts w:ascii="Consolas" w:cs="Consolas" w:eastAsia="Consolas" w:hAnsi="Consolas"/>
                <w:color w:val="1B4DB8"/>
                <w:sz w:val="19"/>
                <w:szCs w:val="19"/>
              </w:rPr>
              <w:t xml:space="preserve">feature_id</w:t>
            </w:r>
            <w:r>
              <w:rPr>
                <w:rFonts w:ascii="Calibri" w:cs="Calibri" w:eastAsia="Calibri" w:hAnsi="Calibri"/>
                <w:color w:val="1A2233"/>
                <w:sz w:val="21"/>
                <w:szCs w:val="21"/>
              </w:rPr>
              <w:t xml:space="preserve"> or </w:t>
            </w:r>
            <w:r>
              <w:rPr>
                <w:rFonts w:ascii="Consolas" w:cs="Consolas" w:eastAsia="Consolas" w:hAnsi="Consolas"/>
                <w:color w:val="1B4DB8"/>
                <w:sz w:val="19"/>
                <w:szCs w:val="19"/>
              </w:rPr>
              <w:t xml:space="preserve">feature_name</w:t>
            </w:r>
            <w:r>
              <w:rPr>
                <w:rFonts w:ascii="Calibri" w:cs="Calibri" w:eastAsia="Calibri" w:hAnsi="Calibri"/>
                <w:color w:val="1A2233"/>
                <w:sz w:val="21"/>
                <w:szCs w:val="21"/>
              </w:rPr>
              <w:t xml:space="preserve"> would return </w:t>
            </w:r>
            <w:r>
              <w:rPr>
                <w:rFonts w:ascii="Consolas" w:cs="Consolas" w:eastAsia="Consolas" w:hAnsi="Consolas"/>
                <w:color w:val="1B4DB8"/>
                <w:sz w:val="19"/>
                <w:szCs w:val="19"/>
              </w:rPr>
              <w:t xml:space="preserve">undefined</w:t>
            </w:r>
            <w:r>
              <w:rPr>
                <w:rFonts w:ascii="Calibri" w:cs="Calibri" w:eastAsia="Calibri" w:hAnsi="Calibri"/>
                <w:color w:val="1A2233"/>
                <w:sz w:val="21"/>
                <w:szCs w:val="21"/>
              </w:rPr>
              <w:t xml:space="preserve">.</w:t>
            </w:r>
          </w:p>
        </w:tc>
      </w:tr>
    </w:tbl>
    <w:p>
      <w:pPr>
        <w:pStyle w:val="Heading2"/>
        <w:spacing w:after="100" w:before="240"/>
      </w:pPr>
      <w:r>
        <w:rPr>
          <w:rFonts w:ascii="Calibri" w:cs="Calibri" w:eastAsia="Calibri" w:hAnsi="Calibri"/>
          <w:b/>
          <w:bCs/>
          <w:color w:val="1B4DB8"/>
          <w:sz w:val="25"/>
          <w:szCs w:val="25"/>
        </w:rPr>
        <w:t xml:space="preserve">Create custom-event triggers</w:t>
      </w:r>
    </w:p>
    <w:p>
      <w:pPr>
        <w:spacing w:after="120" w:line="276"/>
      </w:pPr>
      <w:r>
        <w:rPr>
          <w:rFonts w:ascii="Calibri" w:cs="Calibri" w:eastAsia="Calibri" w:hAnsi="Calibri"/>
          <w:color w:val="1A2233"/>
          <w:sz w:val="21"/>
          <w:szCs w:val="21"/>
        </w:rPr>
        <w:t xml:space="preserve">Trigger type </w:t>
      </w:r>
      <w:r>
        <w:rPr>
          <w:rFonts w:ascii="Calibri" w:cs="Calibri" w:eastAsia="Calibri" w:hAnsi="Calibri"/>
          <w:b/>
          <w:bCs/>
          <w:color w:val="1A2233"/>
          <w:sz w:val="21"/>
          <w:szCs w:val="21"/>
        </w:rPr>
        <w:t xml:space="preserve">Custom Event</w:t>
      </w:r>
      <w:r>
        <w:rPr>
          <w:rFonts w:ascii="Calibri" w:cs="Calibri" w:eastAsia="Calibri" w:hAnsi="Calibri"/>
          <w:color w:val="1A2233"/>
          <w:sz w:val="21"/>
          <w:szCs w:val="21"/>
        </w:rPr>
        <w:t xml:space="preserve">. Enter the event name exactly and select </w:t>
      </w:r>
      <w:r>
        <w:rPr>
          <w:rFonts w:ascii="Calibri" w:cs="Calibri" w:eastAsia="Calibri" w:hAnsi="Calibri"/>
          <w:b/>
          <w:bCs/>
          <w:color w:val="1A2233"/>
          <w:sz w:val="21"/>
          <w:szCs w:val="21"/>
        </w:rPr>
        <w:t xml:space="preserve">All Custom Events</w:t>
      </w:r>
      <w:r>
        <w:rPr>
          <w:rFonts w:ascii="Calibri" w:cs="Calibri" w:eastAsia="Calibri" w:hAnsi="Calibri"/>
          <w:color w:val="1A2233"/>
          <w:sz w:val="21"/>
          <w:szCs w:val="21"/>
        </w:rPr>
        <w:t xml:space="preserve">.</w:t>
      </w:r>
    </w:p>
    <w:tbl>
      <w:tblPr>
        <w:tblW w:type="dxa" w:w="9360"/>
        <w:tblBorders>
          <w:top w:val="single" w:color="C9D3E4" w:sz="2"/>
          <w:left w:val="single" w:color="C9D3E4" w:sz="2"/>
          <w:bottom w:val="single" w:color="C9D3E4" w:sz="2"/>
          <w:right w:val="single" w:color="C9D3E4" w:sz="2"/>
          <w:insideH w:val="single" w:color="C9D3E4" w:sz="2"/>
          <w:insideV w:val="single" w:color="C9D3E4" w:sz="2"/>
        </w:tblBorders>
      </w:tblPr>
      <w:tblGrid>
        <w:gridCol w:w="4680"/>
        <w:gridCol w:w="4680"/>
      </w:tblGrid>
      <w:tr>
        <w:trPr>
          <w:tblHeader/>
        </w:trPr>
        <w:tc>
          <w:tcPr>
            <w:tcW w:type="dxa" w:w="4680"/>
            <w:shd w:fill="2F6FED" w:color="auto" w:val="clear"/>
            <w:tcMar>
              <w:top w:type="dxa" w:w="70"/>
              <w:left w:type="dxa" w:w="110"/>
              <w:bottom w:type="dxa" w:w="70"/>
              <w:right w:type="dxa" w:w="110"/>
            </w:tcMar>
            <w:vAlign w:val="center"/>
          </w:tcPr>
          <w:p>
            <w:pPr>
              <w:spacing w:after="0" w:line="258"/>
            </w:pPr>
            <w:r>
              <w:rPr>
                <w:rFonts w:ascii="Calibri" w:cs="Calibri" w:eastAsia="Calibri" w:hAnsi="Calibri"/>
                <w:b/>
                <w:bCs/>
                <w:color w:val="FFFFFF"/>
                <w:sz w:val="19"/>
                <w:szCs w:val="19"/>
              </w:rPr>
              <w:t xml:space="preserve">Trigger name</w:t>
            </w:r>
          </w:p>
        </w:tc>
        <w:tc>
          <w:tcPr>
            <w:tcW w:type="dxa" w:w="4680"/>
            <w:shd w:fill="2F6FED" w:color="auto" w:val="clear"/>
            <w:tcMar>
              <w:top w:type="dxa" w:w="70"/>
              <w:left w:type="dxa" w:w="110"/>
              <w:bottom w:type="dxa" w:w="70"/>
              <w:right w:type="dxa" w:w="110"/>
            </w:tcMar>
            <w:vAlign w:val="center"/>
          </w:tcPr>
          <w:p>
            <w:pPr>
              <w:spacing w:after="0" w:line="258"/>
            </w:pPr>
            <w:r>
              <w:rPr>
                <w:rFonts w:ascii="Calibri" w:cs="Calibri" w:eastAsia="Calibri" w:hAnsi="Calibri"/>
                <w:b/>
                <w:bCs/>
                <w:color w:val="FFFFFF"/>
                <w:sz w:val="19"/>
                <w:szCs w:val="19"/>
              </w:rPr>
              <w:t xml:space="preserve">Custom event name</w:t>
            </w:r>
          </w:p>
        </w:tc>
      </w:tr>
      <w:tr>
        <w:tc>
          <w:tcPr>
            <w:tcW w:type="dxa" w:w="468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CE - Feature Upvote</w:t>
            </w:r>
          </w:p>
        </w:tc>
        <w:tc>
          <w:tcPr>
            <w:tcW w:type="dxa" w:w="468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feature_upvote</w:t>
            </w:r>
          </w:p>
        </w:tc>
      </w:tr>
      <w:tr>
        <w:tc>
          <w:tcPr>
            <w:tcW w:type="dxa" w:w="468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CE - Generate Lead</w:t>
            </w:r>
          </w:p>
        </w:tc>
        <w:tc>
          <w:tcPr>
            <w:tcW w:type="dxa" w:w="468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generate_lead</w:t>
            </w:r>
          </w:p>
        </w:tc>
      </w:tr>
      <w:tr>
        <w:tc>
          <w:tcPr>
            <w:tcW w:type="dxa" w:w="468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CE - Feature Request Submit</w:t>
            </w:r>
          </w:p>
        </w:tc>
        <w:tc>
          <w:tcPr>
            <w:tcW w:type="dxa" w:w="468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feature_request_submit</w:t>
            </w:r>
          </w:p>
        </w:tc>
      </w:tr>
      <w:tr>
        <w:tc>
          <w:tcPr>
            <w:tcW w:type="dxa" w:w="468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CE - Product View</w:t>
            </w:r>
          </w:p>
        </w:tc>
        <w:tc>
          <w:tcPr>
            <w:tcW w:type="dxa" w:w="468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product_view</w:t>
            </w:r>
          </w:p>
        </w:tc>
      </w:tr>
      <w:tr>
        <w:tc>
          <w:tcPr>
            <w:tcW w:type="dxa" w:w="468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CE - CTA Click</w:t>
            </w:r>
          </w:p>
        </w:tc>
        <w:tc>
          <w:tcPr>
            <w:tcW w:type="dxa" w:w="468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cta_click</w:t>
            </w:r>
          </w:p>
        </w:tc>
      </w:tr>
    </w:tbl>
    <w:p>
      <w:pPr>
        <w:pStyle w:val="Heading2"/>
        <w:spacing w:after="100" w:before="240"/>
      </w:pPr>
      <w:r>
        <w:rPr>
          <w:rFonts w:ascii="Calibri" w:cs="Calibri" w:eastAsia="Calibri" w:hAnsi="Calibri"/>
          <w:b/>
          <w:bCs/>
          <w:color w:val="1B4DB8"/>
          <w:sz w:val="25"/>
          <w:szCs w:val="25"/>
        </w:rPr>
        <w:t xml:space="preserve">Create GA4 Event tags</w:t>
      </w:r>
    </w:p>
    <w:p>
      <w:pPr>
        <w:spacing w:after="120" w:line="276"/>
      </w:pPr>
      <w:r>
        <w:rPr>
          <w:rFonts w:ascii="Calibri" w:cs="Calibri" w:eastAsia="Calibri" w:hAnsi="Calibri"/>
          <w:color w:val="1A2233"/>
          <w:sz w:val="21"/>
          <w:szCs w:val="21"/>
        </w:rPr>
        <w:t xml:space="preserve">One </w:t>
      </w:r>
      <w:r>
        <w:rPr>
          <w:rFonts w:ascii="Calibri" w:cs="Calibri" w:eastAsia="Calibri" w:hAnsi="Calibri"/>
          <w:b/>
          <w:bCs/>
          <w:color w:val="1A2233"/>
          <w:sz w:val="21"/>
          <w:szCs w:val="21"/>
        </w:rPr>
        <w:t xml:space="preserve">Google Analytics: GA4 Event</w:t>
      </w:r>
      <w:r>
        <w:rPr>
          <w:rFonts w:ascii="Calibri" w:cs="Calibri" w:eastAsia="Calibri" w:hAnsi="Calibri"/>
          <w:color w:val="1A2233"/>
          <w:sz w:val="21"/>
          <w:szCs w:val="21"/>
        </w:rPr>
        <w:t xml:space="preserve"> tag per custom event. Select the Google tag or enter Measurement ID </w:t>
      </w:r>
      <w:r>
        <w:rPr>
          <w:rFonts w:ascii="Consolas" w:cs="Consolas" w:eastAsia="Consolas" w:hAnsi="Consolas"/>
          <w:color w:val="1B4DB8"/>
          <w:sz w:val="19"/>
          <w:szCs w:val="19"/>
        </w:rPr>
        <w:t xml:space="preserve">G-E495LVXW2H</w:t>
      </w:r>
      <w:r>
        <w:rPr>
          <w:rFonts w:ascii="Calibri" w:cs="Calibri" w:eastAsia="Calibri" w:hAnsi="Calibri"/>
          <w:color w:val="1A2233"/>
          <w:sz w:val="21"/>
          <w:szCs w:val="21"/>
        </w:rPr>
        <w:t xml:space="preserve">, use the exact event name, add the parameters, and attach only its matching trigger.</w:t>
      </w:r>
    </w:p>
    <w:tbl>
      <w:tblPr>
        <w:tblW w:type="dxa" w:w="9360"/>
        <w:tblBorders>
          <w:top w:val="single" w:color="C9D3E4" w:sz="2"/>
          <w:left w:val="single" w:color="C9D3E4" w:sz="2"/>
          <w:bottom w:val="single" w:color="C9D3E4" w:sz="2"/>
          <w:right w:val="single" w:color="C9D3E4" w:sz="2"/>
          <w:insideH w:val="single" w:color="C9D3E4" w:sz="2"/>
          <w:insideV w:val="single" w:color="C9D3E4" w:sz="2"/>
        </w:tblBorders>
      </w:tblPr>
      <w:tblGrid>
        <w:gridCol w:w="2300"/>
        <w:gridCol w:w="1700"/>
        <w:gridCol w:w="3560"/>
        <w:gridCol w:w="1800"/>
      </w:tblGrid>
      <w:tr>
        <w:trPr>
          <w:tblHeader/>
        </w:trPr>
        <w:tc>
          <w:tcPr>
            <w:tcW w:type="dxa" w:w="2300"/>
            <w:shd w:fill="2F6FED" w:color="auto" w:val="clear"/>
            <w:tcMar>
              <w:top w:type="dxa" w:w="70"/>
              <w:left w:type="dxa" w:w="110"/>
              <w:bottom w:type="dxa" w:w="70"/>
              <w:right w:type="dxa" w:w="110"/>
            </w:tcMar>
            <w:vAlign w:val="center"/>
          </w:tcPr>
          <w:p>
            <w:pPr>
              <w:spacing w:after="0" w:line="258"/>
            </w:pPr>
            <w:r>
              <w:rPr>
                <w:rFonts w:ascii="Calibri" w:cs="Calibri" w:eastAsia="Calibri" w:hAnsi="Calibri"/>
                <w:b/>
                <w:bCs/>
                <w:color w:val="FFFFFF"/>
                <w:sz w:val="19"/>
                <w:szCs w:val="19"/>
              </w:rPr>
              <w:t xml:space="preserve">Tag name</w:t>
            </w:r>
          </w:p>
        </w:tc>
        <w:tc>
          <w:tcPr>
            <w:tcW w:type="dxa" w:w="1700"/>
            <w:shd w:fill="2F6FED" w:color="auto" w:val="clear"/>
            <w:tcMar>
              <w:top w:type="dxa" w:w="70"/>
              <w:left w:type="dxa" w:w="110"/>
              <w:bottom w:type="dxa" w:w="70"/>
              <w:right w:type="dxa" w:w="110"/>
            </w:tcMar>
            <w:vAlign w:val="center"/>
          </w:tcPr>
          <w:p>
            <w:pPr>
              <w:spacing w:after="0" w:line="258"/>
            </w:pPr>
            <w:r>
              <w:rPr>
                <w:rFonts w:ascii="Calibri" w:cs="Calibri" w:eastAsia="Calibri" w:hAnsi="Calibri"/>
                <w:b/>
                <w:bCs/>
                <w:color w:val="FFFFFF"/>
                <w:sz w:val="19"/>
                <w:szCs w:val="19"/>
              </w:rPr>
              <w:t xml:space="preserve">GA4 event</w:t>
            </w:r>
          </w:p>
        </w:tc>
        <w:tc>
          <w:tcPr>
            <w:tcW w:type="dxa" w:w="3560"/>
            <w:shd w:fill="2F6FED" w:color="auto" w:val="clear"/>
            <w:tcMar>
              <w:top w:type="dxa" w:w="70"/>
              <w:left w:type="dxa" w:w="110"/>
              <w:bottom w:type="dxa" w:w="70"/>
              <w:right w:type="dxa" w:w="110"/>
            </w:tcMar>
            <w:vAlign w:val="center"/>
          </w:tcPr>
          <w:p>
            <w:pPr>
              <w:spacing w:after="0" w:line="258"/>
            </w:pPr>
            <w:r>
              <w:rPr>
                <w:rFonts w:ascii="Calibri" w:cs="Calibri" w:eastAsia="Calibri" w:hAnsi="Calibri"/>
                <w:b/>
                <w:bCs/>
                <w:color w:val="FFFFFF"/>
                <w:sz w:val="19"/>
                <w:szCs w:val="19"/>
              </w:rPr>
              <w:t xml:space="preserve">Event parameters</w:t>
            </w:r>
          </w:p>
        </w:tc>
        <w:tc>
          <w:tcPr>
            <w:tcW w:type="dxa" w:w="1800"/>
            <w:shd w:fill="2F6FED" w:color="auto" w:val="clear"/>
            <w:tcMar>
              <w:top w:type="dxa" w:w="70"/>
              <w:left w:type="dxa" w:w="110"/>
              <w:bottom w:type="dxa" w:w="70"/>
              <w:right w:type="dxa" w:w="110"/>
            </w:tcMar>
            <w:vAlign w:val="center"/>
          </w:tcPr>
          <w:p>
            <w:pPr>
              <w:spacing w:after="0" w:line="258"/>
            </w:pPr>
            <w:r>
              <w:rPr>
                <w:rFonts w:ascii="Calibri" w:cs="Calibri" w:eastAsia="Calibri" w:hAnsi="Calibri"/>
                <w:b/>
                <w:bCs/>
                <w:color w:val="FFFFFF"/>
                <w:sz w:val="19"/>
                <w:szCs w:val="19"/>
              </w:rPr>
              <w:t xml:space="preserve">Trigger</w:t>
            </w:r>
          </w:p>
        </w:tc>
      </w:tr>
      <w:tr>
        <w:tc>
          <w:tcPr>
            <w:tcW w:type="dxa" w:w="23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GA4 Event - Feature Upvote</w:t>
            </w:r>
          </w:p>
        </w:tc>
        <w:tc>
          <w:tcPr>
            <w:tcW w:type="dxa" w:w="17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feature_upvote</w:t>
            </w:r>
          </w:p>
        </w:tc>
        <w:tc>
          <w:tcPr>
            <w:tcW w:type="dxa" w:w="356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feature_id = {{DLV - Feature ID}}; feature_name = {{DLV - Feature Name}}</w:t>
            </w:r>
          </w:p>
        </w:tc>
        <w:tc>
          <w:tcPr>
            <w:tcW w:type="dxa" w:w="18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CE - Feature Upvote</w:t>
            </w:r>
          </w:p>
        </w:tc>
      </w:tr>
      <w:tr>
        <w:tc>
          <w:tcPr>
            <w:tcW w:type="dxa" w:w="23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GA4 Event - Generate Lead</w:t>
            </w:r>
          </w:p>
        </w:tc>
        <w:tc>
          <w:tcPr>
            <w:tcW w:type="dxa" w:w="17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generate_lead</w:t>
            </w:r>
          </w:p>
        </w:tc>
        <w:tc>
          <w:tcPr>
            <w:tcW w:type="dxa" w:w="356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lead_source = {{DLV - Lead Source}}</w:t>
            </w:r>
          </w:p>
        </w:tc>
        <w:tc>
          <w:tcPr>
            <w:tcW w:type="dxa" w:w="18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CE - Generate Lead</w:t>
            </w:r>
          </w:p>
        </w:tc>
      </w:tr>
      <w:tr>
        <w:tc>
          <w:tcPr>
            <w:tcW w:type="dxa" w:w="23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GA4 Event - Feature Request Submit</w:t>
            </w:r>
          </w:p>
        </w:tc>
        <w:tc>
          <w:tcPr>
            <w:tcW w:type="dxa" w:w="17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feature_request_submit</w:t>
            </w:r>
          </w:p>
        </w:tc>
        <w:tc>
          <w:tcPr>
            <w:tcW w:type="dxa" w:w="356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product_id = {{DLV - Product ID}}; category = {{DLV - Category}}</w:t>
            </w:r>
          </w:p>
        </w:tc>
        <w:tc>
          <w:tcPr>
            <w:tcW w:type="dxa" w:w="18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CE - Feature Request Submit</w:t>
            </w:r>
          </w:p>
        </w:tc>
      </w:tr>
      <w:tr>
        <w:tc>
          <w:tcPr>
            <w:tcW w:type="dxa" w:w="23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GA4 Event - Product View</w:t>
            </w:r>
          </w:p>
        </w:tc>
        <w:tc>
          <w:tcPr>
            <w:tcW w:type="dxa" w:w="17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product_view</w:t>
            </w:r>
          </w:p>
        </w:tc>
        <w:tc>
          <w:tcPr>
            <w:tcW w:type="dxa" w:w="356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product_id = {{DLV - Product ID}}; product_name = {{DLV - Product Name}}</w:t>
            </w:r>
          </w:p>
        </w:tc>
        <w:tc>
          <w:tcPr>
            <w:tcW w:type="dxa" w:w="18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CE - Product View</w:t>
            </w:r>
          </w:p>
        </w:tc>
      </w:tr>
      <w:tr>
        <w:tc>
          <w:tcPr>
            <w:tcW w:type="dxa" w:w="23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GA4 Event - CTA Click</w:t>
            </w:r>
          </w:p>
        </w:tc>
        <w:tc>
          <w:tcPr>
            <w:tcW w:type="dxa" w:w="17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cta_click</w:t>
            </w:r>
          </w:p>
        </w:tc>
        <w:tc>
          <w:tcPr>
            <w:tcW w:type="dxa" w:w="356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cta_name = {{DLV - CTA Name}}; cta_location = {{DLV - CTA Location}}</w:t>
            </w:r>
          </w:p>
        </w:tc>
        <w:tc>
          <w:tcPr>
            <w:tcW w:type="dxa" w:w="18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CE - CTA Click</w:t>
            </w:r>
          </w:p>
        </w:tc>
      </w:tr>
    </w:tbl>
    <w:tbl>
      <w:tblPr>
        <w:tblW w:type="dxa" w:w="9360"/>
        <w:tblBorders>
          <w:top w:val="none"/>
          <w:left w:val="single" w:color="2F6FED" w:sz="24"/>
          <w:bottom w:val="none"/>
          <w:right w:val="none"/>
          <w:insideH w:val="none"/>
          <w:insideV w:val="none"/>
        </w:tblBorders>
      </w:tblPr>
      <w:tblGrid>
        <w:gridCol w:w="9360"/>
      </w:tblGrid>
      <w:tr>
        <w:tc>
          <w:tcPr>
            <w:tcW w:type="dxa" w:w="9360"/>
            <w:shd w:fill="EEF3FD" w:color="auto" w:val="clear"/>
            <w:tcMar>
              <w:top w:type="dxa" w:w="100"/>
              <w:left w:type="dxa" w:w="160"/>
              <w:bottom w:type="dxa" w:w="100"/>
              <w:right w:type="dxa" w:w="140"/>
            </w:tcMar>
          </w:tcPr>
          <w:p>
            <w:pPr>
              <w:spacing w:after="40"/>
            </w:pPr>
            <w:r>
              <w:rPr>
                <w:rFonts w:ascii="Calibri" w:cs="Calibri" w:eastAsia="Calibri" w:hAnsi="Calibri"/>
                <w:b/>
                <w:bCs/>
                <w:color w:val="2F6FED"/>
                <w:sz w:val="20"/>
                <w:szCs w:val="20"/>
              </w:rPr>
              <w:t xml:space="preserve">Flat parameters, nested source</w:t>
            </w:r>
          </w:p>
          <w:p>
            <w:pPr>
              <w:spacing w:after="0" w:line="270"/>
            </w:pPr>
            <w:r>
              <w:rPr>
                <w:rFonts w:ascii="Calibri" w:cs="Calibri" w:eastAsia="Calibri" w:hAnsi="Calibri"/>
                <w:color w:val="1A2233"/>
                <w:sz w:val="21"/>
                <w:szCs w:val="21"/>
              </w:rPr>
              <w:t xml:space="preserve">GA4 parameter names are deliberately flat even though the feature fields are nested in the data layer. GTM reads the nested values and sends them to GA4 as </w:t>
            </w:r>
            <w:r>
              <w:rPr>
                <w:rFonts w:ascii="Consolas" w:cs="Consolas" w:eastAsia="Consolas" w:hAnsi="Consolas"/>
                <w:color w:val="1B4DB8"/>
                <w:sz w:val="19"/>
                <w:szCs w:val="19"/>
              </w:rPr>
              <w:t xml:space="preserve">feature_id</w:t>
            </w:r>
            <w:r>
              <w:rPr>
                <w:rFonts w:ascii="Calibri" w:cs="Calibri" w:eastAsia="Calibri" w:hAnsi="Calibri"/>
                <w:color w:val="1A2233"/>
                <w:sz w:val="21"/>
                <w:szCs w:val="21"/>
              </w:rPr>
              <w:t xml:space="preserve"> and </w:t>
            </w:r>
            <w:r>
              <w:rPr>
                <w:rFonts w:ascii="Consolas" w:cs="Consolas" w:eastAsia="Consolas" w:hAnsi="Consolas"/>
                <w:color w:val="1B4DB8"/>
                <w:sz w:val="19"/>
                <w:szCs w:val="19"/>
              </w:rPr>
              <w:t xml:space="preserve">feature_name</w:t>
            </w:r>
            <w:r>
              <w:rPr>
                <w:rFonts w:ascii="Calibri" w:cs="Calibri" w:eastAsia="Calibri" w:hAnsi="Calibri"/>
                <w:color w:val="1A2233"/>
                <w:sz w:val="21"/>
                <w:szCs w:val="21"/>
              </w:rPr>
              <w:t xml:space="preserve">.</w:t>
            </w:r>
          </w:p>
        </w:tc>
      </w:tr>
    </w:tbl>
    <w:p>
      <w:r>
        <w:br w:type="page"/>
      </w:r>
    </w:p>
    <w:p>
      <w:pPr>
        <w:pStyle w:val="Heading1"/>
        <w:spacing w:after="140" w:before="320"/>
      </w:pPr>
      <w:r>
        <w:rPr>
          <w:rFonts w:ascii="Calibri" w:cs="Calibri" w:eastAsia="Calibri" w:hAnsi="Calibri"/>
          <w:b/>
          <w:bCs/>
          <w:color w:val="1A2233"/>
          <w:sz w:val="30"/>
          <w:szCs w:val="30"/>
        </w:rPr>
        <w:t xml:space="preserve">7. Configure GA4 reporting</w:t>
      </w:r>
    </w:p>
    <w:p>
      <w:pPr>
        <w:pStyle w:val="Heading2"/>
        <w:spacing w:after="100" w:before="240"/>
      </w:pPr>
      <w:r>
        <w:rPr>
          <w:rFonts w:ascii="Calibri" w:cs="Calibri" w:eastAsia="Calibri" w:hAnsi="Calibri"/>
          <w:b/>
          <w:bCs/>
          <w:color w:val="1B4DB8"/>
          <w:sz w:val="25"/>
          <w:szCs w:val="25"/>
        </w:rPr>
        <w:t xml:space="preserve">Register custom dimensions</w:t>
      </w:r>
    </w:p>
    <w:p>
      <w:pPr>
        <w:spacing w:after="120" w:line="276"/>
      </w:pPr>
      <w:r>
        <w:rPr>
          <w:rFonts w:ascii="Calibri" w:cs="Calibri" w:eastAsia="Calibri" w:hAnsi="Calibri"/>
          <w:color w:val="1A2233"/>
          <w:sz w:val="21"/>
          <w:szCs w:val="21"/>
        </w:rPr>
        <w:t xml:space="preserve">In </w:t>
      </w:r>
      <w:r>
        <w:rPr>
          <w:rFonts w:ascii="Calibri" w:cs="Calibri" w:eastAsia="Calibri" w:hAnsi="Calibri"/>
          <w:b/>
          <w:bCs/>
          <w:color w:val="1A2233"/>
          <w:sz w:val="21"/>
          <w:szCs w:val="21"/>
        </w:rPr>
        <w:t xml:space="preserve">GA4 → Admin → Data display → Custom definitions</w:t>
      </w:r>
      <w:r>
        <w:rPr>
          <w:rFonts w:ascii="Calibri" w:cs="Calibri" w:eastAsia="Calibri" w:hAnsi="Calibri"/>
          <w:color w:val="1A2233"/>
          <w:sz w:val="21"/>
          <w:szCs w:val="21"/>
        </w:rPr>
        <w:t xml:space="preserve">, create event-scoped custom dimensions:</w:t>
      </w:r>
    </w:p>
    <w:tbl>
      <w:tblPr>
        <w:tblW w:type="dxa" w:w="9360"/>
        <w:tblBorders>
          <w:top w:val="single" w:color="C9D3E4" w:sz="2"/>
          <w:left w:val="single" w:color="C9D3E4" w:sz="2"/>
          <w:bottom w:val="single" w:color="C9D3E4" w:sz="2"/>
          <w:right w:val="single" w:color="C9D3E4" w:sz="2"/>
          <w:insideH w:val="single" w:color="C9D3E4" w:sz="2"/>
          <w:insideV w:val="single" w:color="C9D3E4" w:sz="2"/>
        </w:tblBorders>
      </w:tblPr>
      <w:tblGrid>
        <w:gridCol w:w="3560"/>
        <w:gridCol w:w="2000"/>
        <w:gridCol w:w="3800"/>
      </w:tblGrid>
      <w:tr>
        <w:trPr>
          <w:tblHeader/>
        </w:trPr>
        <w:tc>
          <w:tcPr>
            <w:tcW w:type="dxa" w:w="3560"/>
            <w:shd w:fill="2F6FED" w:color="auto" w:val="clear"/>
            <w:tcMar>
              <w:top w:type="dxa" w:w="70"/>
              <w:left w:type="dxa" w:w="110"/>
              <w:bottom w:type="dxa" w:w="70"/>
              <w:right w:type="dxa" w:w="110"/>
            </w:tcMar>
            <w:vAlign w:val="center"/>
          </w:tcPr>
          <w:p>
            <w:pPr>
              <w:spacing w:after="0" w:line="258"/>
            </w:pPr>
            <w:r>
              <w:rPr>
                <w:rFonts w:ascii="Calibri" w:cs="Calibri" w:eastAsia="Calibri" w:hAnsi="Calibri"/>
                <w:b/>
                <w:bCs/>
                <w:color w:val="FFFFFF"/>
                <w:sz w:val="19"/>
                <w:szCs w:val="19"/>
              </w:rPr>
              <w:t xml:space="preserve">Display name</w:t>
            </w:r>
          </w:p>
        </w:tc>
        <w:tc>
          <w:tcPr>
            <w:tcW w:type="dxa" w:w="2000"/>
            <w:shd w:fill="2F6FED" w:color="auto" w:val="clear"/>
            <w:tcMar>
              <w:top w:type="dxa" w:w="70"/>
              <w:left w:type="dxa" w:w="110"/>
              <w:bottom w:type="dxa" w:w="70"/>
              <w:right w:type="dxa" w:w="110"/>
            </w:tcMar>
            <w:vAlign w:val="center"/>
          </w:tcPr>
          <w:p>
            <w:pPr>
              <w:spacing w:after="0" w:line="258"/>
            </w:pPr>
            <w:r>
              <w:rPr>
                <w:rFonts w:ascii="Calibri" w:cs="Calibri" w:eastAsia="Calibri" w:hAnsi="Calibri"/>
                <w:b/>
                <w:bCs/>
                <w:color w:val="FFFFFF"/>
                <w:sz w:val="19"/>
                <w:szCs w:val="19"/>
              </w:rPr>
              <w:t xml:space="preserve">Scope</w:t>
            </w:r>
          </w:p>
        </w:tc>
        <w:tc>
          <w:tcPr>
            <w:tcW w:type="dxa" w:w="3800"/>
            <w:shd w:fill="2F6FED" w:color="auto" w:val="clear"/>
            <w:tcMar>
              <w:top w:type="dxa" w:w="70"/>
              <w:left w:type="dxa" w:w="110"/>
              <w:bottom w:type="dxa" w:w="70"/>
              <w:right w:type="dxa" w:w="110"/>
            </w:tcMar>
            <w:vAlign w:val="center"/>
          </w:tcPr>
          <w:p>
            <w:pPr>
              <w:spacing w:after="0" w:line="258"/>
            </w:pPr>
            <w:r>
              <w:rPr>
                <w:rFonts w:ascii="Calibri" w:cs="Calibri" w:eastAsia="Calibri" w:hAnsi="Calibri"/>
                <w:b/>
                <w:bCs/>
                <w:color w:val="FFFFFF"/>
                <w:sz w:val="19"/>
                <w:szCs w:val="19"/>
              </w:rPr>
              <w:t xml:space="preserve">Event parameter</w:t>
            </w:r>
          </w:p>
        </w:tc>
      </w:tr>
      <w:tr>
        <w:tc>
          <w:tcPr>
            <w:tcW w:type="dxa" w:w="356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Feature ID</w:t>
            </w:r>
          </w:p>
        </w:tc>
        <w:tc>
          <w:tcPr>
            <w:tcW w:type="dxa" w:w="20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Event</w:t>
            </w:r>
          </w:p>
        </w:tc>
        <w:tc>
          <w:tcPr>
            <w:tcW w:type="dxa" w:w="38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feature_id</w:t>
            </w:r>
          </w:p>
        </w:tc>
      </w:tr>
      <w:tr>
        <w:tc>
          <w:tcPr>
            <w:tcW w:type="dxa" w:w="356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Feature Name</w:t>
            </w:r>
          </w:p>
        </w:tc>
        <w:tc>
          <w:tcPr>
            <w:tcW w:type="dxa" w:w="20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Event</w:t>
            </w:r>
          </w:p>
        </w:tc>
        <w:tc>
          <w:tcPr>
            <w:tcW w:type="dxa" w:w="38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feature_name</w:t>
            </w:r>
          </w:p>
        </w:tc>
      </w:tr>
      <w:tr>
        <w:tc>
          <w:tcPr>
            <w:tcW w:type="dxa" w:w="356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Product ID</w:t>
            </w:r>
          </w:p>
        </w:tc>
        <w:tc>
          <w:tcPr>
            <w:tcW w:type="dxa" w:w="20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Event</w:t>
            </w:r>
          </w:p>
        </w:tc>
        <w:tc>
          <w:tcPr>
            <w:tcW w:type="dxa" w:w="38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product_id</w:t>
            </w:r>
          </w:p>
        </w:tc>
      </w:tr>
      <w:tr>
        <w:tc>
          <w:tcPr>
            <w:tcW w:type="dxa" w:w="356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Product Name</w:t>
            </w:r>
          </w:p>
        </w:tc>
        <w:tc>
          <w:tcPr>
            <w:tcW w:type="dxa" w:w="20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Event</w:t>
            </w:r>
          </w:p>
        </w:tc>
        <w:tc>
          <w:tcPr>
            <w:tcW w:type="dxa" w:w="38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product_name</w:t>
            </w:r>
          </w:p>
        </w:tc>
      </w:tr>
      <w:tr>
        <w:tc>
          <w:tcPr>
            <w:tcW w:type="dxa" w:w="356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Feedback Category</w:t>
            </w:r>
          </w:p>
        </w:tc>
        <w:tc>
          <w:tcPr>
            <w:tcW w:type="dxa" w:w="20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Event</w:t>
            </w:r>
          </w:p>
        </w:tc>
        <w:tc>
          <w:tcPr>
            <w:tcW w:type="dxa" w:w="38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category</w:t>
            </w:r>
          </w:p>
        </w:tc>
      </w:tr>
      <w:tr>
        <w:tc>
          <w:tcPr>
            <w:tcW w:type="dxa" w:w="356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Lead Source</w:t>
            </w:r>
          </w:p>
        </w:tc>
        <w:tc>
          <w:tcPr>
            <w:tcW w:type="dxa" w:w="20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Event</w:t>
            </w:r>
          </w:p>
        </w:tc>
        <w:tc>
          <w:tcPr>
            <w:tcW w:type="dxa" w:w="38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lead_source</w:t>
            </w:r>
          </w:p>
        </w:tc>
      </w:tr>
      <w:tr>
        <w:tc>
          <w:tcPr>
            <w:tcW w:type="dxa" w:w="356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CTA Name</w:t>
            </w:r>
          </w:p>
        </w:tc>
        <w:tc>
          <w:tcPr>
            <w:tcW w:type="dxa" w:w="20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Event</w:t>
            </w:r>
          </w:p>
        </w:tc>
        <w:tc>
          <w:tcPr>
            <w:tcW w:type="dxa" w:w="38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cta_name</w:t>
            </w:r>
          </w:p>
        </w:tc>
      </w:tr>
      <w:tr>
        <w:tc>
          <w:tcPr>
            <w:tcW w:type="dxa" w:w="356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CTA Location</w:t>
            </w:r>
          </w:p>
        </w:tc>
        <w:tc>
          <w:tcPr>
            <w:tcW w:type="dxa" w:w="20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Event</w:t>
            </w:r>
          </w:p>
        </w:tc>
        <w:tc>
          <w:tcPr>
            <w:tcW w:type="dxa" w:w="38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cta_location</w:t>
            </w:r>
          </w:p>
        </w:tc>
      </w:tr>
    </w:tbl>
    <w:tbl>
      <w:tblPr>
        <w:tblW w:type="dxa" w:w="9360"/>
        <w:tblBorders>
          <w:top w:val="none"/>
          <w:left w:val="single" w:color="2F6FED" w:sz="24"/>
          <w:bottom w:val="none"/>
          <w:right w:val="none"/>
          <w:insideH w:val="none"/>
          <w:insideV w:val="none"/>
        </w:tblBorders>
      </w:tblPr>
      <w:tblGrid>
        <w:gridCol w:w="9360"/>
      </w:tblGrid>
      <w:tr>
        <w:tc>
          <w:tcPr>
            <w:tcW w:type="dxa" w:w="9360"/>
            <w:shd w:fill="EEF3FD" w:color="auto" w:val="clear"/>
            <w:tcMar>
              <w:top w:type="dxa" w:w="100"/>
              <w:left w:type="dxa" w:w="160"/>
              <w:bottom w:type="dxa" w:w="100"/>
              <w:right w:type="dxa" w:w="140"/>
            </w:tcMar>
          </w:tcPr>
          <w:p>
            <w:pPr>
              <w:spacing w:after="40"/>
            </w:pPr>
            <w:r>
              <w:rPr>
                <w:rFonts w:ascii="Calibri" w:cs="Calibri" w:eastAsia="Calibri" w:hAnsi="Calibri"/>
                <w:b/>
                <w:bCs/>
                <w:color w:val="2F6FED"/>
                <w:sz w:val="20"/>
                <w:szCs w:val="20"/>
              </w:rPr>
              <w:t xml:space="preserve">Processing note</w:t>
            </w:r>
          </w:p>
          <w:p>
            <w:pPr>
              <w:spacing w:after="0" w:line="270"/>
            </w:pPr>
            <w:r>
              <w:rPr>
                <w:rFonts w:ascii="Calibri" w:cs="Calibri" w:eastAsia="Calibri" w:hAnsi="Calibri"/>
                <w:color w:val="1A2233"/>
                <w:sz w:val="21"/>
                <w:szCs w:val="21"/>
              </w:rPr>
              <w:t xml:space="preserve">Custom definitions apply to newly processed data and are not a reliable way to recover values from older events. Allow normal GA4 processing time before expecting them in standard reports.</w:t>
            </w:r>
          </w:p>
        </w:tc>
      </w:tr>
    </w:tbl>
    <w:p>
      <w:pPr>
        <w:pStyle w:val="Heading2"/>
        <w:spacing w:after="100" w:before="240"/>
      </w:pPr>
      <w:r>
        <w:rPr>
          <w:rFonts w:ascii="Calibri" w:cs="Calibri" w:eastAsia="Calibri" w:hAnsi="Calibri"/>
          <w:b/>
          <w:bCs/>
          <w:color w:val="1B4DB8"/>
          <w:sz w:val="25"/>
          <w:szCs w:val="25"/>
        </w:rPr>
        <w:t xml:space="preserve">Mark key events</w:t>
      </w:r>
    </w:p>
    <w:p>
      <w:pPr>
        <w:pStyle w:val="ListParagraph"/>
        <w:numPr>
          <w:ilvl w:val="0"/>
          <w:numId w:val="3"/>
        </w:numPr>
        <w:spacing w:after="70" w:line="268"/>
      </w:pPr>
      <w:r>
        <w:rPr>
          <w:rFonts w:ascii="Consolas" w:cs="Consolas" w:eastAsia="Consolas" w:hAnsi="Consolas"/>
          <w:color w:val="1B4DB8"/>
          <w:sz w:val="19"/>
          <w:szCs w:val="19"/>
        </w:rPr>
        <w:t xml:space="preserve">generate_lead</w:t>
      </w:r>
      <w:r>
        <w:rPr>
          <w:rFonts w:ascii="Calibri" w:cs="Calibri" w:eastAsia="Calibri" w:hAnsi="Calibri"/>
          <w:color w:val="1A2233"/>
          <w:sz w:val="21"/>
          <w:szCs w:val="21"/>
        </w:rPr>
        <w:t xml:space="preserve"> — a successfully recorded newsletter subscription.</w:t>
      </w:r>
    </w:p>
    <w:p>
      <w:pPr>
        <w:pStyle w:val="ListParagraph"/>
        <w:numPr>
          <w:ilvl w:val="0"/>
          <w:numId w:val="3"/>
        </w:numPr>
        <w:spacing w:after="70" w:line="268"/>
      </w:pPr>
      <w:r>
        <w:rPr>
          <w:rFonts w:ascii="Consolas" w:cs="Consolas" w:eastAsia="Consolas" w:hAnsi="Consolas"/>
          <w:color w:val="1B4DB8"/>
          <w:sz w:val="19"/>
          <w:szCs w:val="19"/>
        </w:rPr>
        <w:t xml:space="preserve">feature_request_submit</w:t>
      </w:r>
      <w:r>
        <w:rPr>
          <w:rFonts w:ascii="Calibri" w:cs="Calibri" w:eastAsia="Calibri" w:hAnsi="Calibri"/>
          <w:color w:val="1A2233"/>
          <w:sz w:val="21"/>
          <w:szCs w:val="21"/>
        </w:rPr>
        <w:t xml:space="preserve"> — a successfully recorded feature request.</w:t>
      </w:r>
    </w:p>
    <w:p>
      <w:pPr>
        <w:spacing w:after="120" w:line="276"/>
      </w:pPr>
      <w:r>
        <w:rPr>
          <w:rFonts w:ascii="Consolas" w:cs="Consolas" w:eastAsia="Consolas" w:hAnsi="Consolas"/>
          <w:color w:val="1B4DB8"/>
          <w:sz w:val="19"/>
          <w:szCs w:val="19"/>
        </w:rPr>
        <w:t xml:space="preserve">feature_upvote</w:t>
      </w:r>
      <w:r>
        <w:rPr>
          <w:rFonts w:ascii="Calibri" w:cs="Calibri" w:eastAsia="Calibri" w:hAnsi="Calibri"/>
          <w:color w:val="1A2233"/>
          <w:sz w:val="21"/>
          <w:szCs w:val="21"/>
        </w:rPr>
        <w:t xml:space="preserve"> is an engagement signal. It can also be marked as a key event if feature-demand validation is a primary objective — but keep the definition consistent when presenting trends.</w:t>
      </w:r>
    </w:p>
    <w:p>
      <w:pPr>
        <w:pStyle w:val="Heading2"/>
        <w:spacing w:after="100" w:before="240"/>
      </w:pPr>
      <w:r>
        <w:rPr>
          <w:rFonts w:ascii="Calibri" w:cs="Calibri" w:eastAsia="Calibri" w:hAnsi="Calibri"/>
          <w:b/>
          <w:bCs/>
          <w:color w:val="1B4DB8"/>
          <w:sz w:val="25"/>
          <w:szCs w:val="25"/>
        </w:rPr>
        <w:t xml:space="preserve">Recommended explorations</w:t>
      </w:r>
    </w:p>
    <w:p>
      <w:pPr>
        <w:pStyle w:val="Heading3"/>
        <w:spacing w:after="80" w:before="180"/>
      </w:pPr>
      <w:r>
        <w:rPr>
          <w:rFonts w:ascii="Calibri" w:cs="Calibri" w:eastAsia="Calibri" w:hAnsi="Calibri"/>
          <w:b/>
          <w:bCs/>
          <w:color w:val="1A2233"/>
          <w:sz w:val="22"/>
          <w:szCs w:val="22"/>
        </w:rPr>
        <w:t xml:space="preserve">Feature demand table</w:t>
      </w:r>
    </w:p>
    <w:p>
      <w:pPr>
        <w:pStyle w:val="ListParagraph"/>
        <w:numPr>
          <w:ilvl w:val="0"/>
          <w:numId w:val="3"/>
        </w:numPr>
        <w:spacing w:after="70" w:line="268"/>
      </w:pPr>
      <w:r>
        <w:rPr>
          <w:rFonts w:ascii="Calibri" w:cs="Calibri" w:eastAsia="Calibri" w:hAnsi="Calibri"/>
          <w:color w:val="1A2233"/>
          <w:sz w:val="21"/>
          <w:szCs w:val="21"/>
        </w:rPr>
        <w:t xml:space="preserve">Technique: Free form</w:t>
      </w:r>
    </w:p>
    <w:p>
      <w:pPr>
        <w:pStyle w:val="ListParagraph"/>
        <w:numPr>
          <w:ilvl w:val="0"/>
          <w:numId w:val="3"/>
        </w:numPr>
        <w:spacing w:after="70" w:line="268"/>
      </w:pPr>
      <w:r>
        <w:rPr>
          <w:rFonts w:ascii="Calibri" w:cs="Calibri" w:eastAsia="Calibri" w:hAnsi="Calibri"/>
          <w:color w:val="1A2233"/>
          <w:sz w:val="21"/>
          <w:szCs w:val="21"/>
        </w:rPr>
        <w:t xml:space="preserve">Rows: Feature Name</w:t>
      </w:r>
    </w:p>
    <w:p>
      <w:pPr>
        <w:pStyle w:val="ListParagraph"/>
        <w:numPr>
          <w:ilvl w:val="0"/>
          <w:numId w:val="3"/>
        </w:numPr>
        <w:spacing w:after="70" w:line="268"/>
      </w:pPr>
      <w:r>
        <w:rPr>
          <w:rFonts w:ascii="Calibri" w:cs="Calibri" w:eastAsia="Calibri" w:hAnsi="Calibri"/>
          <w:color w:val="1A2233"/>
          <w:sz w:val="21"/>
          <w:szCs w:val="21"/>
        </w:rPr>
        <w:t xml:space="preserve">Values: Event count and Total users</w:t>
      </w:r>
    </w:p>
    <w:p>
      <w:pPr>
        <w:pStyle w:val="ListParagraph"/>
        <w:numPr>
          <w:ilvl w:val="0"/>
          <w:numId w:val="3"/>
        </w:numPr>
        <w:spacing w:after="70" w:line="268"/>
      </w:pPr>
      <w:r>
        <w:rPr>
          <w:rFonts w:ascii="Calibri" w:cs="Calibri" w:eastAsia="Calibri" w:hAnsi="Calibri"/>
          <w:color w:val="1A2233"/>
          <w:sz w:val="21"/>
          <w:szCs w:val="21"/>
        </w:rPr>
        <w:t xml:space="preserve">Filter: Event name exactly matches </w:t>
      </w:r>
      <w:r>
        <w:rPr>
          <w:rFonts w:ascii="Consolas" w:cs="Consolas" w:eastAsia="Consolas" w:hAnsi="Consolas"/>
          <w:color w:val="1B4DB8"/>
          <w:sz w:val="19"/>
          <w:szCs w:val="19"/>
        </w:rPr>
        <w:t xml:space="preserve">feature_upvote</w:t>
      </w:r>
    </w:p>
    <w:p>
      <w:pPr>
        <w:pStyle w:val="Heading3"/>
        <w:spacing w:after="80" w:before="180"/>
      </w:pPr>
      <w:r>
        <w:rPr>
          <w:rFonts w:ascii="Calibri" w:cs="Calibri" w:eastAsia="Calibri" w:hAnsi="Calibri"/>
          <w:b/>
          <w:bCs/>
          <w:color w:val="1A2233"/>
          <w:sz w:val="22"/>
          <w:szCs w:val="22"/>
        </w:rPr>
        <w:t xml:space="preserve">Product interest table</w:t>
      </w:r>
    </w:p>
    <w:p>
      <w:pPr>
        <w:pStyle w:val="ListParagraph"/>
        <w:numPr>
          <w:ilvl w:val="0"/>
          <w:numId w:val="3"/>
        </w:numPr>
        <w:spacing w:after="70" w:line="268"/>
      </w:pPr>
      <w:r>
        <w:rPr>
          <w:rFonts w:ascii="Calibri" w:cs="Calibri" w:eastAsia="Calibri" w:hAnsi="Calibri"/>
          <w:color w:val="1A2233"/>
          <w:sz w:val="21"/>
          <w:szCs w:val="21"/>
        </w:rPr>
        <w:t xml:space="preserve">Rows: Product Name</w:t>
      </w:r>
    </w:p>
    <w:p>
      <w:pPr>
        <w:pStyle w:val="ListParagraph"/>
        <w:numPr>
          <w:ilvl w:val="0"/>
          <w:numId w:val="3"/>
        </w:numPr>
        <w:spacing w:after="70" w:line="268"/>
      </w:pPr>
      <w:r>
        <w:rPr>
          <w:rFonts w:ascii="Calibri" w:cs="Calibri" w:eastAsia="Calibri" w:hAnsi="Calibri"/>
          <w:color w:val="1A2233"/>
          <w:sz w:val="21"/>
          <w:szCs w:val="21"/>
        </w:rPr>
        <w:t xml:space="preserve">Values: Event count and Total users</w:t>
      </w:r>
    </w:p>
    <w:p>
      <w:pPr>
        <w:pStyle w:val="ListParagraph"/>
        <w:numPr>
          <w:ilvl w:val="0"/>
          <w:numId w:val="3"/>
        </w:numPr>
        <w:spacing w:after="70" w:line="268"/>
      </w:pPr>
      <w:r>
        <w:rPr>
          <w:rFonts w:ascii="Calibri" w:cs="Calibri" w:eastAsia="Calibri" w:hAnsi="Calibri"/>
          <w:color w:val="1A2233"/>
          <w:sz w:val="21"/>
          <w:szCs w:val="21"/>
        </w:rPr>
        <w:t xml:space="preserve">Filter: Event name exactly matches </w:t>
      </w:r>
      <w:r>
        <w:rPr>
          <w:rFonts w:ascii="Consolas" w:cs="Consolas" w:eastAsia="Consolas" w:hAnsi="Consolas"/>
          <w:color w:val="1B4DB8"/>
          <w:sz w:val="19"/>
          <w:szCs w:val="19"/>
        </w:rPr>
        <w:t xml:space="preserve">product_view</w:t>
      </w:r>
    </w:p>
    <w:p>
      <w:pPr>
        <w:pStyle w:val="Heading3"/>
        <w:spacing w:after="80" w:before="180"/>
      </w:pPr>
      <w:r>
        <w:rPr>
          <w:rFonts w:ascii="Calibri" w:cs="Calibri" w:eastAsia="Calibri" w:hAnsi="Calibri"/>
          <w:b/>
          <w:bCs/>
          <w:color w:val="1A2233"/>
          <w:sz w:val="22"/>
          <w:szCs w:val="22"/>
        </w:rPr>
        <w:t xml:space="preserve">Customer-intent funnel</w:t>
      </w:r>
    </w:p>
    <w:p>
      <w:pPr>
        <w:pBdr>
          <w:top w:val="single" w:color="C9D3E4" w:sz="2" w:space="4"/>
          <w:bottom w:val="single" w:color="C9D3E4" w:sz="2" w:space="4"/>
          <w:left w:val="single" w:color="2F6FED" w:sz="18" w:space="6"/>
        </w:pBdr>
        <w:shd w:fill="F3F4F6" w:color="auto" w:val="clear"/>
        <w:spacing w:after="0" w:line="264"/>
      </w:pPr>
      <w:r>
        <w:rPr>
          <w:rFonts w:ascii="Consolas" w:cs="Consolas" w:eastAsia="Consolas" w:hAnsi="Consolas"/>
          <w:color w:val="222831"/>
          <w:sz w:val="18"/>
          <w:szCs w:val="18"/>
        </w:rPr>
        <w:t xml:space="preserve">page_view -&gt; cta_click -&gt; feature_upvote -&gt; feature_request_submit</w:t>
      </w:r>
    </w:p>
    <w:p>
      <w:pPr>
        <w:spacing w:after="120" w:line="276"/>
      </w:pPr>
      <w:r>
        <w:rPr>
          <w:rFonts w:ascii="Calibri" w:cs="Calibri" w:eastAsia="Calibri" w:hAnsi="Calibri"/>
          <w:i/>
          <w:iCs/>
          <w:color w:val="5A6472"/>
          <w:sz w:val="21"/>
          <w:szCs w:val="21"/>
        </w:rPr>
        <w:t xml:space="preserve">Treat this as an exploratory journey rather than a required linear transaction — many users will vote without submitting a new request.</w:t>
      </w:r>
    </w:p>
    <w:p>
      <w:r>
        <w:br w:type="page"/>
      </w:r>
    </w:p>
    <w:p>
      <w:pPr>
        <w:pStyle w:val="Heading1"/>
        <w:spacing w:after="140" w:before="320"/>
      </w:pPr>
      <w:r>
        <w:rPr>
          <w:rFonts w:ascii="Calibri" w:cs="Calibri" w:eastAsia="Calibri" w:hAnsi="Calibri"/>
          <w:b/>
          <w:bCs/>
          <w:color w:val="1A2233"/>
          <w:sz w:val="30"/>
          <w:szCs w:val="30"/>
        </w:rPr>
        <w:t xml:space="preserve">8. End-to-end testing</w:t>
      </w:r>
    </w:p>
    <w:p>
      <w:pPr>
        <w:pStyle w:val="Heading2"/>
        <w:spacing w:after="100" w:before="240"/>
      </w:pPr>
      <w:r>
        <w:rPr>
          <w:rFonts w:ascii="Calibri" w:cs="Calibri" w:eastAsia="Calibri" w:hAnsi="Calibri"/>
          <w:b/>
          <w:bCs/>
          <w:color w:val="1B4DB8"/>
          <w:sz w:val="25"/>
          <w:szCs w:val="25"/>
        </w:rPr>
        <w:t xml:space="preserve">Start a GTM Preview session</w:t>
      </w:r>
    </w:p>
    <w:p>
      <w:pPr>
        <w:pStyle w:val="ListParagraph"/>
        <w:numPr>
          <w:ilvl w:val="0"/>
          <w:numId w:val="6"/>
        </w:numPr>
        <w:spacing w:after="70" w:line="268"/>
      </w:pPr>
      <w:r>
        <w:rPr>
          <w:rFonts w:ascii="Calibri" w:cs="Calibri" w:eastAsia="Calibri" w:hAnsi="Calibri"/>
          <w:color w:val="1A2233"/>
          <w:sz w:val="21"/>
          <w:szCs w:val="21"/>
        </w:rPr>
        <w:t xml:space="preserve">Open the GTM workspace and click </w:t>
      </w:r>
      <w:r>
        <w:rPr>
          <w:rFonts w:ascii="Calibri" w:cs="Calibri" w:eastAsia="Calibri" w:hAnsi="Calibri"/>
          <w:b/>
          <w:bCs/>
          <w:color w:val="1A2233"/>
          <w:sz w:val="21"/>
          <w:szCs w:val="21"/>
        </w:rPr>
        <w:t xml:space="preserve">Preview</w:t>
      </w:r>
      <w:r>
        <w:rPr>
          <w:rFonts w:ascii="Calibri" w:cs="Calibri" w:eastAsia="Calibri" w:hAnsi="Calibri"/>
          <w:color w:val="1A2233"/>
          <w:sz w:val="21"/>
          <w:szCs w:val="21"/>
        </w:rPr>
        <w:t xml:space="preserve">.</w:t>
      </w:r>
    </w:p>
    <w:p>
      <w:pPr>
        <w:pStyle w:val="ListParagraph"/>
        <w:numPr>
          <w:ilvl w:val="0"/>
          <w:numId w:val="6"/>
        </w:numPr>
        <w:spacing w:after="70" w:line="268"/>
      </w:pPr>
      <w:r>
        <w:rPr>
          <w:rFonts w:ascii="Calibri" w:cs="Calibri" w:eastAsia="Calibri" w:hAnsi="Calibri"/>
          <w:color w:val="1A2233"/>
          <w:sz w:val="21"/>
          <w:szCs w:val="21"/>
        </w:rPr>
        <w:t xml:space="preserve">Enter </w:t>
      </w:r>
      <w:r>
        <w:rPr>
          <w:rFonts w:ascii="Consolas" w:cs="Consolas" w:eastAsia="Consolas" w:hAnsi="Consolas"/>
          <w:color w:val="1B4DB8"/>
          <w:sz w:val="19"/>
          <w:szCs w:val="19"/>
        </w:rPr>
        <w:t xml:space="preserve">https://pulseboard-tawny.vercel.app/</w:t>
      </w:r>
      <w:r>
        <w:rPr>
          <w:rFonts w:ascii="Calibri" w:cs="Calibri" w:eastAsia="Calibri" w:hAnsi="Calibri"/>
          <w:color w:val="1A2233"/>
          <w:sz w:val="21"/>
          <w:szCs w:val="21"/>
        </w:rPr>
        <w:t xml:space="preserve"> including </w:t>
      </w:r>
      <w:r>
        <w:rPr>
          <w:rFonts w:ascii="Consolas" w:cs="Consolas" w:eastAsia="Consolas" w:hAnsi="Consolas"/>
          <w:color w:val="1B4DB8"/>
          <w:sz w:val="19"/>
          <w:szCs w:val="19"/>
        </w:rPr>
        <w:t xml:space="preserve">https://</w:t>
      </w:r>
      <w:r>
        <w:rPr>
          <w:rFonts w:ascii="Calibri" w:cs="Calibri" w:eastAsia="Calibri" w:hAnsi="Calibri"/>
          <w:color w:val="1A2233"/>
          <w:sz w:val="21"/>
          <w:szCs w:val="21"/>
        </w:rPr>
        <w:t xml:space="preserve">.</w:t>
      </w:r>
    </w:p>
    <w:p>
      <w:pPr>
        <w:pStyle w:val="ListParagraph"/>
        <w:numPr>
          <w:ilvl w:val="0"/>
          <w:numId w:val="6"/>
        </w:numPr>
        <w:spacing w:after="70" w:line="268"/>
      </w:pPr>
      <w:r>
        <w:rPr>
          <w:rFonts w:ascii="Calibri" w:cs="Calibri" w:eastAsia="Calibri" w:hAnsi="Calibri"/>
          <w:color w:val="1A2233"/>
          <w:sz w:val="21"/>
          <w:szCs w:val="21"/>
        </w:rPr>
        <w:t xml:space="preserve">Close any older debug window before starting a new session.</w:t>
      </w:r>
    </w:p>
    <w:p>
      <w:pPr>
        <w:pStyle w:val="ListParagraph"/>
        <w:numPr>
          <w:ilvl w:val="0"/>
          <w:numId w:val="6"/>
        </w:numPr>
        <w:spacing w:after="70" w:line="268"/>
      </w:pPr>
      <w:r>
        <w:rPr>
          <w:rFonts w:ascii="Calibri" w:cs="Calibri" w:eastAsia="Calibri" w:hAnsi="Calibri"/>
          <w:color w:val="1A2233"/>
          <w:sz w:val="21"/>
          <w:szCs w:val="21"/>
        </w:rPr>
        <w:t xml:space="preserve">Allow pop-ups and third-party cookies temporarily if the browser blocks the preview connection.</w:t>
      </w:r>
    </w:p>
    <w:p>
      <w:pPr>
        <w:pStyle w:val="ListParagraph"/>
        <w:numPr>
          <w:ilvl w:val="0"/>
          <w:numId w:val="6"/>
        </w:numPr>
        <w:spacing w:after="70" w:line="268"/>
      </w:pPr>
      <w:r>
        <w:rPr>
          <w:rFonts w:ascii="Calibri" w:cs="Calibri" w:eastAsia="Calibri" w:hAnsi="Calibri"/>
          <w:color w:val="1A2233"/>
          <w:sz w:val="21"/>
          <w:szCs w:val="21"/>
        </w:rPr>
        <w:t xml:space="preserve">Disable ad-blocking / tracking-protection extensions for the site and Tag Assistant during testing.</w:t>
      </w:r>
    </w:p>
    <w:p>
      <w:pPr>
        <w:pStyle w:val="ListParagraph"/>
        <w:numPr>
          <w:ilvl w:val="0"/>
          <w:numId w:val="6"/>
        </w:numPr>
        <w:spacing w:after="70" w:line="268"/>
      </w:pPr>
      <w:r>
        <w:rPr>
          <w:rFonts w:ascii="Calibri" w:cs="Calibri" w:eastAsia="Calibri" w:hAnsi="Calibri"/>
          <w:color w:val="1A2233"/>
          <w:sz w:val="21"/>
          <w:szCs w:val="21"/>
        </w:rPr>
        <w:t xml:space="preserve">PulseBoard opens with a </w:t>
      </w:r>
      <w:r>
        <w:rPr>
          <w:rFonts w:ascii="Consolas" w:cs="Consolas" w:eastAsia="Consolas" w:hAnsi="Consolas"/>
          <w:color w:val="1B4DB8"/>
          <w:sz w:val="19"/>
          <w:szCs w:val="19"/>
        </w:rPr>
        <w:t xml:space="preserve">gtm_debug</w:t>
      </w:r>
      <w:r>
        <w:rPr>
          <w:rFonts w:ascii="Calibri" w:cs="Calibri" w:eastAsia="Calibri" w:hAnsi="Calibri"/>
          <w:color w:val="1A2233"/>
          <w:sz w:val="21"/>
          <w:szCs w:val="21"/>
        </w:rPr>
        <w:t xml:space="preserve"> query parameter.</w:t>
      </w:r>
    </w:p>
    <w:p>
      <w:pPr>
        <w:pStyle w:val="ListParagraph"/>
        <w:numPr>
          <w:ilvl w:val="0"/>
          <w:numId w:val="6"/>
        </w:numPr>
        <w:spacing w:after="70" w:line="268"/>
      </w:pPr>
      <w:r>
        <w:rPr>
          <w:rFonts w:ascii="Calibri" w:cs="Calibri" w:eastAsia="Calibri" w:hAnsi="Calibri"/>
          <w:color w:val="1A2233"/>
          <w:sz w:val="21"/>
          <w:szCs w:val="21"/>
        </w:rPr>
        <w:t xml:space="preserve">Before consent, Tag Assistant may not find GTM — the app intentionally blocks the container.</w:t>
      </w:r>
    </w:p>
    <w:p>
      <w:pPr>
        <w:pStyle w:val="ListParagraph"/>
        <w:numPr>
          <w:ilvl w:val="0"/>
          <w:numId w:val="6"/>
        </w:numPr>
        <w:spacing w:after="70" w:line="268"/>
      </w:pPr>
      <w:r>
        <w:rPr>
          <w:rFonts w:ascii="Calibri" w:cs="Calibri" w:eastAsia="Calibri" w:hAnsi="Calibri"/>
          <w:color w:val="1A2233"/>
          <w:sz w:val="21"/>
          <w:szCs w:val="21"/>
        </w:rPr>
        <w:t xml:space="preserve">Click </w:t>
      </w:r>
      <w:r>
        <w:rPr>
          <w:rFonts w:ascii="Calibri" w:cs="Calibri" w:eastAsia="Calibri" w:hAnsi="Calibri"/>
          <w:b/>
          <w:bCs/>
          <w:color w:val="1A2233"/>
          <w:sz w:val="21"/>
          <w:szCs w:val="21"/>
        </w:rPr>
        <w:t xml:space="preserve">Allow analytics</w:t>
      </w:r>
      <w:r>
        <w:rPr>
          <w:rFonts w:ascii="Calibri" w:cs="Calibri" w:eastAsia="Calibri" w:hAnsi="Calibri"/>
          <w:color w:val="1A2233"/>
          <w:sz w:val="21"/>
          <w:szCs w:val="21"/>
        </w:rPr>
        <w:t xml:space="preserve">. PulseBoard reloads while preserving the debug URL.</w:t>
      </w:r>
    </w:p>
    <w:p>
      <w:pPr>
        <w:pStyle w:val="ListParagraph"/>
        <w:numPr>
          <w:ilvl w:val="0"/>
          <w:numId w:val="6"/>
        </w:numPr>
        <w:spacing w:after="70" w:line="268"/>
      </w:pPr>
      <w:r>
        <w:rPr>
          <w:rFonts w:ascii="Calibri" w:cs="Calibri" w:eastAsia="Calibri" w:hAnsi="Calibri"/>
          <w:color w:val="1A2233"/>
          <w:sz w:val="21"/>
          <w:szCs w:val="21"/>
        </w:rPr>
        <w:t xml:space="preserve">Tag Assistant should now show </w:t>
      </w:r>
      <w:r>
        <w:rPr>
          <w:rFonts w:ascii="Consolas" w:cs="Consolas" w:eastAsia="Consolas" w:hAnsi="Consolas"/>
          <w:color w:val="1B4DB8"/>
          <w:sz w:val="19"/>
          <w:szCs w:val="19"/>
        </w:rPr>
        <w:t xml:space="preserve">GTM-WHTKJV76</w:t>
      </w:r>
      <w:r>
        <w:rPr>
          <w:rFonts w:ascii="Calibri" w:cs="Calibri" w:eastAsia="Calibri" w:hAnsi="Calibri"/>
          <w:color w:val="1A2233"/>
          <w:sz w:val="21"/>
          <w:szCs w:val="21"/>
        </w:rPr>
        <w:t xml:space="preserve"> and </w:t>
      </w:r>
      <w:r>
        <w:rPr>
          <w:rFonts w:ascii="Consolas" w:cs="Consolas" w:eastAsia="Consolas" w:hAnsi="Consolas"/>
          <w:color w:val="1B4DB8"/>
          <w:sz w:val="19"/>
          <w:szCs w:val="19"/>
        </w:rPr>
        <w:t xml:space="preserve">G-E495LVXW2H</w:t>
      </w:r>
      <w:r>
        <w:rPr>
          <w:rFonts w:ascii="Calibri" w:cs="Calibri" w:eastAsia="Calibri" w:hAnsi="Calibri"/>
          <w:color w:val="1A2233"/>
          <w:sz w:val="21"/>
          <w:szCs w:val="21"/>
        </w:rPr>
        <w:t xml:space="preserve">.</w:t>
      </w:r>
    </w:p>
    <w:p>
      <w:pPr>
        <w:pStyle w:val="Heading2"/>
        <w:spacing w:after="100" w:before="240"/>
      </w:pPr>
      <w:r>
        <w:rPr>
          <w:rFonts w:ascii="Calibri" w:cs="Calibri" w:eastAsia="Calibri" w:hAnsi="Calibri"/>
          <w:b/>
          <w:bCs/>
          <w:color w:val="1B4DB8"/>
          <w:sz w:val="25"/>
          <w:szCs w:val="25"/>
        </w:rPr>
        <w:t xml:space="preserve">Test matrix</w:t>
      </w:r>
    </w:p>
    <w:tbl>
      <w:tblPr>
        <w:tblW w:type="dxa" w:w="9360"/>
        <w:tblBorders>
          <w:top w:val="single" w:color="C9D3E4" w:sz="2"/>
          <w:left w:val="single" w:color="C9D3E4" w:sz="2"/>
          <w:bottom w:val="single" w:color="C9D3E4" w:sz="2"/>
          <w:right w:val="single" w:color="C9D3E4" w:sz="2"/>
          <w:insideH w:val="single" w:color="C9D3E4" w:sz="2"/>
          <w:insideV w:val="single" w:color="C9D3E4" w:sz="2"/>
        </w:tblBorders>
      </w:tblPr>
      <w:tblGrid>
        <w:gridCol w:w="3100"/>
        <w:gridCol w:w="3000"/>
        <w:gridCol w:w="3260"/>
      </w:tblGrid>
      <w:tr>
        <w:trPr>
          <w:tblHeader/>
        </w:trPr>
        <w:tc>
          <w:tcPr>
            <w:tcW w:type="dxa" w:w="3100"/>
            <w:shd w:fill="2F6FED" w:color="auto" w:val="clear"/>
            <w:tcMar>
              <w:top w:type="dxa" w:w="70"/>
              <w:left w:type="dxa" w:w="110"/>
              <w:bottom w:type="dxa" w:w="70"/>
              <w:right w:type="dxa" w:w="110"/>
            </w:tcMar>
            <w:vAlign w:val="center"/>
          </w:tcPr>
          <w:p>
            <w:pPr>
              <w:spacing w:after="0" w:line="258"/>
            </w:pPr>
            <w:r>
              <w:rPr>
                <w:rFonts w:ascii="Calibri" w:cs="Calibri" w:eastAsia="Calibri" w:hAnsi="Calibri"/>
                <w:b/>
                <w:bCs/>
                <w:color w:val="FFFFFF"/>
                <w:sz w:val="19"/>
                <w:szCs w:val="19"/>
              </w:rPr>
              <w:t xml:space="preserve">Test action</w:t>
            </w:r>
          </w:p>
        </w:tc>
        <w:tc>
          <w:tcPr>
            <w:tcW w:type="dxa" w:w="3000"/>
            <w:shd w:fill="2F6FED" w:color="auto" w:val="clear"/>
            <w:tcMar>
              <w:top w:type="dxa" w:w="70"/>
              <w:left w:type="dxa" w:w="110"/>
              <w:bottom w:type="dxa" w:w="70"/>
              <w:right w:type="dxa" w:w="110"/>
            </w:tcMar>
            <w:vAlign w:val="center"/>
          </w:tcPr>
          <w:p>
            <w:pPr>
              <w:spacing w:after="0" w:line="258"/>
            </w:pPr>
            <w:r>
              <w:rPr>
                <w:rFonts w:ascii="Calibri" w:cs="Calibri" w:eastAsia="Calibri" w:hAnsi="Calibri"/>
                <w:b/>
                <w:bCs/>
                <w:color w:val="FFFFFF"/>
                <w:sz w:val="19"/>
                <w:szCs w:val="19"/>
              </w:rPr>
              <w:t xml:space="preserve">Expected data-layer event</w:t>
            </w:r>
          </w:p>
        </w:tc>
        <w:tc>
          <w:tcPr>
            <w:tcW w:type="dxa" w:w="3260"/>
            <w:shd w:fill="2F6FED" w:color="auto" w:val="clear"/>
            <w:tcMar>
              <w:top w:type="dxa" w:w="70"/>
              <w:left w:type="dxa" w:w="110"/>
              <w:bottom w:type="dxa" w:w="70"/>
              <w:right w:type="dxa" w:w="110"/>
            </w:tcMar>
            <w:vAlign w:val="center"/>
          </w:tcPr>
          <w:p>
            <w:pPr>
              <w:spacing w:after="0" w:line="258"/>
            </w:pPr>
            <w:r>
              <w:rPr>
                <w:rFonts w:ascii="Calibri" w:cs="Calibri" w:eastAsia="Calibri" w:hAnsi="Calibri"/>
                <w:b/>
                <w:bCs/>
                <w:color w:val="FFFFFF"/>
                <w:sz w:val="19"/>
                <w:szCs w:val="19"/>
              </w:rPr>
              <w:t xml:space="preserve">Expected GTM tag</w:t>
            </w:r>
          </w:p>
        </w:tc>
      </w:tr>
      <w:tr>
        <w:tc>
          <w:tcPr>
            <w:tcW w:type="dxa" w:w="31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Open a page after consent</w:t>
            </w:r>
          </w:p>
        </w:tc>
        <w:tc>
          <w:tcPr>
            <w:tcW w:type="dxa" w:w="30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page_view</w:t>
            </w:r>
          </w:p>
        </w:tc>
        <w:tc>
          <w:tcPr>
            <w:tcW w:type="dxa" w:w="326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Google Tag - GA4 / Enhanced Measurement</w:t>
            </w:r>
          </w:p>
        </w:tc>
      </w:tr>
      <w:tr>
        <w:tc>
          <w:tcPr>
            <w:tcW w:type="dxa" w:w="31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Click Explore customer feedback</w:t>
            </w:r>
          </w:p>
        </w:tc>
        <w:tc>
          <w:tcPr>
            <w:tcW w:type="dxa" w:w="30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cta_click</w:t>
            </w:r>
          </w:p>
        </w:tc>
        <w:tc>
          <w:tcPr>
            <w:tcW w:type="dxa" w:w="326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GA4 Event - CTA Click</w:t>
            </w:r>
          </w:p>
        </w:tc>
      </w:tr>
      <w:tr>
        <w:tc>
          <w:tcPr>
            <w:tcW w:type="dxa" w:w="31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Open a product detail page</w:t>
            </w:r>
          </w:p>
        </w:tc>
        <w:tc>
          <w:tcPr>
            <w:tcW w:type="dxa" w:w="30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product_view</w:t>
            </w:r>
          </w:p>
        </w:tc>
        <w:tc>
          <w:tcPr>
            <w:tcW w:type="dxa" w:w="326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GA4 Event - Product View</w:t>
            </w:r>
          </w:p>
        </w:tc>
      </w:tr>
      <w:tr>
        <w:tc>
          <w:tcPr>
            <w:tcW w:type="dxa" w:w="31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Upvote a feature</w:t>
            </w:r>
          </w:p>
        </w:tc>
        <w:tc>
          <w:tcPr>
            <w:tcW w:type="dxa" w:w="30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feature_upvote</w:t>
            </w:r>
          </w:p>
        </w:tc>
        <w:tc>
          <w:tcPr>
            <w:tcW w:type="dxa" w:w="326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GA4 Event - Feature Upvote</w:t>
            </w:r>
          </w:p>
        </w:tc>
      </w:tr>
      <w:tr>
        <w:tc>
          <w:tcPr>
            <w:tcW w:type="dxa" w:w="31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Successfully submit an idea</w:t>
            </w:r>
          </w:p>
        </w:tc>
        <w:tc>
          <w:tcPr>
            <w:tcW w:type="dxa" w:w="30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feature_request_submit</w:t>
            </w:r>
          </w:p>
        </w:tc>
        <w:tc>
          <w:tcPr>
            <w:tcW w:type="dxa" w:w="326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GA4 Event - Feature Request Submit</w:t>
            </w:r>
          </w:p>
        </w:tc>
      </w:tr>
      <w:tr>
        <w:tc>
          <w:tcPr>
            <w:tcW w:type="dxa" w:w="31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Successfully subscribe</w:t>
            </w:r>
          </w:p>
        </w:tc>
        <w:tc>
          <w:tcPr>
            <w:tcW w:type="dxa" w:w="30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generate_lead</w:t>
            </w:r>
          </w:p>
        </w:tc>
        <w:tc>
          <w:tcPr>
            <w:tcW w:type="dxa" w:w="326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GA4 Event - Generate Lead</w:t>
            </w:r>
          </w:p>
        </w:tc>
      </w:tr>
    </w:tbl>
    <w:p>
      <w:pPr>
        <w:pStyle w:val="Heading2"/>
        <w:spacing w:after="100" w:before="240"/>
      </w:pPr>
      <w:r>
        <w:rPr>
          <w:rFonts w:ascii="Calibri" w:cs="Calibri" w:eastAsia="Calibri" w:hAnsi="Calibri"/>
          <w:b/>
          <w:bCs/>
          <w:color w:val="1B4DB8"/>
          <w:sz w:val="25"/>
          <w:szCs w:val="25"/>
        </w:rPr>
        <w:t xml:space="preserve">For every custom event</w:t>
      </w:r>
    </w:p>
    <w:p>
      <w:pPr>
        <w:pStyle w:val="ListParagraph"/>
        <w:numPr>
          <w:ilvl w:val="0"/>
          <w:numId w:val="7"/>
        </w:numPr>
        <w:spacing w:after="70" w:line="268"/>
      </w:pPr>
      <w:r>
        <w:rPr>
          <w:rFonts w:ascii="Calibri" w:cs="Calibri" w:eastAsia="Calibri" w:hAnsi="Calibri"/>
          <w:color w:val="1A2233"/>
          <w:sz w:val="21"/>
          <w:szCs w:val="21"/>
        </w:rPr>
        <w:t xml:space="preserve">Select the event in the Tag Assistant timeline.</w:t>
      </w:r>
    </w:p>
    <w:p>
      <w:pPr>
        <w:pStyle w:val="ListParagraph"/>
        <w:numPr>
          <w:ilvl w:val="0"/>
          <w:numId w:val="7"/>
        </w:numPr>
        <w:spacing w:after="70" w:line="268"/>
      </w:pPr>
      <w:r>
        <w:rPr>
          <w:rFonts w:ascii="Calibri" w:cs="Calibri" w:eastAsia="Calibri" w:hAnsi="Calibri"/>
          <w:color w:val="1A2233"/>
          <w:sz w:val="21"/>
          <w:szCs w:val="21"/>
        </w:rPr>
        <w:t xml:space="preserve">Confirm its GA4 Event tag appears under </w:t>
      </w:r>
      <w:r>
        <w:rPr>
          <w:rFonts w:ascii="Calibri" w:cs="Calibri" w:eastAsia="Calibri" w:hAnsi="Calibri"/>
          <w:b/>
          <w:bCs/>
          <w:color w:val="1A2233"/>
          <w:sz w:val="21"/>
          <w:szCs w:val="21"/>
        </w:rPr>
        <w:t xml:space="preserve">Tags Fired</w:t>
      </w:r>
      <w:r>
        <w:rPr>
          <w:rFonts w:ascii="Calibri" w:cs="Calibri" w:eastAsia="Calibri" w:hAnsi="Calibri"/>
          <w:color w:val="1A2233"/>
          <w:sz w:val="21"/>
          <w:szCs w:val="21"/>
        </w:rPr>
        <w:t xml:space="preserve">.</w:t>
      </w:r>
    </w:p>
    <w:p>
      <w:pPr>
        <w:pStyle w:val="ListParagraph"/>
        <w:numPr>
          <w:ilvl w:val="0"/>
          <w:numId w:val="7"/>
        </w:numPr>
        <w:spacing w:after="70" w:line="268"/>
      </w:pPr>
      <w:r>
        <w:rPr>
          <w:rFonts w:ascii="Calibri" w:cs="Calibri" w:eastAsia="Calibri" w:hAnsi="Calibri"/>
          <w:color w:val="1A2233"/>
          <w:sz w:val="21"/>
          <w:szCs w:val="21"/>
        </w:rPr>
        <w:t xml:space="preserve">Open </w:t>
      </w:r>
      <w:r>
        <w:rPr>
          <w:rFonts w:ascii="Calibri" w:cs="Calibri" w:eastAsia="Calibri" w:hAnsi="Calibri"/>
          <w:b/>
          <w:bCs/>
          <w:color w:val="1A2233"/>
          <w:sz w:val="21"/>
          <w:szCs w:val="21"/>
        </w:rPr>
        <w:t xml:space="preserve">Variables</w:t>
      </w:r>
      <w:r>
        <w:rPr>
          <w:rFonts w:ascii="Calibri" w:cs="Calibri" w:eastAsia="Calibri" w:hAnsi="Calibri"/>
          <w:color w:val="1A2233"/>
          <w:sz w:val="21"/>
          <w:szCs w:val="21"/>
        </w:rPr>
        <w:t xml:space="preserve"> and confirm each value is populated, not </w:t>
      </w:r>
      <w:r>
        <w:rPr>
          <w:rFonts w:ascii="Consolas" w:cs="Consolas" w:eastAsia="Consolas" w:hAnsi="Consolas"/>
          <w:color w:val="1B4DB8"/>
          <w:sz w:val="19"/>
          <w:szCs w:val="19"/>
        </w:rPr>
        <w:t xml:space="preserve">undefined</w:t>
      </w:r>
      <w:r>
        <w:rPr>
          <w:rFonts w:ascii="Calibri" w:cs="Calibri" w:eastAsia="Calibri" w:hAnsi="Calibri"/>
          <w:color w:val="1A2233"/>
          <w:sz w:val="21"/>
          <w:szCs w:val="21"/>
        </w:rPr>
        <w:t xml:space="preserve">.</w:t>
      </w:r>
    </w:p>
    <w:p>
      <w:pPr>
        <w:pStyle w:val="ListParagraph"/>
        <w:numPr>
          <w:ilvl w:val="0"/>
          <w:numId w:val="7"/>
        </w:numPr>
        <w:spacing w:after="70" w:line="268"/>
      </w:pPr>
      <w:r>
        <w:rPr>
          <w:rFonts w:ascii="Calibri" w:cs="Calibri" w:eastAsia="Calibri" w:hAnsi="Calibri"/>
          <w:color w:val="1A2233"/>
          <w:sz w:val="21"/>
          <w:szCs w:val="21"/>
        </w:rPr>
        <w:t xml:space="preserve">Open </w:t>
      </w:r>
      <w:r>
        <w:rPr>
          <w:rFonts w:ascii="Calibri" w:cs="Calibri" w:eastAsia="Calibri" w:hAnsi="Calibri"/>
          <w:b/>
          <w:bCs/>
          <w:color w:val="1A2233"/>
          <w:sz w:val="21"/>
          <w:szCs w:val="21"/>
        </w:rPr>
        <w:t xml:space="preserve">Data Layer</w:t>
      </w:r>
      <w:r>
        <w:rPr>
          <w:rFonts w:ascii="Calibri" w:cs="Calibri" w:eastAsia="Calibri" w:hAnsi="Calibri"/>
          <w:color w:val="1A2233"/>
          <w:sz w:val="21"/>
          <w:szCs w:val="21"/>
        </w:rPr>
        <w:t xml:space="preserve"> and verify the payload shape.</w:t>
      </w:r>
    </w:p>
    <w:p>
      <w:pPr>
        <w:pStyle w:val="ListParagraph"/>
        <w:numPr>
          <w:ilvl w:val="0"/>
          <w:numId w:val="7"/>
        </w:numPr>
        <w:spacing w:after="70" w:line="268"/>
      </w:pPr>
      <w:r>
        <w:rPr>
          <w:rFonts w:ascii="Calibri" w:cs="Calibri" w:eastAsia="Calibri" w:hAnsi="Calibri"/>
          <w:color w:val="1A2233"/>
          <w:sz w:val="21"/>
          <w:szCs w:val="21"/>
        </w:rPr>
        <w:t xml:space="preserve">Confirm the tag fired once, not twice.</w:t>
      </w:r>
    </w:p>
    <w:p>
      <w:pPr>
        <w:pStyle w:val="ListParagraph"/>
        <w:numPr>
          <w:ilvl w:val="0"/>
          <w:numId w:val="7"/>
        </w:numPr>
        <w:spacing w:after="70" w:line="268"/>
      </w:pPr>
      <w:r>
        <w:rPr>
          <w:rFonts w:ascii="Calibri" w:cs="Calibri" w:eastAsia="Calibri" w:hAnsi="Calibri"/>
          <w:color w:val="1A2233"/>
          <w:sz w:val="21"/>
          <w:szCs w:val="21"/>
        </w:rPr>
        <w:t xml:space="preserve">Confirm the event in GA4 DebugView or Realtime.</w:t>
      </w:r>
    </w:p>
    <w:p>
      <w:pPr>
        <w:pStyle w:val="ListParagraph"/>
        <w:numPr>
          <w:ilvl w:val="0"/>
          <w:numId w:val="7"/>
        </w:numPr>
        <w:spacing w:after="70" w:line="268"/>
      </w:pPr>
      <w:r>
        <w:rPr>
          <w:rFonts w:ascii="Calibri" w:cs="Calibri" w:eastAsia="Calibri" w:hAnsi="Calibri"/>
          <w:color w:val="1A2233"/>
          <w:sz w:val="21"/>
          <w:szCs w:val="21"/>
        </w:rPr>
        <w:t xml:space="preserve">Confirm no email, request text, or visitor identifier appears in the payload.</w:t>
      </w:r>
    </w:p>
    <w:p>
      <w:pPr>
        <w:pStyle w:val="Heading2"/>
        <w:spacing w:after="100" w:before="240"/>
      </w:pPr>
      <w:r>
        <w:rPr>
          <w:rFonts w:ascii="Calibri" w:cs="Calibri" w:eastAsia="Calibri" w:hAnsi="Calibri"/>
          <w:b/>
          <w:bCs/>
          <w:color w:val="1B4DB8"/>
          <w:sz w:val="25"/>
          <w:szCs w:val="25"/>
        </w:rPr>
        <w:t xml:space="preserve">Consent regression tests</w:t>
      </w:r>
    </w:p>
    <w:p>
      <w:pPr>
        <w:pStyle w:val="ListParagraph"/>
        <w:numPr>
          <w:ilvl w:val="0"/>
          <w:numId w:val="8"/>
        </w:numPr>
        <w:spacing w:after="70" w:line="268"/>
      </w:pPr>
      <w:r>
        <w:rPr>
          <w:rFonts w:ascii="Calibri" w:cs="Calibri" w:eastAsia="Calibri" w:hAnsi="Calibri"/>
          <w:color w:val="1A2233"/>
          <w:sz w:val="21"/>
          <w:szCs w:val="21"/>
        </w:rPr>
        <w:t xml:space="preserve">In the footer, open </w:t>
      </w:r>
      <w:r>
        <w:rPr>
          <w:rFonts w:ascii="Calibri" w:cs="Calibri" w:eastAsia="Calibri" w:hAnsi="Calibri"/>
          <w:b/>
          <w:bCs/>
          <w:color w:val="1A2233"/>
          <w:sz w:val="21"/>
          <w:szCs w:val="21"/>
        </w:rPr>
        <w:t xml:space="preserve">Privacy choices</w:t>
      </w:r>
      <w:r>
        <w:rPr>
          <w:rFonts w:ascii="Calibri" w:cs="Calibri" w:eastAsia="Calibri" w:hAnsi="Calibri"/>
          <w:color w:val="1A2233"/>
          <w:sz w:val="21"/>
          <w:szCs w:val="21"/>
        </w:rPr>
        <w:t xml:space="preserve">.</w:t>
      </w:r>
    </w:p>
    <w:p>
      <w:pPr>
        <w:pStyle w:val="ListParagraph"/>
        <w:numPr>
          <w:ilvl w:val="0"/>
          <w:numId w:val="8"/>
        </w:numPr>
        <w:spacing w:after="70" w:line="268"/>
      </w:pPr>
      <w:r>
        <w:rPr>
          <w:rFonts w:ascii="Calibri" w:cs="Calibri" w:eastAsia="Calibri" w:hAnsi="Calibri"/>
          <w:color w:val="1A2233"/>
          <w:sz w:val="21"/>
          <w:szCs w:val="21"/>
        </w:rPr>
        <w:t xml:space="preserve">Choose </w:t>
      </w:r>
      <w:r>
        <w:rPr>
          <w:rFonts w:ascii="Calibri" w:cs="Calibri" w:eastAsia="Calibri" w:hAnsi="Calibri"/>
          <w:b/>
          <w:bCs/>
          <w:color w:val="1A2233"/>
          <w:sz w:val="21"/>
          <w:szCs w:val="21"/>
        </w:rPr>
        <w:t xml:space="preserve">Decline</w:t>
      </w:r>
      <w:r>
        <w:rPr>
          <w:rFonts w:ascii="Calibri" w:cs="Calibri" w:eastAsia="Calibri" w:hAnsi="Calibri"/>
          <w:color w:val="1A2233"/>
          <w:sz w:val="21"/>
          <w:szCs w:val="21"/>
        </w:rPr>
        <w:t xml:space="preserve"> and confirm the page reloads.</w:t>
      </w:r>
    </w:p>
    <w:p>
      <w:pPr>
        <w:pStyle w:val="ListParagraph"/>
        <w:numPr>
          <w:ilvl w:val="0"/>
          <w:numId w:val="8"/>
        </w:numPr>
        <w:spacing w:after="70" w:line="268"/>
      </w:pPr>
      <w:r>
        <w:rPr>
          <w:rFonts w:ascii="Calibri" w:cs="Calibri" w:eastAsia="Calibri" w:hAnsi="Calibri"/>
          <w:color w:val="1A2233"/>
          <w:sz w:val="21"/>
          <w:szCs w:val="21"/>
        </w:rPr>
        <w:t xml:space="preserve">Confirm no new GTM or GA4 requests occur after the reload.</w:t>
      </w:r>
    </w:p>
    <w:p>
      <w:pPr>
        <w:pStyle w:val="ListParagraph"/>
        <w:numPr>
          <w:ilvl w:val="0"/>
          <w:numId w:val="8"/>
        </w:numPr>
        <w:spacing w:after="70" w:line="268"/>
      </w:pPr>
      <w:r>
        <w:rPr>
          <w:rFonts w:ascii="Calibri" w:cs="Calibri" w:eastAsia="Calibri" w:hAnsi="Calibri"/>
          <w:color w:val="1A2233"/>
          <w:sz w:val="21"/>
          <w:szCs w:val="21"/>
        </w:rPr>
        <w:t xml:space="preserve">Reopen Privacy choices, allow analytics, and confirm tracking resumes after reload.</w:t>
      </w:r>
    </w:p>
    <w:p>
      <w:pPr>
        <w:pStyle w:val="ListParagraph"/>
        <w:numPr>
          <w:ilvl w:val="0"/>
          <w:numId w:val="8"/>
        </w:numPr>
        <w:spacing w:after="70" w:line="268"/>
      </w:pPr>
      <w:r>
        <w:rPr>
          <w:rFonts w:ascii="Calibri" w:cs="Calibri" w:eastAsia="Calibri" w:hAnsi="Calibri"/>
          <w:color w:val="1A2233"/>
          <w:sz w:val="21"/>
          <w:szCs w:val="21"/>
        </w:rPr>
        <w:t xml:space="preserve">Test in a private window to reproduce the first-visit experience.</w:t>
      </w:r>
    </w:p>
    <w:p>
      <w:r>
        <w:br w:type="page"/>
      </w:r>
    </w:p>
    <w:p>
      <w:pPr>
        <w:pStyle w:val="Heading1"/>
        <w:spacing w:after="140" w:before="320"/>
      </w:pPr>
      <w:r>
        <w:rPr>
          <w:rFonts w:ascii="Calibri" w:cs="Calibri" w:eastAsia="Calibri" w:hAnsi="Calibri"/>
          <w:b/>
          <w:bCs/>
          <w:color w:val="1A2233"/>
          <w:sz w:val="30"/>
          <w:szCs w:val="30"/>
        </w:rPr>
        <w:t xml:space="preserve">9. Publish &amp; deploy workflow</w:t>
      </w:r>
    </w:p>
    <w:p>
      <w:pPr>
        <w:pStyle w:val="Heading2"/>
        <w:spacing w:after="100" w:before="240"/>
      </w:pPr>
      <w:r>
        <w:rPr>
          <w:rFonts w:ascii="Calibri" w:cs="Calibri" w:eastAsia="Calibri" w:hAnsi="Calibri"/>
          <w:b/>
          <w:bCs/>
          <w:color w:val="1B4DB8"/>
          <w:sz w:val="25"/>
          <w:szCs w:val="25"/>
        </w:rPr>
        <w:t xml:space="preserve">Application changes</w:t>
      </w:r>
    </w:p>
    <w:p>
      <w:pPr>
        <w:pStyle w:val="ListParagraph"/>
        <w:numPr>
          <w:ilvl w:val="0"/>
          <w:numId w:val="9"/>
        </w:numPr>
        <w:spacing w:after="70" w:line="268"/>
      </w:pPr>
      <w:r>
        <w:rPr>
          <w:rFonts w:ascii="Calibri" w:cs="Calibri" w:eastAsia="Calibri" w:hAnsi="Calibri"/>
          <w:color w:val="1A2233"/>
          <w:sz w:val="21"/>
          <w:szCs w:val="21"/>
        </w:rPr>
        <w:t xml:space="preserve">Run </w:t>
      </w:r>
      <w:r>
        <w:rPr>
          <w:rFonts w:ascii="Consolas" w:cs="Consolas" w:eastAsia="Consolas" w:hAnsi="Consolas"/>
          <w:color w:val="1B4DB8"/>
          <w:sz w:val="19"/>
          <w:szCs w:val="19"/>
        </w:rPr>
        <w:t xml:space="preserve">npm run lint</w:t>
      </w:r>
      <w:r>
        <w:rPr>
          <w:rFonts w:ascii="Calibri" w:cs="Calibri" w:eastAsia="Calibri" w:hAnsi="Calibri"/>
          <w:color w:val="1A2233"/>
          <w:sz w:val="21"/>
          <w:szCs w:val="21"/>
        </w:rPr>
        <w:t xml:space="preserve">.</w:t>
      </w:r>
    </w:p>
    <w:p>
      <w:pPr>
        <w:pStyle w:val="ListParagraph"/>
        <w:numPr>
          <w:ilvl w:val="0"/>
          <w:numId w:val="9"/>
        </w:numPr>
        <w:spacing w:after="70" w:line="268"/>
      </w:pPr>
      <w:r>
        <w:rPr>
          <w:rFonts w:ascii="Calibri" w:cs="Calibri" w:eastAsia="Calibri" w:hAnsi="Calibri"/>
          <w:color w:val="1A2233"/>
          <w:sz w:val="21"/>
          <w:szCs w:val="21"/>
        </w:rPr>
        <w:t xml:space="preserve">Run </w:t>
      </w:r>
      <w:r>
        <w:rPr>
          <w:rFonts w:ascii="Consolas" w:cs="Consolas" w:eastAsia="Consolas" w:hAnsi="Consolas"/>
          <w:color w:val="1B4DB8"/>
          <w:sz w:val="19"/>
          <w:szCs w:val="19"/>
        </w:rPr>
        <w:t xml:space="preserve">npx tsc --noEmit</w:t>
      </w:r>
      <w:r>
        <w:rPr>
          <w:rFonts w:ascii="Calibri" w:cs="Calibri" w:eastAsia="Calibri" w:hAnsi="Calibri"/>
          <w:color w:val="1A2233"/>
          <w:sz w:val="21"/>
          <w:szCs w:val="21"/>
        </w:rPr>
        <w:t xml:space="preserve">.</w:t>
      </w:r>
    </w:p>
    <w:p>
      <w:pPr>
        <w:pStyle w:val="ListParagraph"/>
        <w:numPr>
          <w:ilvl w:val="0"/>
          <w:numId w:val="9"/>
        </w:numPr>
        <w:spacing w:after="70" w:line="268"/>
      </w:pPr>
      <w:r>
        <w:rPr>
          <w:rFonts w:ascii="Calibri" w:cs="Calibri" w:eastAsia="Calibri" w:hAnsi="Calibri"/>
          <w:color w:val="1A2233"/>
          <w:sz w:val="21"/>
          <w:szCs w:val="21"/>
        </w:rPr>
        <w:t xml:space="preserve">Run </w:t>
      </w:r>
      <w:r>
        <w:rPr>
          <w:rFonts w:ascii="Consolas" w:cs="Consolas" w:eastAsia="Consolas" w:hAnsi="Consolas"/>
          <w:color w:val="1B4DB8"/>
          <w:sz w:val="19"/>
          <w:szCs w:val="19"/>
        </w:rPr>
        <w:t xml:space="preserve">npm run build</w:t>
      </w:r>
      <w:r>
        <w:rPr>
          <w:rFonts w:ascii="Calibri" w:cs="Calibri" w:eastAsia="Calibri" w:hAnsi="Calibri"/>
          <w:color w:val="1A2233"/>
          <w:sz w:val="21"/>
          <w:szCs w:val="21"/>
        </w:rPr>
        <w:t xml:space="preserve">.</w:t>
      </w:r>
    </w:p>
    <w:p>
      <w:pPr>
        <w:pStyle w:val="ListParagraph"/>
        <w:numPr>
          <w:ilvl w:val="0"/>
          <w:numId w:val="9"/>
        </w:numPr>
        <w:spacing w:after="70" w:line="268"/>
      </w:pPr>
      <w:r>
        <w:rPr>
          <w:rFonts w:ascii="Calibri" w:cs="Calibri" w:eastAsia="Calibri" w:hAnsi="Calibri"/>
          <w:color w:val="1A2233"/>
          <w:sz w:val="21"/>
          <w:szCs w:val="21"/>
        </w:rPr>
        <w:t xml:space="preserve">Commit and push to the connected GitHub </w:t>
      </w:r>
      <w:r>
        <w:rPr>
          <w:rFonts w:ascii="Consolas" w:cs="Consolas" w:eastAsia="Consolas" w:hAnsi="Consolas"/>
          <w:color w:val="1B4DB8"/>
          <w:sz w:val="19"/>
          <w:szCs w:val="19"/>
        </w:rPr>
        <w:t xml:space="preserve">main</w:t>
      </w:r>
      <w:r>
        <w:rPr>
          <w:rFonts w:ascii="Calibri" w:cs="Calibri" w:eastAsia="Calibri" w:hAnsi="Calibri"/>
          <w:color w:val="1A2233"/>
          <w:sz w:val="21"/>
          <w:szCs w:val="21"/>
        </w:rPr>
        <w:t xml:space="preserve"> branch.</w:t>
      </w:r>
    </w:p>
    <w:p>
      <w:pPr>
        <w:pStyle w:val="ListParagraph"/>
        <w:numPr>
          <w:ilvl w:val="0"/>
          <w:numId w:val="9"/>
        </w:numPr>
        <w:spacing w:after="70" w:line="268"/>
      </w:pPr>
      <w:r>
        <w:rPr>
          <w:rFonts w:ascii="Calibri" w:cs="Calibri" w:eastAsia="Calibri" w:hAnsi="Calibri"/>
          <w:color w:val="1A2233"/>
          <w:sz w:val="21"/>
          <w:szCs w:val="21"/>
        </w:rPr>
        <w:t xml:space="preserve">Vercel creates a new production deployment.</w:t>
      </w:r>
    </w:p>
    <w:p>
      <w:pPr>
        <w:pStyle w:val="ListParagraph"/>
        <w:numPr>
          <w:ilvl w:val="0"/>
          <w:numId w:val="9"/>
        </w:numPr>
        <w:spacing w:after="70" w:line="268"/>
      </w:pPr>
      <w:r>
        <w:rPr>
          <w:rFonts w:ascii="Calibri" w:cs="Calibri" w:eastAsia="Calibri" w:hAnsi="Calibri"/>
          <w:color w:val="1A2233"/>
          <w:sz w:val="21"/>
          <w:szCs w:val="21"/>
        </w:rPr>
        <w:t xml:space="preserve">Repeat the consent and Tag Assistant smoke tests on the production URL.</w:t>
      </w:r>
    </w:p>
    <w:p>
      <w:pPr>
        <w:pStyle w:val="Heading2"/>
        <w:spacing w:after="100" w:before="240"/>
      </w:pPr>
      <w:r>
        <w:rPr>
          <w:rFonts w:ascii="Calibri" w:cs="Calibri" w:eastAsia="Calibri" w:hAnsi="Calibri"/>
          <w:b/>
          <w:bCs/>
          <w:color w:val="1B4DB8"/>
          <w:sz w:val="25"/>
          <w:szCs w:val="25"/>
        </w:rPr>
        <w:t xml:space="preserve">GTM changes</w:t>
      </w:r>
    </w:p>
    <w:p>
      <w:pPr>
        <w:pStyle w:val="ListParagraph"/>
        <w:numPr>
          <w:ilvl w:val="0"/>
          <w:numId w:val="10"/>
        </w:numPr>
        <w:spacing w:after="70" w:line="268"/>
      </w:pPr>
      <w:r>
        <w:rPr>
          <w:rFonts w:ascii="Calibri" w:cs="Calibri" w:eastAsia="Calibri" w:hAnsi="Calibri"/>
          <w:color w:val="1A2233"/>
          <w:sz w:val="21"/>
          <w:szCs w:val="21"/>
        </w:rPr>
        <w:t xml:space="preserve">Preview the workspace.</w:t>
      </w:r>
    </w:p>
    <w:p>
      <w:pPr>
        <w:pStyle w:val="ListParagraph"/>
        <w:numPr>
          <w:ilvl w:val="0"/>
          <w:numId w:val="10"/>
        </w:numPr>
        <w:spacing w:after="70" w:line="268"/>
      </w:pPr>
      <w:r>
        <w:rPr>
          <w:rFonts w:ascii="Calibri" w:cs="Calibri" w:eastAsia="Calibri" w:hAnsi="Calibri"/>
          <w:color w:val="1A2233"/>
          <w:sz w:val="21"/>
          <w:szCs w:val="21"/>
        </w:rPr>
        <w:t xml:space="preserve">Test all affected events.</w:t>
      </w:r>
    </w:p>
    <w:p>
      <w:pPr>
        <w:pStyle w:val="ListParagraph"/>
        <w:numPr>
          <w:ilvl w:val="0"/>
          <w:numId w:val="10"/>
        </w:numPr>
        <w:spacing w:after="70" w:line="268"/>
      </w:pPr>
      <w:r>
        <w:rPr>
          <w:rFonts w:ascii="Calibri" w:cs="Calibri" w:eastAsia="Calibri" w:hAnsi="Calibri"/>
          <w:color w:val="1A2233"/>
          <w:sz w:val="21"/>
          <w:szCs w:val="21"/>
        </w:rPr>
        <w:t xml:space="preserve">Click </w:t>
      </w:r>
      <w:r>
        <w:rPr>
          <w:rFonts w:ascii="Calibri" w:cs="Calibri" w:eastAsia="Calibri" w:hAnsi="Calibri"/>
          <w:b/>
          <w:bCs/>
          <w:color w:val="1A2233"/>
          <w:sz w:val="21"/>
          <w:szCs w:val="21"/>
        </w:rPr>
        <w:t xml:space="preserve">Submit</w:t>
      </w:r>
      <w:r>
        <w:rPr>
          <w:rFonts w:ascii="Calibri" w:cs="Calibri" w:eastAsia="Calibri" w:hAnsi="Calibri"/>
          <w:color w:val="1A2233"/>
          <w:sz w:val="21"/>
          <w:szCs w:val="21"/>
        </w:rPr>
        <w:t xml:space="preserve">.</w:t>
      </w:r>
    </w:p>
    <w:p>
      <w:pPr>
        <w:pStyle w:val="ListParagraph"/>
        <w:numPr>
          <w:ilvl w:val="0"/>
          <w:numId w:val="10"/>
        </w:numPr>
        <w:spacing w:after="70" w:line="268"/>
      </w:pPr>
      <w:r>
        <w:rPr>
          <w:rFonts w:ascii="Calibri" w:cs="Calibri" w:eastAsia="Calibri" w:hAnsi="Calibri"/>
          <w:color w:val="1A2233"/>
          <w:sz w:val="21"/>
          <w:szCs w:val="21"/>
        </w:rPr>
        <w:t xml:space="preserve">Choose </w:t>
      </w:r>
      <w:r>
        <w:rPr>
          <w:rFonts w:ascii="Calibri" w:cs="Calibri" w:eastAsia="Calibri" w:hAnsi="Calibri"/>
          <w:b/>
          <w:bCs/>
          <w:color w:val="1A2233"/>
          <w:sz w:val="21"/>
          <w:szCs w:val="21"/>
        </w:rPr>
        <w:t xml:space="preserve">Publish and Create Version</w:t>
      </w:r>
      <w:r>
        <w:rPr>
          <w:rFonts w:ascii="Calibri" w:cs="Calibri" w:eastAsia="Calibri" w:hAnsi="Calibri"/>
          <w:color w:val="1A2233"/>
          <w:sz w:val="21"/>
          <w:szCs w:val="21"/>
        </w:rPr>
        <w:t xml:space="preserve">.</w:t>
      </w:r>
    </w:p>
    <w:p>
      <w:pPr>
        <w:pStyle w:val="ListParagraph"/>
        <w:numPr>
          <w:ilvl w:val="0"/>
          <w:numId w:val="10"/>
        </w:numPr>
        <w:spacing w:after="70" w:line="268"/>
      </w:pPr>
      <w:r>
        <w:rPr>
          <w:rFonts w:ascii="Calibri" w:cs="Calibri" w:eastAsia="Calibri" w:hAnsi="Calibri"/>
          <w:color w:val="1A2233"/>
          <w:sz w:val="21"/>
          <w:szCs w:val="21"/>
        </w:rPr>
        <w:t xml:space="preserve">Give the version a meaningful name, e.g. </w:t>
      </w:r>
      <w:r>
        <w:rPr>
          <w:rFonts w:ascii="Consolas" w:cs="Consolas" w:eastAsia="Consolas" w:hAnsi="Consolas"/>
          <w:color w:val="1B4DB8"/>
          <w:sz w:val="19"/>
          <w:szCs w:val="19"/>
        </w:rPr>
        <w:t xml:space="preserve">PulseBoard product events v1</w:t>
      </w:r>
      <w:r>
        <w:rPr>
          <w:rFonts w:ascii="Calibri" w:cs="Calibri" w:eastAsia="Calibri" w:hAnsi="Calibri"/>
          <w:color w:val="1A2233"/>
          <w:sz w:val="21"/>
          <w:szCs w:val="21"/>
        </w:rPr>
        <w:t xml:space="preserve">.</w:t>
      </w:r>
    </w:p>
    <w:p>
      <w:pPr>
        <w:pStyle w:val="ListParagraph"/>
        <w:numPr>
          <w:ilvl w:val="0"/>
          <w:numId w:val="10"/>
        </w:numPr>
        <w:spacing w:after="70" w:line="268"/>
      </w:pPr>
      <w:r>
        <w:rPr>
          <w:rFonts w:ascii="Calibri" w:cs="Calibri" w:eastAsia="Calibri" w:hAnsi="Calibri"/>
          <w:color w:val="1A2233"/>
          <w:sz w:val="21"/>
          <w:szCs w:val="21"/>
        </w:rPr>
        <w:t xml:space="preserve">Describe the tags, triggers, variables, or parameter changes.</w:t>
      </w:r>
    </w:p>
    <w:tbl>
      <w:tblPr>
        <w:tblW w:type="dxa" w:w="9360"/>
        <w:tblBorders>
          <w:top w:val="none"/>
          <w:left w:val="single" w:color="9A5B00" w:sz="24"/>
          <w:bottom w:val="none"/>
          <w:right w:val="none"/>
          <w:insideH w:val="none"/>
          <w:insideV w:val="none"/>
        </w:tblBorders>
      </w:tblPr>
      <w:tblGrid>
        <w:gridCol w:w="9360"/>
      </w:tblGrid>
      <w:tr>
        <w:tc>
          <w:tcPr>
            <w:tcW w:type="dxa" w:w="9360"/>
            <w:shd w:fill="FFF6E6" w:color="auto" w:val="clear"/>
            <w:tcMar>
              <w:top w:type="dxa" w:w="100"/>
              <w:left w:type="dxa" w:w="160"/>
              <w:bottom w:type="dxa" w:w="100"/>
              <w:right w:type="dxa" w:w="140"/>
            </w:tcMar>
          </w:tcPr>
          <w:p>
            <w:pPr>
              <w:spacing w:after="40"/>
            </w:pPr>
            <w:r>
              <w:rPr>
                <w:rFonts w:ascii="Calibri" w:cs="Calibri" w:eastAsia="Calibri" w:hAnsi="Calibri"/>
                <w:b/>
                <w:bCs/>
                <w:color w:val="9A5B00"/>
                <w:sz w:val="20"/>
                <w:szCs w:val="20"/>
              </w:rPr>
              <w:t xml:space="preserve">Preview ≠ live</w:t>
            </w:r>
          </w:p>
          <w:p>
            <w:pPr>
              <w:spacing w:after="0" w:line="270"/>
            </w:pPr>
            <w:r>
              <w:rPr>
                <w:rFonts w:ascii="Calibri" w:cs="Calibri" w:eastAsia="Calibri" w:hAnsi="Calibri"/>
                <w:color w:val="1A2233"/>
                <w:sz w:val="21"/>
                <w:szCs w:val="21"/>
              </w:rPr>
              <w:t xml:space="preserve">GTM workspace changes are not live merely because they work in Preview. They become live only after the container version is </w:t>
            </w:r>
            <w:r>
              <w:rPr>
                <w:rFonts w:ascii="Calibri" w:cs="Calibri" w:eastAsia="Calibri" w:hAnsi="Calibri"/>
                <w:b/>
                <w:bCs/>
                <w:color w:val="1A2233"/>
                <w:sz w:val="21"/>
                <w:szCs w:val="21"/>
              </w:rPr>
              <w:t xml:space="preserve">published</w:t>
            </w:r>
            <w:r>
              <w:rPr>
                <w:rFonts w:ascii="Calibri" w:cs="Calibri" w:eastAsia="Calibri" w:hAnsi="Calibri"/>
                <w:color w:val="1A2233"/>
                <w:sz w:val="21"/>
                <w:szCs w:val="21"/>
              </w:rPr>
              <w:t xml:space="preserve">.</w:t>
            </w:r>
          </w:p>
        </w:tc>
      </w:tr>
    </w:tbl>
    <w:p>
      <w:pPr>
        <w:pStyle w:val="Heading1"/>
        <w:spacing w:after="140" w:before="320"/>
      </w:pPr>
      <w:r>
        <w:rPr>
          <w:rFonts w:ascii="Calibri" w:cs="Calibri" w:eastAsia="Calibri" w:hAnsi="Calibri"/>
          <w:b/>
          <w:bCs/>
          <w:color w:val="1A2233"/>
          <w:sz w:val="30"/>
          <w:szCs w:val="30"/>
        </w:rPr>
        <w:t xml:space="preserve">10. Reporting &amp; interpretation</w:t>
      </w:r>
    </w:p>
    <w:p>
      <w:pPr>
        <w:pStyle w:val="Heading2"/>
        <w:spacing w:after="100" w:before="240"/>
      </w:pPr>
      <w:r>
        <w:rPr>
          <w:rFonts w:ascii="Calibri" w:cs="Calibri" w:eastAsia="Calibri" w:hAnsi="Calibri"/>
          <w:b/>
          <w:bCs/>
          <w:color w:val="1B4DB8"/>
          <w:sz w:val="25"/>
          <w:szCs w:val="25"/>
        </w:rPr>
        <w:t xml:space="preserve">Where to validate data</w:t>
      </w:r>
    </w:p>
    <w:tbl>
      <w:tblPr>
        <w:tblW w:type="dxa" w:w="9360"/>
        <w:tblBorders>
          <w:top w:val="single" w:color="C9D3E4" w:sz="2"/>
          <w:left w:val="single" w:color="C9D3E4" w:sz="2"/>
          <w:bottom w:val="single" w:color="C9D3E4" w:sz="2"/>
          <w:right w:val="single" w:color="C9D3E4" w:sz="2"/>
          <w:insideH w:val="single" w:color="C9D3E4" w:sz="2"/>
          <w:insideV w:val="single" w:color="C9D3E4" w:sz="2"/>
        </w:tblBorders>
      </w:tblPr>
      <w:tblGrid>
        <w:gridCol w:w="3100"/>
        <w:gridCol w:w="3760"/>
        <w:gridCol w:w="2500"/>
      </w:tblGrid>
      <w:tr>
        <w:trPr>
          <w:tblHeader/>
        </w:trPr>
        <w:tc>
          <w:tcPr>
            <w:tcW w:type="dxa" w:w="3100"/>
            <w:shd w:fill="2F6FED" w:color="auto" w:val="clear"/>
            <w:tcMar>
              <w:top w:type="dxa" w:w="70"/>
              <w:left w:type="dxa" w:w="110"/>
              <w:bottom w:type="dxa" w:w="70"/>
              <w:right w:type="dxa" w:w="110"/>
            </w:tcMar>
            <w:vAlign w:val="center"/>
          </w:tcPr>
          <w:p>
            <w:pPr>
              <w:spacing w:after="0" w:line="258"/>
            </w:pPr>
            <w:r>
              <w:rPr>
                <w:rFonts w:ascii="Calibri" w:cs="Calibri" w:eastAsia="Calibri" w:hAnsi="Calibri"/>
                <w:b/>
                <w:bCs/>
                <w:color w:val="FFFFFF"/>
                <w:sz w:val="19"/>
                <w:szCs w:val="19"/>
              </w:rPr>
              <w:t xml:space="preserve">Tool</w:t>
            </w:r>
          </w:p>
        </w:tc>
        <w:tc>
          <w:tcPr>
            <w:tcW w:type="dxa" w:w="3760"/>
            <w:shd w:fill="2F6FED" w:color="auto" w:val="clear"/>
            <w:tcMar>
              <w:top w:type="dxa" w:w="70"/>
              <w:left w:type="dxa" w:w="110"/>
              <w:bottom w:type="dxa" w:w="70"/>
              <w:right w:type="dxa" w:w="110"/>
            </w:tcMar>
            <w:vAlign w:val="center"/>
          </w:tcPr>
          <w:p>
            <w:pPr>
              <w:spacing w:after="0" w:line="258"/>
            </w:pPr>
            <w:r>
              <w:rPr>
                <w:rFonts w:ascii="Calibri" w:cs="Calibri" w:eastAsia="Calibri" w:hAnsi="Calibri"/>
                <w:b/>
                <w:bCs/>
                <w:color w:val="FFFFFF"/>
                <w:sz w:val="19"/>
                <w:szCs w:val="19"/>
              </w:rPr>
              <w:t xml:space="preserve">Best use</w:t>
            </w:r>
          </w:p>
        </w:tc>
        <w:tc>
          <w:tcPr>
            <w:tcW w:type="dxa" w:w="2500"/>
            <w:shd w:fill="2F6FED" w:color="auto" w:val="clear"/>
            <w:tcMar>
              <w:top w:type="dxa" w:w="70"/>
              <w:left w:type="dxa" w:w="110"/>
              <w:bottom w:type="dxa" w:w="70"/>
              <w:right w:type="dxa" w:w="110"/>
            </w:tcMar>
            <w:vAlign w:val="center"/>
          </w:tcPr>
          <w:p>
            <w:pPr>
              <w:spacing w:after="0" w:line="258"/>
            </w:pPr>
            <w:r>
              <w:rPr>
                <w:rFonts w:ascii="Calibri" w:cs="Calibri" w:eastAsia="Calibri" w:hAnsi="Calibri"/>
                <w:b/>
                <w:bCs/>
                <w:color w:val="FFFFFF"/>
                <w:sz w:val="19"/>
                <w:szCs w:val="19"/>
              </w:rPr>
              <w:t xml:space="preserve">Expected timing</w:t>
            </w:r>
          </w:p>
        </w:tc>
      </w:tr>
      <w:tr>
        <w:tc>
          <w:tcPr>
            <w:tcW w:type="dxa" w:w="31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GTM Preview / Tag Assistant</w:t>
            </w:r>
          </w:p>
        </w:tc>
        <w:tc>
          <w:tcPr>
            <w:tcW w:type="dxa" w:w="376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Trigger, variable, tag, payload testing</w:t>
            </w:r>
          </w:p>
        </w:tc>
        <w:tc>
          <w:tcPr>
            <w:tcW w:type="dxa" w:w="25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Immediate</w:t>
            </w:r>
          </w:p>
        </w:tc>
      </w:tr>
      <w:tr>
        <w:tc>
          <w:tcPr>
            <w:tcW w:type="dxa" w:w="31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GA4 DebugView</w:t>
            </w:r>
          </w:p>
        </w:tc>
        <w:tc>
          <w:tcPr>
            <w:tcW w:type="dxa" w:w="376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Development event/parameter validation</w:t>
            </w:r>
          </w:p>
        </w:tc>
        <w:tc>
          <w:tcPr>
            <w:tcW w:type="dxa" w:w="25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Near real time</w:t>
            </w:r>
          </w:p>
        </w:tc>
      </w:tr>
      <w:tr>
        <w:tc>
          <w:tcPr>
            <w:tcW w:type="dxa" w:w="31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GA4 Realtime</w:t>
            </w:r>
          </w:p>
        </w:tc>
        <w:tc>
          <w:tcPr>
            <w:tcW w:type="dxa" w:w="376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Production event arrival</w:t>
            </w:r>
          </w:p>
        </w:tc>
        <w:tc>
          <w:tcPr>
            <w:tcW w:type="dxa" w:w="25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Near real time</w:t>
            </w:r>
          </w:p>
        </w:tc>
      </w:tr>
      <w:tr>
        <w:tc>
          <w:tcPr>
            <w:tcW w:type="dxa" w:w="31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GA4 standard reports</w:t>
            </w:r>
          </w:p>
        </w:tc>
        <w:tc>
          <w:tcPr>
            <w:tcW w:type="dxa" w:w="376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Trends and audience reporting</w:t>
            </w:r>
          </w:p>
        </w:tc>
        <w:tc>
          <w:tcPr>
            <w:tcW w:type="dxa" w:w="25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After processing</w:t>
            </w:r>
          </w:p>
        </w:tc>
      </w:tr>
      <w:tr>
        <w:tc>
          <w:tcPr>
            <w:tcW w:type="dxa" w:w="31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GA4 Explorations</w:t>
            </w:r>
          </w:p>
        </w:tc>
        <w:tc>
          <w:tcPr>
            <w:tcW w:type="dxa" w:w="376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Feature, product, acquisition, funnel analysis</w:t>
            </w:r>
          </w:p>
        </w:tc>
        <w:tc>
          <w:tcPr>
            <w:tcW w:type="dxa" w:w="2500"/>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After processing</w:t>
            </w:r>
          </w:p>
        </w:tc>
      </w:tr>
      <w:tr>
        <w:tc>
          <w:tcPr>
            <w:tcW w:type="dxa" w:w="31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Google Sheets via GA4 Data API</w:t>
            </w:r>
          </w:p>
        </w:tc>
        <w:tc>
          <w:tcPr>
            <w:tcW w:type="dxa" w:w="376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Shareable recurring portfolio report</w:t>
            </w:r>
          </w:p>
        </w:tc>
        <w:tc>
          <w:tcPr>
            <w:tcW w:type="dxa" w:w="2500"/>
            <w:shd w:fill="EEF3FD" w:color="auto" w:val="clear"/>
            <w:tcMar>
              <w:top w:type="dxa" w:w="70"/>
              <w:left w:type="dxa" w:w="110"/>
              <w:bottom w:type="dxa" w:w="70"/>
              <w:right w:type="dxa" w:w="110"/>
            </w:tcMar>
            <w:vAlign w:val="center"/>
          </w:tcPr>
          <w:p>
            <w:pPr>
              <w:spacing w:after="0" w:line="258"/>
            </w:pPr>
            <w:r>
              <w:rPr>
                <w:rFonts w:ascii="Calibri" w:cs="Calibri" w:eastAsia="Calibri" w:hAnsi="Calibri"/>
                <w:b w:val="false"/>
                <w:bCs w:val="false"/>
                <w:color w:val="1A2233"/>
                <w:sz w:val="19"/>
                <w:szCs w:val="19"/>
              </w:rPr>
              <w:t xml:space="preserve">After API-accessible processing</w:t>
            </w:r>
          </w:p>
        </w:tc>
      </w:tr>
    </w:tbl>
    <w:tbl>
      <w:tblPr>
        <w:tblW w:type="dxa" w:w="9360"/>
        <w:tblBorders>
          <w:top w:val="none"/>
          <w:left w:val="single" w:color="2F6FED" w:sz="24"/>
          <w:bottom w:val="none"/>
          <w:right w:val="none"/>
          <w:insideH w:val="none"/>
          <w:insideV w:val="none"/>
        </w:tblBorders>
      </w:tblPr>
      <w:tblGrid>
        <w:gridCol w:w="9360"/>
      </w:tblGrid>
      <w:tr>
        <w:tc>
          <w:tcPr>
            <w:tcW w:type="dxa" w:w="9360"/>
            <w:shd w:fill="EEF3FD" w:color="auto" w:val="clear"/>
            <w:tcMar>
              <w:top w:type="dxa" w:w="100"/>
              <w:left w:type="dxa" w:w="160"/>
              <w:bottom w:type="dxa" w:w="100"/>
              <w:right w:type="dxa" w:w="140"/>
            </w:tcMar>
          </w:tcPr>
          <w:p>
            <w:pPr>
              <w:spacing w:after="40"/>
            </w:pPr>
            <w:r>
              <w:rPr>
                <w:rFonts w:ascii="Calibri" w:cs="Calibri" w:eastAsia="Calibri" w:hAnsi="Calibri"/>
                <w:b/>
                <w:bCs/>
                <w:color w:val="2F6FED"/>
                <w:sz w:val="20"/>
                <w:szCs w:val="20"/>
              </w:rPr>
              <w:t xml:space="preserve">eventCount is the source of truth</w:t>
            </w:r>
          </w:p>
          <w:p>
            <w:pPr>
              <w:spacing w:after="0" w:line="270"/>
            </w:pPr>
            <w:r>
              <w:rPr>
                <w:rFonts w:ascii="Calibri" w:cs="Calibri" w:eastAsia="Calibri" w:hAnsi="Calibri"/>
                <w:color w:val="1A2233"/>
                <w:sz w:val="21"/>
                <w:szCs w:val="21"/>
              </w:rPr>
              <w:t xml:space="preserve">GA4 </w:t>
            </w:r>
            <w:r>
              <w:rPr>
                <w:rFonts w:ascii="Consolas" w:cs="Consolas" w:eastAsia="Consolas" w:hAnsi="Consolas"/>
                <w:color w:val="1B4DB8"/>
                <w:sz w:val="19"/>
                <w:szCs w:val="19"/>
              </w:rPr>
              <w:t xml:space="preserve">eventCount</w:t>
            </w:r>
            <w:r>
              <w:rPr>
                <w:rFonts w:ascii="Calibri" w:cs="Calibri" w:eastAsia="Calibri" w:hAnsi="Calibri"/>
                <w:color w:val="1A2233"/>
                <w:sz w:val="21"/>
                <w:szCs w:val="21"/>
              </w:rPr>
              <w:t xml:space="preserve"> is the appropriate production reporting count — not an export of Tag Assistant's tag-fire log. A GTM tag can fire in Preview without producing a processed GA4 event if consent, browser blocking, network failure, configuration, or processing intervenes.</w:t>
            </w:r>
          </w:p>
        </w:tc>
      </w:tr>
    </w:tbl>
    <w:p>
      <w:pPr>
        <w:pStyle w:val="Heading2"/>
        <w:spacing w:after="100" w:before="240"/>
      </w:pPr>
      <w:r>
        <w:rPr>
          <w:rFonts w:ascii="Calibri" w:cs="Calibri" w:eastAsia="Calibri" w:hAnsi="Calibri"/>
          <w:b/>
          <w:bCs/>
          <w:color w:val="1B4DB8"/>
          <w:sz w:val="25"/>
          <w:szCs w:val="25"/>
        </w:rPr>
        <w:t xml:space="preserve">Google Sheets reporting</w:t>
      </w:r>
    </w:p>
    <w:p>
      <w:pPr>
        <w:spacing w:after="120" w:line="276"/>
      </w:pPr>
      <w:r>
        <w:rPr>
          <w:rFonts w:ascii="Calibri" w:cs="Calibri" w:eastAsia="Calibri" w:hAnsi="Calibri"/>
          <w:color w:val="1A2233"/>
          <w:sz w:val="21"/>
          <w:szCs w:val="21"/>
        </w:rPr>
        <w:t xml:space="preserve">The optional Apps Script report uses the </w:t>
      </w:r>
      <w:r>
        <w:rPr>
          <w:rFonts w:ascii="Calibri" w:cs="Calibri" w:eastAsia="Calibri" w:hAnsi="Calibri"/>
          <w:b/>
          <w:bCs/>
          <w:color w:val="1A2233"/>
          <w:sz w:val="21"/>
          <w:szCs w:val="21"/>
        </w:rPr>
        <w:t xml:space="preserve">Google Analytics Data API</w:t>
      </w:r>
      <w:r>
        <w:rPr>
          <w:rFonts w:ascii="Calibri" w:cs="Calibri" w:eastAsia="Calibri" w:hAnsi="Calibri"/>
          <w:color w:val="1A2233"/>
          <w:sz w:val="21"/>
          <w:szCs w:val="21"/>
        </w:rPr>
        <w:t xml:space="preserve"> advanced service and the numeric GA4 Property ID. Recommended views:</w:t>
      </w:r>
    </w:p>
    <w:p>
      <w:pPr>
        <w:pStyle w:val="ListParagraph"/>
        <w:numPr>
          <w:ilvl w:val="0"/>
          <w:numId w:val="3"/>
        </w:numPr>
        <w:spacing w:after="70" w:line="268"/>
      </w:pPr>
      <w:r>
        <w:rPr>
          <w:rFonts w:ascii="Calibri" w:cs="Calibri" w:eastAsia="Calibri" w:hAnsi="Calibri"/>
          <w:color w:val="1A2233"/>
          <w:sz w:val="21"/>
          <w:szCs w:val="21"/>
        </w:rPr>
        <w:t xml:space="preserve">Executive dashboard</w:t>
      </w:r>
    </w:p>
    <w:p>
      <w:pPr>
        <w:pStyle w:val="ListParagraph"/>
        <w:numPr>
          <w:ilvl w:val="0"/>
          <w:numId w:val="3"/>
        </w:numPr>
        <w:spacing w:after="70" w:line="268"/>
      </w:pPr>
      <w:r>
        <w:rPr>
          <w:rFonts w:ascii="Calibri" w:cs="Calibri" w:eastAsia="Calibri" w:hAnsi="Calibri"/>
          <w:color w:val="1A2233"/>
          <w:sz w:val="21"/>
          <w:szCs w:val="21"/>
        </w:rPr>
        <w:t xml:space="preserve">Event performance</w:t>
      </w:r>
    </w:p>
    <w:p>
      <w:pPr>
        <w:pStyle w:val="ListParagraph"/>
        <w:numPr>
          <w:ilvl w:val="0"/>
          <w:numId w:val="3"/>
        </w:numPr>
        <w:spacing w:after="70" w:line="268"/>
      </w:pPr>
      <w:r>
        <w:rPr>
          <w:rFonts w:ascii="Calibri" w:cs="Calibri" w:eastAsia="Calibri" w:hAnsi="Calibri"/>
          <w:color w:val="1A2233"/>
          <w:sz w:val="21"/>
          <w:szCs w:val="21"/>
        </w:rPr>
        <w:t xml:space="preserve">Daily event trend</w:t>
      </w:r>
    </w:p>
    <w:p>
      <w:pPr>
        <w:pStyle w:val="ListParagraph"/>
        <w:numPr>
          <w:ilvl w:val="0"/>
          <w:numId w:val="3"/>
        </w:numPr>
        <w:spacing w:after="70" w:line="268"/>
      </w:pPr>
      <w:r>
        <w:rPr>
          <w:rFonts w:ascii="Calibri" w:cs="Calibri" w:eastAsia="Calibri" w:hAnsi="Calibri"/>
          <w:color w:val="1A2233"/>
          <w:sz w:val="21"/>
          <w:szCs w:val="21"/>
        </w:rPr>
        <w:t xml:space="preserve">Feature vote performance</w:t>
      </w:r>
    </w:p>
    <w:p>
      <w:pPr>
        <w:pStyle w:val="ListParagraph"/>
        <w:numPr>
          <w:ilvl w:val="0"/>
          <w:numId w:val="3"/>
        </w:numPr>
        <w:spacing w:after="70" w:line="268"/>
      </w:pPr>
      <w:r>
        <w:rPr>
          <w:rFonts w:ascii="Calibri" w:cs="Calibri" w:eastAsia="Calibri" w:hAnsi="Calibri"/>
          <w:color w:val="1A2233"/>
          <w:sz w:val="21"/>
          <w:szCs w:val="21"/>
        </w:rPr>
        <w:t xml:space="preserve">Newsletter leads</w:t>
      </w:r>
    </w:p>
    <w:p>
      <w:pPr>
        <w:pStyle w:val="ListParagraph"/>
        <w:numPr>
          <w:ilvl w:val="0"/>
          <w:numId w:val="3"/>
        </w:numPr>
        <w:spacing w:after="70" w:line="268"/>
      </w:pPr>
      <w:r>
        <w:rPr>
          <w:rFonts w:ascii="Calibri" w:cs="Calibri" w:eastAsia="Calibri" w:hAnsi="Calibri"/>
          <w:color w:val="1A2233"/>
          <w:sz w:val="21"/>
          <w:szCs w:val="21"/>
        </w:rPr>
        <w:t xml:space="preserve">Feature-request submissions</w:t>
      </w:r>
    </w:p>
    <w:p>
      <w:pPr>
        <w:pStyle w:val="ListParagraph"/>
        <w:numPr>
          <w:ilvl w:val="0"/>
          <w:numId w:val="3"/>
        </w:numPr>
        <w:spacing w:after="70" w:line="268"/>
      </w:pPr>
      <w:r>
        <w:rPr>
          <w:rFonts w:ascii="Calibri" w:cs="Calibri" w:eastAsia="Calibri" w:hAnsi="Calibri"/>
          <w:color w:val="1A2233"/>
          <w:sz w:val="21"/>
          <w:szCs w:val="21"/>
        </w:rPr>
        <w:t xml:space="preserve">Product views</w:t>
      </w:r>
    </w:p>
    <w:p>
      <w:pPr>
        <w:pStyle w:val="ListParagraph"/>
        <w:numPr>
          <w:ilvl w:val="0"/>
          <w:numId w:val="3"/>
        </w:numPr>
        <w:spacing w:after="70" w:line="268"/>
      </w:pPr>
      <w:r>
        <w:rPr>
          <w:rFonts w:ascii="Calibri" w:cs="Calibri" w:eastAsia="Calibri" w:hAnsi="Calibri"/>
          <w:color w:val="1A2233"/>
          <w:sz w:val="21"/>
          <w:szCs w:val="21"/>
        </w:rPr>
        <w:t xml:space="preserve">CTA performance</w:t>
      </w:r>
    </w:p>
    <w:p>
      <w:pPr>
        <w:pStyle w:val="ListParagraph"/>
        <w:numPr>
          <w:ilvl w:val="0"/>
          <w:numId w:val="3"/>
        </w:numPr>
        <w:spacing w:after="70" w:line="268"/>
      </w:pPr>
      <w:r>
        <w:rPr>
          <w:rFonts w:ascii="Calibri" w:cs="Calibri" w:eastAsia="Calibri" w:hAnsi="Calibri"/>
          <w:color w:val="1A2233"/>
          <w:sz w:val="21"/>
          <w:szCs w:val="21"/>
        </w:rPr>
        <w:t xml:space="preserve">Page performance</w:t>
      </w:r>
    </w:p>
    <w:p>
      <w:pPr>
        <w:pStyle w:val="ListParagraph"/>
        <w:numPr>
          <w:ilvl w:val="0"/>
          <w:numId w:val="3"/>
        </w:numPr>
        <w:spacing w:after="70" w:line="268"/>
      </w:pPr>
      <w:r>
        <w:rPr>
          <w:rFonts w:ascii="Calibri" w:cs="Calibri" w:eastAsia="Calibri" w:hAnsi="Calibri"/>
          <w:color w:val="1A2233"/>
          <w:sz w:val="21"/>
          <w:szCs w:val="21"/>
        </w:rPr>
        <w:t xml:space="preserve">Acquisition</w:t>
      </w:r>
    </w:p>
    <w:p>
      <w:pPr>
        <w:pStyle w:val="ListParagraph"/>
        <w:numPr>
          <w:ilvl w:val="0"/>
          <w:numId w:val="3"/>
        </w:numPr>
        <w:spacing w:after="70" w:line="268"/>
      </w:pPr>
      <w:r>
        <w:rPr>
          <w:rFonts w:ascii="Calibri" w:cs="Calibri" w:eastAsia="Calibri" w:hAnsi="Calibri"/>
          <w:color w:val="1A2233"/>
          <w:sz w:val="21"/>
          <w:szCs w:val="21"/>
        </w:rPr>
        <w:t xml:space="preserve">Device and geography</w:t>
      </w:r>
    </w:p>
    <w:p>
      <w:pPr>
        <w:pStyle w:val="ListParagraph"/>
        <w:numPr>
          <w:ilvl w:val="0"/>
          <w:numId w:val="3"/>
        </w:numPr>
        <w:spacing w:after="70" w:line="268"/>
      </w:pPr>
      <w:r>
        <w:rPr>
          <w:rFonts w:ascii="Calibri" w:cs="Calibri" w:eastAsia="Calibri" w:hAnsi="Calibri"/>
          <w:color w:val="1A2233"/>
          <w:sz w:val="21"/>
          <w:szCs w:val="21"/>
        </w:rPr>
        <w:t xml:space="preserve">Realtime events</w:t>
      </w:r>
    </w:p>
    <w:p>
      <w:pPr>
        <w:pStyle w:val="ListParagraph"/>
        <w:numPr>
          <w:ilvl w:val="0"/>
          <w:numId w:val="3"/>
        </w:numPr>
        <w:spacing w:after="70" w:line="268"/>
      </w:pPr>
      <w:r>
        <w:rPr>
          <w:rFonts w:ascii="Calibri" w:cs="Calibri" w:eastAsia="Calibri" w:hAnsi="Calibri"/>
          <w:color w:val="1A2233"/>
          <w:sz w:val="21"/>
          <w:szCs w:val="21"/>
        </w:rPr>
        <w:t xml:space="preserve">Measurement plan &amp; refresh log</w:t>
      </w:r>
    </w:p>
    <w:tbl>
      <w:tblPr>
        <w:tblW w:type="dxa" w:w="9360"/>
        <w:tblBorders>
          <w:top w:val="none"/>
          <w:left w:val="single" w:color="2F6FED" w:sz="24"/>
          <w:bottom w:val="none"/>
          <w:right w:val="none"/>
          <w:insideH w:val="none"/>
          <w:insideV w:val="none"/>
        </w:tblBorders>
      </w:tblPr>
      <w:tblGrid>
        <w:gridCol w:w="9360"/>
      </w:tblGrid>
      <w:tr>
        <w:tc>
          <w:tcPr>
            <w:tcW w:type="dxa" w:w="9360"/>
            <w:shd w:fill="EEF3FD" w:color="auto" w:val="clear"/>
            <w:tcMar>
              <w:top w:type="dxa" w:w="100"/>
              <w:left w:type="dxa" w:w="160"/>
              <w:bottom w:type="dxa" w:w="100"/>
              <w:right w:type="dxa" w:w="140"/>
            </w:tcMar>
          </w:tcPr>
          <w:p>
            <w:pPr>
              <w:spacing w:after="40"/>
            </w:pPr>
            <w:r>
              <w:rPr>
                <w:rFonts w:ascii="Calibri" w:cs="Calibri" w:eastAsia="Calibri" w:hAnsi="Calibri"/>
                <w:b/>
                <w:bCs/>
                <w:color w:val="2F6FED"/>
                <w:sz w:val="20"/>
                <w:szCs w:val="20"/>
              </w:rPr>
              <w:t xml:space="preserve">API limitation</w:t>
            </w:r>
          </w:p>
          <w:p>
            <w:pPr>
              <w:spacing w:after="0" w:line="270"/>
            </w:pPr>
            <w:r>
              <w:rPr>
                <w:rFonts w:ascii="Calibri" w:cs="Calibri" w:eastAsia="Calibri" w:hAnsi="Calibri"/>
                <w:color w:val="1A2233"/>
                <w:sz w:val="21"/>
                <w:szCs w:val="21"/>
              </w:rPr>
              <w:t xml:space="preserve">The Analytics Data API cannot list GTM container tags and triggers. Use a measurement-plan sheet to map GTM config to GA4 event counts. Accessing the actual GTM inventory requires the separate Google Tag Manager API.</w:t>
            </w:r>
          </w:p>
        </w:tc>
      </w:tr>
    </w:tbl>
    <w:p>
      <w:r>
        <w:br w:type="page"/>
      </w:r>
    </w:p>
    <w:p>
      <w:pPr>
        <w:pStyle w:val="Heading1"/>
        <w:spacing w:after="140" w:before="320"/>
      </w:pPr>
      <w:r>
        <w:rPr>
          <w:rFonts w:ascii="Calibri" w:cs="Calibri" w:eastAsia="Calibri" w:hAnsi="Calibri"/>
          <w:b/>
          <w:bCs/>
          <w:color w:val="1A2233"/>
          <w:sz w:val="30"/>
          <w:szCs w:val="30"/>
        </w:rPr>
        <w:t xml:space="preserve">11. Troubleshooting</w:t>
      </w:r>
    </w:p>
    <w:p>
      <w:pPr>
        <w:pStyle w:val="Heading3"/>
        <w:spacing w:after="80" w:before="180"/>
      </w:pPr>
      <w:r>
        <w:rPr>
          <w:rFonts w:ascii="Calibri" w:cs="Calibri" w:eastAsia="Calibri" w:hAnsi="Calibri"/>
          <w:b/>
          <w:bCs/>
          <w:color w:val="1A2233"/>
          <w:sz w:val="22"/>
          <w:szCs w:val="22"/>
        </w:rPr>
        <w:t xml:space="preserve">Tag Assistant says "Not connected" / "0 Google tags found"</w:t>
      </w:r>
    </w:p>
    <w:p>
      <w:pPr>
        <w:pStyle w:val="ListParagraph"/>
        <w:numPr>
          <w:ilvl w:val="0"/>
          <w:numId w:val="3"/>
        </w:numPr>
        <w:spacing w:after="70" w:line="268"/>
      </w:pPr>
      <w:r>
        <w:rPr>
          <w:rFonts w:ascii="Calibri" w:cs="Calibri" w:eastAsia="Calibri" w:hAnsi="Calibri"/>
          <w:color w:val="1A2233"/>
          <w:sz w:val="21"/>
          <w:szCs w:val="21"/>
        </w:rPr>
        <w:t xml:space="preserve">Confirm you entered the full HTTPS production URL.</w:t>
      </w:r>
    </w:p>
    <w:p>
      <w:pPr>
        <w:pStyle w:val="ListParagraph"/>
        <w:numPr>
          <w:ilvl w:val="0"/>
          <w:numId w:val="3"/>
        </w:numPr>
        <w:spacing w:after="70" w:line="268"/>
      </w:pPr>
      <w:r>
        <w:rPr>
          <w:rFonts w:ascii="Calibri" w:cs="Calibri" w:eastAsia="Calibri" w:hAnsi="Calibri"/>
          <w:color w:val="1A2233"/>
          <w:sz w:val="21"/>
          <w:szCs w:val="21"/>
        </w:rPr>
        <w:t xml:space="preserve">Click </w:t>
      </w:r>
      <w:r>
        <w:rPr>
          <w:rFonts w:ascii="Calibri" w:cs="Calibri" w:eastAsia="Calibri" w:hAnsi="Calibri"/>
          <w:b/>
          <w:bCs/>
          <w:color w:val="1A2233"/>
          <w:sz w:val="21"/>
          <w:szCs w:val="21"/>
        </w:rPr>
        <w:t xml:space="preserve">Allow analytics</w:t>
      </w:r>
      <w:r>
        <w:rPr>
          <w:rFonts w:ascii="Calibri" w:cs="Calibri" w:eastAsia="Calibri" w:hAnsi="Calibri"/>
          <w:color w:val="1A2233"/>
          <w:sz w:val="21"/>
          <w:szCs w:val="21"/>
        </w:rPr>
        <w:t xml:space="preserve"> — GTM is intentionally absent before consent.</w:t>
      </w:r>
    </w:p>
    <w:p>
      <w:pPr>
        <w:pStyle w:val="ListParagraph"/>
        <w:numPr>
          <w:ilvl w:val="0"/>
          <w:numId w:val="3"/>
        </w:numPr>
        <w:spacing w:after="70" w:line="268"/>
      </w:pPr>
      <w:r>
        <w:rPr>
          <w:rFonts w:ascii="Calibri" w:cs="Calibri" w:eastAsia="Calibri" w:hAnsi="Calibri"/>
          <w:color w:val="1A2233"/>
          <w:sz w:val="21"/>
          <w:szCs w:val="21"/>
        </w:rPr>
        <w:t xml:space="preserve">Let the consent action reload the debug URL.</w:t>
      </w:r>
    </w:p>
    <w:p>
      <w:pPr>
        <w:pStyle w:val="ListParagraph"/>
        <w:numPr>
          <w:ilvl w:val="0"/>
          <w:numId w:val="3"/>
        </w:numPr>
        <w:spacing w:after="70" w:line="268"/>
      </w:pPr>
      <w:r>
        <w:rPr>
          <w:rFonts w:ascii="Calibri" w:cs="Calibri" w:eastAsia="Calibri" w:hAnsi="Calibri"/>
          <w:color w:val="1A2233"/>
          <w:sz w:val="21"/>
          <w:szCs w:val="21"/>
        </w:rPr>
        <w:t xml:space="preserve">Allow pop-ups and temporarily disable tracking protection.</w:t>
      </w:r>
    </w:p>
    <w:p>
      <w:pPr>
        <w:pStyle w:val="ListParagraph"/>
        <w:numPr>
          <w:ilvl w:val="0"/>
          <w:numId w:val="3"/>
        </w:numPr>
        <w:spacing w:after="70" w:line="268"/>
      </w:pPr>
      <w:r>
        <w:rPr>
          <w:rFonts w:ascii="Calibri" w:cs="Calibri" w:eastAsia="Calibri" w:hAnsi="Calibri"/>
          <w:color w:val="1A2233"/>
          <w:sz w:val="21"/>
          <w:szCs w:val="21"/>
        </w:rPr>
        <w:t xml:space="preserve">Confirm the deployed environment uses </w:t>
      </w:r>
      <w:r>
        <w:rPr>
          <w:rFonts w:ascii="Consolas" w:cs="Consolas" w:eastAsia="Consolas" w:hAnsi="Consolas"/>
          <w:color w:val="1B4DB8"/>
          <w:sz w:val="19"/>
          <w:szCs w:val="19"/>
        </w:rPr>
        <w:t xml:space="preserve">GTM-WHTKJV76</w:t>
      </w:r>
      <w:r>
        <w:rPr>
          <w:rFonts w:ascii="Calibri" w:cs="Calibri" w:eastAsia="Calibri" w:hAnsi="Calibri"/>
          <w:color w:val="1A2233"/>
          <w:sz w:val="21"/>
          <w:szCs w:val="21"/>
        </w:rPr>
        <w:t xml:space="preserve">.</w:t>
      </w:r>
    </w:p>
    <w:p>
      <w:pPr>
        <w:pStyle w:val="ListParagraph"/>
        <w:numPr>
          <w:ilvl w:val="0"/>
          <w:numId w:val="3"/>
        </w:numPr>
        <w:spacing w:after="70" w:line="268"/>
      </w:pPr>
      <w:r>
        <w:rPr>
          <w:rFonts w:ascii="Calibri" w:cs="Calibri" w:eastAsia="Calibri" w:hAnsi="Calibri"/>
          <w:color w:val="1A2233"/>
          <w:sz w:val="21"/>
          <w:szCs w:val="21"/>
        </w:rPr>
        <w:t xml:space="preserve">Confirm the GTM script request is not blocked in dev tools.</w:t>
      </w:r>
    </w:p>
    <w:p>
      <w:pPr>
        <w:pStyle w:val="ListParagraph"/>
        <w:numPr>
          <w:ilvl w:val="0"/>
          <w:numId w:val="3"/>
        </w:numPr>
        <w:spacing w:after="70" w:line="268"/>
      </w:pPr>
      <w:r>
        <w:rPr>
          <w:rFonts w:ascii="Calibri" w:cs="Calibri" w:eastAsia="Calibri" w:hAnsi="Calibri"/>
          <w:color w:val="1A2233"/>
          <w:sz w:val="21"/>
          <w:szCs w:val="21"/>
        </w:rPr>
        <w:t xml:space="preserve">Close stale Preview sessions and start a new one.</w:t>
      </w:r>
    </w:p>
    <w:p>
      <w:pPr>
        <w:pStyle w:val="Heading3"/>
        <w:spacing w:after="80" w:before="180"/>
      </w:pPr>
      <w:r>
        <w:rPr>
          <w:rFonts w:ascii="Calibri" w:cs="Calibri" w:eastAsia="Calibri" w:hAnsi="Calibri"/>
          <w:b/>
          <w:bCs/>
          <w:color w:val="1A2233"/>
          <w:sz w:val="22"/>
          <w:szCs w:val="22"/>
        </w:rPr>
        <w:t xml:space="preserve">The event appears, but the GA4 tag does not fire</w:t>
      </w:r>
    </w:p>
    <w:p>
      <w:pPr>
        <w:pStyle w:val="ListParagraph"/>
        <w:numPr>
          <w:ilvl w:val="0"/>
          <w:numId w:val="3"/>
        </w:numPr>
        <w:spacing w:after="70" w:line="268"/>
      </w:pPr>
      <w:r>
        <w:rPr>
          <w:rFonts w:ascii="Calibri" w:cs="Calibri" w:eastAsia="Calibri" w:hAnsi="Calibri"/>
          <w:color w:val="1A2233"/>
          <w:sz w:val="21"/>
          <w:szCs w:val="21"/>
        </w:rPr>
        <w:t xml:space="preserve">Confirm the trigger type is </w:t>
      </w:r>
      <w:r>
        <w:rPr>
          <w:rFonts w:ascii="Calibri" w:cs="Calibri" w:eastAsia="Calibri" w:hAnsi="Calibri"/>
          <w:b/>
          <w:bCs/>
          <w:color w:val="1A2233"/>
          <w:sz w:val="21"/>
          <w:szCs w:val="21"/>
        </w:rPr>
        <w:t xml:space="preserve">Custom Event</w:t>
      </w:r>
      <w:r>
        <w:rPr>
          <w:rFonts w:ascii="Calibri" w:cs="Calibri" w:eastAsia="Calibri" w:hAnsi="Calibri"/>
          <w:color w:val="1A2233"/>
          <w:sz w:val="21"/>
          <w:szCs w:val="21"/>
        </w:rPr>
        <w:t xml:space="preserve">.</w:t>
      </w:r>
    </w:p>
    <w:p>
      <w:pPr>
        <w:pStyle w:val="ListParagraph"/>
        <w:numPr>
          <w:ilvl w:val="0"/>
          <w:numId w:val="3"/>
        </w:numPr>
        <w:spacing w:after="70" w:line="268"/>
      </w:pPr>
      <w:r>
        <w:rPr>
          <w:rFonts w:ascii="Calibri" w:cs="Calibri" w:eastAsia="Calibri" w:hAnsi="Calibri"/>
          <w:color w:val="1A2233"/>
          <w:sz w:val="21"/>
          <w:szCs w:val="21"/>
        </w:rPr>
        <w:t xml:space="preserve">Confirm the trigger event name exactly matches the data-layer </w:t>
      </w:r>
      <w:r>
        <w:rPr>
          <w:rFonts w:ascii="Consolas" w:cs="Consolas" w:eastAsia="Consolas" w:hAnsi="Consolas"/>
          <w:color w:val="1B4DB8"/>
          <w:sz w:val="19"/>
          <w:szCs w:val="19"/>
        </w:rPr>
        <w:t xml:space="preserve">event</w:t>
      </w:r>
      <w:r>
        <w:rPr>
          <w:rFonts w:ascii="Calibri" w:cs="Calibri" w:eastAsia="Calibri" w:hAnsi="Calibri"/>
          <w:color w:val="1A2233"/>
          <w:sz w:val="21"/>
          <w:szCs w:val="21"/>
        </w:rPr>
        <w:t xml:space="preserve"> value.</w:t>
      </w:r>
    </w:p>
    <w:p>
      <w:pPr>
        <w:pStyle w:val="ListParagraph"/>
        <w:numPr>
          <w:ilvl w:val="0"/>
          <w:numId w:val="3"/>
        </w:numPr>
        <w:spacing w:after="70" w:line="268"/>
      </w:pPr>
      <w:r>
        <w:rPr>
          <w:rFonts w:ascii="Calibri" w:cs="Calibri" w:eastAsia="Calibri" w:hAnsi="Calibri"/>
          <w:color w:val="1A2233"/>
          <w:sz w:val="21"/>
          <w:szCs w:val="21"/>
        </w:rPr>
        <w:t xml:space="preserve">Confirm the GA4 Event tag is attached to that trigger.</w:t>
      </w:r>
    </w:p>
    <w:p>
      <w:pPr>
        <w:pStyle w:val="ListParagraph"/>
        <w:numPr>
          <w:ilvl w:val="0"/>
          <w:numId w:val="3"/>
        </w:numPr>
        <w:spacing w:after="70" w:line="268"/>
      </w:pPr>
      <w:r>
        <w:rPr>
          <w:rFonts w:ascii="Calibri" w:cs="Calibri" w:eastAsia="Calibri" w:hAnsi="Calibri"/>
          <w:color w:val="1A2233"/>
          <w:sz w:val="21"/>
          <w:szCs w:val="21"/>
        </w:rPr>
        <w:t xml:space="preserve">Confirm the event-name field in the tag is not accidentally set to a label.</w:t>
      </w:r>
    </w:p>
    <w:p>
      <w:pPr>
        <w:pStyle w:val="Heading3"/>
        <w:spacing w:after="80" w:before="180"/>
      </w:pPr>
      <w:r>
        <w:rPr>
          <w:rFonts w:ascii="Calibri" w:cs="Calibri" w:eastAsia="Calibri" w:hAnsi="Calibri"/>
          <w:b/>
          <w:bCs/>
          <w:color w:val="1A2233"/>
          <w:sz w:val="22"/>
          <w:szCs w:val="22"/>
        </w:rPr>
        <w:t xml:space="preserve">Feature variables show undefined</w:t>
      </w:r>
    </w:p>
    <w:p>
      <w:pPr>
        <w:pStyle w:val="ListParagraph"/>
        <w:numPr>
          <w:ilvl w:val="0"/>
          <w:numId w:val="3"/>
        </w:numPr>
        <w:spacing w:after="70" w:line="268"/>
      </w:pPr>
      <w:r>
        <w:rPr>
          <w:rFonts w:ascii="Calibri" w:cs="Calibri" w:eastAsia="Calibri" w:hAnsi="Calibri"/>
          <w:color w:val="1A2233"/>
          <w:sz w:val="21"/>
          <w:szCs w:val="21"/>
        </w:rPr>
        <w:t xml:space="preserve">Use these exact V2 paths: </w:t>
      </w:r>
      <w:r>
        <w:rPr>
          <w:rFonts w:ascii="Consolas" w:cs="Consolas" w:eastAsia="Consolas" w:hAnsi="Consolas"/>
          <w:color w:val="1B4DB8"/>
          <w:sz w:val="19"/>
          <w:szCs w:val="19"/>
        </w:rPr>
        <w:t xml:space="preserve">feature_data.feature_id</w:t>
      </w:r>
      <w:r>
        <w:rPr>
          <w:rFonts w:ascii="Calibri" w:cs="Calibri" w:eastAsia="Calibri" w:hAnsi="Calibri"/>
          <w:color w:val="1A2233"/>
          <w:sz w:val="21"/>
          <w:szCs w:val="21"/>
        </w:rPr>
        <w:t xml:space="preserve"> / </w:t>
      </w:r>
      <w:r>
        <w:rPr>
          <w:rFonts w:ascii="Consolas" w:cs="Consolas" w:eastAsia="Consolas" w:hAnsi="Consolas"/>
          <w:color w:val="1B4DB8"/>
          <w:sz w:val="19"/>
          <w:szCs w:val="19"/>
        </w:rPr>
        <w:t xml:space="preserve">feature_data.feature_name</w:t>
      </w:r>
      <w:r>
        <w:rPr>
          <w:rFonts w:ascii="Calibri" w:cs="Calibri" w:eastAsia="Calibri" w:hAnsi="Calibri"/>
          <w:color w:val="1A2233"/>
          <w:sz w:val="21"/>
          <w:szCs w:val="21"/>
        </w:rPr>
        <w:t xml:space="preserve">.</w:t>
      </w:r>
    </w:p>
    <w:p>
      <w:pPr>
        <w:pStyle w:val="ListParagraph"/>
        <w:numPr>
          <w:ilvl w:val="0"/>
          <w:numId w:val="3"/>
        </w:numPr>
        <w:spacing w:after="70" w:line="268"/>
      </w:pPr>
      <w:r>
        <w:rPr>
          <w:rFonts w:ascii="Calibri" w:cs="Calibri" w:eastAsia="Calibri" w:hAnsi="Calibri"/>
          <w:color w:val="1A2233"/>
          <w:sz w:val="21"/>
          <w:szCs w:val="21"/>
        </w:rPr>
        <w:t xml:space="preserve">The feature fields are nested; the other parameters are top-level.</w:t>
      </w:r>
    </w:p>
    <w:p>
      <w:pPr>
        <w:pStyle w:val="Heading3"/>
        <w:spacing w:after="80" w:before="180"/>
      </w:pPr>
      <w:r>
        <w:rPr>
          <w:rFonts w:ascii="Calibri" w:cs="Calibri" w:eastAsia="Calibri" w:hAnsi="Calibri"/>
          <w:b/>
          <w:bCs/>
          <w:color w:val="1A2233"/>
          <w:sz w:val="22"/>
          <w:szCs w:val="22"/>
        </w:rPr>
        <w:t xml:space="preserve">The GA4 tag fired, but the event is missing in reports</w:t>
      </w:r>
    </w:p>
    <w:p>
      <w:pPr>
        <w:pStyle w:val="ListParagraph"/>
        <w:numPr>
          <w:ilvl w:val="0"/>
          <w:numId w:val="3"/>
        </w:numPr>
        <w:spacing w:after="70" w:line="268"/>
      </w:pPr>
      <w:r>
        <w:rPr>
          <w:rFonts w:ascii="Calibri" w:cs="Calibri" w:eastAsia="Calibri" w:hAnsi="Calibri"/>
          <w:color w:val="1A2233"/>
          <w:sz w:val="21"/>
          <w:szCs w:val="21"/>
        </w:rPr>
        <w:t xml:space="preserve">Check GA4 Realtime and DebugView first.</w:t>
      </w:r>
    </w:p>
    <w:p>
      <w:pPr>
        <w:pStyle w:val="ListParagraph"/>
        <w:numPr>
          <w:ilvl w:val="0"/>
          <w:numId w:val="3"/>
        </w:numPr>
        <w:spacing w:after="70" w:line="268"/>
      </w:pPr>
      <w:r>
        <w:rPr>
          <w:rFonts w:ascii="Calibri" w:cs="Calibri" w:eastAsia="Calibri" w:hAnsi="Calibri"/>
          <w:color w:val="1A2233"/>
          <w:sz w:val="21"/>
          <w:szCs w:val="21"/>
        </w:rPr>
        <w:t xml:space="preserve">Confirm the GA4 Event tag uses Measurement ID </w:t>
      </w:r>
      <w:r>
        <w:rPr>
          <w:rFonts w:ascii="Consolas" w:cs="Consolas" w:eastAsia="Consolas" w:hAnsi="Consolas"/>
          <w:color w:val="1B4DB8"/>
          <w:sz w:val="19"/>
          <w:szCs w:val="19"/>
        </w:rPr>
        <w:t xml:space="preserve">G-E495LVXW2H</w:t>
      </w:r>
      <w:r>
        <w:rPr>
          <w:rFonts w:ascii="Calibri" w:cs="Calibri" w:eastAsia="Calibri" w:hAnsi="Calibri"/>
          <w:color w:val="1A2233"/>
          <w:sz w:val="21"/>
          <w:szCs w:val="21"/>
        </w:rPr>
        <w:t xml:space="preserve">.</w:t>
      </w:r>
    </w:p>
    <w:p>
      <w:pPr>
        <w:pStyle w:val="ListParagraph"/>
        <w:numPr>
          <w:ilvl w:val="0"/>
          <w:numId w:val="3"/>
        </w:numPr>
        <w:spacing w:after="70" w:line="268"/>
      </w:pPr>
      <w:r>
        <w:rPr>
          <w:rFonts w:ascii="Calibri" w:cs="Calibri" w:eastAsia="Calibri" w:hAnsi="Calibri"/>
          <w:color w:val="1A2233"/>
          <w:sz w:val="21"/>
          <w:szCs w:val="21"/>
        </w:rPr>
        <w:t xml:space="preserve">Confirm the base Google tag initializes before custom-event tags.</w:t>
      </w:r>
    </w:p>
    <w:p>
      <w:pPr>
        <w:pStyle w:val="ListParagraph"/>
        <w:numPr>
          <w:ilvl w:val="0"/>
          <w:numId w:val="3"/>
        </w:numPr>
        <w:spacing w:after="70" w:line="268"/>
      </w:pPr>
      <w:r>
        <w:rPr>
          <w:rFonts w:ascii="Calibri" w:cs="Calibri" w:eastAsia="Calibri" w:hAnsi="Calibri"/>
          <w:color w:val="1A2233"/>
          <w:sz w:val="21"/>
          <w:szCs w:val="21"/>
        </w:rPr>
        <w:t xml:space="preserve">Confirm analytics consent was granted.</w:t>
      </w:r>
    </w:p>
    <w:p>
      <w:pPr>
        <w:pStyle w:val="ListParagraph"/>
        <w:numPr>
          <w:ilvl w:val="0"/>
          <w:numId w:val="3"/>
        </w:numPr>
        <w:spacing w:after="70" w:line="268"/>
      </w:pPr>
      <w:r>
        <w:rPr>
          <w:rFonts w:ascii="Calibri" w:cs="Calibri" w:eastAsia="Calibri" w:hAnsi="Calibri"/>
          <w:color w:val="1A2233"/>
          <w:sz w:val="21"/>
          <w:szCs w:val="21"/>
        </w:rPr>
        <w:t xml:space="preserve">Allow standard GA4 processing time; check for blocking extensions.</w:t>
      </w:r>
    </w:p>
    <w:p>
      <w:pPr>
        <w:pStyle w:val="Heading3"/>
        <w:spacing w:after="80" w:before="180"/>
      </w:pPr>
      <w:r>
        <w:rPr>
          <w:rFonts w:ascii="Calibri" w:cs="Calibri" w:eastAsia="Calibri" w:hAnsi="Calibri"/>
          <w:b/>
          <w:bCs/>
          <w:color w:val="1A2233"/>
          <w:sz w:val="22"/>
          <w:szCs w:val="22"/>
        </w:rPr>
        <w:t xml:space="preserve">Event parameters absent from standard reports</w:t>
      </w:r>
    </w:p>
    <w:p>
      <w:pPr>
        <w:pStyle w:val="ListParagraph"/>
        <w:numPr>
          <w:ilvl w:val="0"/>
          <w:numId w:val="3"/>
        </w:numPr>
        <w:spacing w:after="70" w:line="268"/>
      </w:pPr>
      <w:r>
        <w:rPr>
          <w:rFonts w:ascii="Calibri" w:cs="Calibri" w:eastAsia="Calibri" w:hAnsi="Calibri"/>
          <w:color w:val="1A2233"/>
          <w:sz w:val="21"/>
          <w:szCs w:val="21"/>
        </w:rPr>
        <w:t xml:space="preserve">Confirm the values exist in Tag Assistant.</w:t>
      </w:r>
    </w:p>
    <w:p>
      <w:pPr>
        <w:pStyle w:val="ListParagraph"/>
        <w:numPr>
          <w:ilvl w:val="0"/>
          <w:numId w:val="3"/>
        </w:numPr>
        <w:spacing w:after="70" w:line="268"/>
      </w:pPr>
      <w:r>
        <w:rPr>
          <w:rFonts w:ascii="Calibri" w:cs="Calibri" w:eastAsia="Calibri" w:hAnsi="Calibri"/>
          <w:color w:val="1A2233"/>
          <w:sz w:val="21"/>
          <w:szCs w:val="21"/>
        </w:rPr>
        <w:t xml:space="preserve">Confirm each parameter is registered as an event-scoped GA4 custom dimension.</w:t>
      </w:r>
    </w:p>
    <w:p>
      <w:pPr>
        <w:pStyle w:val="ListParagraph"/>
        <w:numPr>
          <w:ilvl w:val="0"/>
          <w:numId w:val="3"/>
        </w:numPr>
        <w:spacing w:after="70" w:line="268"/>
      </w:pPr>
      <w:r>
        <w:rPr>
          <w:rFonts w:ascii="Calibri" w:cs="Calibri" w:eastAsia="Calibri" w:hAnsi="Calibri"/>
          <w:color w:val="1A2233"/>
          <w:sz w:val="21"/>
          <w:szCs w:val="21"/>
        </w:rPr>
        <w:t xml:space="preserve">Confirm capitalization and underscores match exactly.</w:t>
      </w:r>
    </w:p>
    <w:p>
      <w:pPr>
        <w:pStyle w:val="ListParagraph"/>
        <w:numPr>
          <w:ilvl w:val="0"/>
          <w:numId w:val="3"/>
        </w:numPr>
        <w:spacing w:after="70" w:line="268"/>
      </w:pPr>
      <w:r>
        <w:rPr>
          <w:rFonts w:ascii="Calibri" w:cs="Calibri" w:eastAsia="Calibri" w:hAnsi="Calibri"/>
          <w:color w:val="1A2233"/>
          <w:sz w:val="21"/>
          <w:szCs w:val="21"/>
        </w:rPr>
        <w:t xml:space="preserve">Generate new events after creating the definitions, then allow processing time.</w:t>
      </w:r>
    </w:p>
    <w:p>
      <w:pPr>
        <w:pStyle w:val="Heading3"/>
        <w:spacing w:after="80" w:before="180"/>
      </w:pPr>
      <w:r>
        <w:rPr>
          <w:rFonts w:ascii="Calibri" w:cs="Calibri" w:eastAsia="Calibri" w:hAnsi="Calibri"/>
          <w:b/>
          <w:bCs/>
          <w:color w:val="1A2233"/>
          <w:sz w:val="22"/>
          <w:szCs w:val="22"/>
        </w:rPr>
        <w:t xml:space="preserve">Counts appear duplicated</w:t>
      </w:r>
    </w:p>
    <w:p>
      <w:pPr>
        <w:pStyle w:val="ListParagraph"/>
        <w:numPr>
          <w:ilvl w:val="0"/>
          <w:numId w:val="3"/>
        </w:numPr>
        <w:spacing w:after="70" w:line="268"/>
      </w:pPr>
      <w:r>
        <w:rPr>
          <w:rFonts w:ascii="Calibri" w:cs="Calibri" w:eastAsia="Calibri" w:hAnsi="Calibri"/>
          <w:color w:val="1A2233"/>
          <w:sz w:val="21"/>
          <w:szCs w:val="21"/>
        </w:rPr>
        <w:t xml:space="preserve">Search the app and GTM for a second GA4/Google tag installation.</w:t>
      </w:r>
    </w:p>
    <w:p>
      <w:pPr>
        <w:pStyle w:val="ListParagraph"/>
        <w:numPr>
          <w:ilvl w:val="0"/>
          <w:numId w:val="3"/>
        </w:numPr>
        <w:spacing w:after="70" w:line="268"/>
      </w:pPr>
      <w:r>
        <w:rPr>
          <w:rFonts w:ascii="Calibri" w:cs="Calibri" w:eastAsia="Calibri" w:hAnsi="Calibri"/>
          <w:color w:val="1A2233"/>
          <w:sz w:val="21"/>
          <w:szCs w:val="21"/>
        </w:rPr>
        <w:t xml:space="preserve">Do not use both a hard-coded </w:t>
      </w:r>
      <w:r>
        <w:rPr>
          <w:rFonts w:ascii="Consolas" w:cs="Consolas" w:eastAsia="Consolas" w:hAnsi="Consolas"/>
          <w:color w:val="1B4DB8"/>
          <w:sz w:val="19"/>
          <w:szCs w:val="19"/>
        </w:rPr>
        <w:t xml:space="preserve">gtag.js</w:t>
      </w:r>
      <w:r>
        <w:rPr>
          <w:rFonts w:ascii="Calibri" w:cs="Calibri" w:eastAsia="Calibri" w:hAnsi="Calibri"/>
          <w:color w:val="1A2233"/>
          <w:sz w:val="21"/>
          <w:szCs w:val="21"/>
        </w:rPr>
        <w:t xml:space="preserve"> snippet and GTM.</w:t>
      </w:r>
    </w:p>
    <w:p>
      <w:pPr>
        <w:pStyle w:val="ListParagraph"/>
        <w:numPr>
          <w:ilvl w:val="0"/>
          <w:numId w:val="3"/>
        </w:numPr>
        <w:spacing w:after="70" w:line="268"/>
      </w:pPr>
      <w:r>
        <w:rPr>
          <w:rFonts w:ascii="Calibri" w:cs="Calibri" w:eastAsia="Calibri" w:hAnsi="Calibri"/>
          <w:color w:val="1A2233"/>
          <w:sz w:val="21"/>
          <w:szCs w:val="21"/>
        </w:rPr>
        <w:t xml:space="preserve">Do not add a separate history-change page-view tag while Enhanced Measurement handles it.</w:t>
      </w:r>
    </w:p>
    <w:p>
      <w:pPr>
        <w:pStyle w:val="ListParagraph"/>
        <w:numPr>
          <w:ilvl w:val="0"/>
          <w:numId w:val="3"/>
        </w:numPr>
        <w:spacing w:after="70" w:line="268"/>
      </w:pPr>
      <w:r>
        <w:rPr>
          <w:rFonts w:ascii="Calibri" w:cs="Calibri" w:eastAsia="Calibri" w:hAnsi="Calibri"/>
          <w:color w:val="1A2233"/>
          <w:sz w:val="21"/>
          <w:szCs w:val="21"/>
        </w:rPr>
        <w:t xml:space="preserve">Confirm each custom-event trigger is attached to only one matching GA4 Event tag.</w:t>
      </w:r>
    </w:p>
    <w:p>
      <w:pPr>
        <w:pStyle w:val="Heading3"/>
        <w:spacing w:after="80" w:before="180"/>
      </w:pPr>
      <w:r>
        <w:rPr>
          <w:rFonts w:ascii="Calibri" w:cs="Calibri" w:eastAsia="Calibri" w:hAnsi="Calibri"/>
          <w:b/>
          <w:bCs/>
          <w:color w:val="1A2233"/>
          <w:sz w:val="22"/>
          <w:szCs w:val="22"/>
        </w:rPr>
        <w:t xml:space="preserve">Google Sheets reports fail</w:t>
      </w:r>
    </w:p>
    <w:p>
      <w:pPr>
        <w:pStyle w:val="ListParagraph"/>
        <w:numPr>
          <w:ilvl w:val="0"/>
          <w:numId w:val="3"/>
        </w:numPr>
        <w:spacing w:after="70" w:line="268"/>
      </w:pPr>
      <w:r>
        <w:rPr>
          <w:rFonts w:ascii="Calibri" w:cs="Calibri" w:eastAsia="Calibri" w:hAnsi="Calibri"/>
          <w:color w:val="1A2233"/>
          <w:sz w:val="21"/>
          <w:szCs w:val="21"/>
        </w:rPr>
        <w:t xml:space="preserve">Use the numeric GA4 Property ID, not </w:t>
      </w:r>
      <w:r>
        <w:rPr>
          <w:rFonts w:ascii="Consolas" w:cs="Consolas" w:eastAsia="Consolas" w:hAnsi="Consolas"/>
          <w:color w:val="1B4DB8"/>
          <w:sz w:val="19"/>
          <w:szCs w:val="19"/>
        </w:rPr>
        <w:t xml:space="preserve">G-E495LVXW2H</w:t>
      </w:r>
      <w:r>
        <w:rPr>
          <w:rFonts w:ascii="Calibri" w:cs="Calibri" w:eastAsia="Calibri" w:hAnsi="Calibri"/>
          <w:color w:val="1A2233"/>
          <w:sz w:val="21"/>
          <w:szCs w:val="21"/>
        </w:rPr>
        <w:t xml:space="preserve">.</w:t>
      </w:r>
    </w:p>
    <w:p>
      <w:pPr>
        <w:pStyle w:val="ListParagraph"/>
        <w:numPr>
          <w:ilvl w:val="0"/>
          <w:numId w:val="3"/>
        </w:numPr>
        <w:spacing w:after="70" w:line="268"/>
      </w:pPr>
      <w:r>
        <w:rPr>
          <w:rFonts w:ascii="Calibri" w:cs="Calibri" w:eastAsia="Calibri" w:hAnsi="Calibri"/>
          <w:color w:val="1A2233"/>
          <w:sz w:val="21"/>
          <w:szCs w:val="21"/>
        </w:rPr>
        <w:t xml:space="preserve">Confirm the Apps Script account has access to the GA4 property and spreadsheet.</w:t>
      </w:r>
    </w:p>
    <w:p>
      <w:pPr>
        <w:pStyle w:val="ListParagraph"/>
        <w:numPr>
          <w:ilvl w:val="0"/>
          <w:numId w:val="3"/>
        </w:numPr>
        <w:spacing w:after="70" w:line="268"/>
      </w:pPr>
      <w:r>
        <w:rPr>
          <w:rFonts w:ascii="Calibri" w:cs="Calibri" w:eastAsia="Calibri" w:hAnsi="Calibri"/>
          <w:color w:val="1A2233"/>
          <w:sz w:val="21"/>
          <w:szCs w:val="21"/>
        </w:rPr>
        <w:t xml:space="preserve">Confirm the </w:t>
      </w:r>
      <w:r>
        <w:rPr>
          <w:rFonts w:ascii="Consolas" w:cs="Consolas" w:eastAsia="Consolas" w:hAnsi="Consolas"/>
          <w:color w:val="1B4DB8"/>
          <w:sz w:val="19"/>
          <w:szCs w:val="19"/>
        </w:rPr>
        <w:t xml:space="preserve">AnalyticsData</w:t>
      </w:r>
      <w:r>
        <w:rPr>
          <w:rFonts w:ascii="Calibri" w:cs="Calibri" w:eastAsia="Calibri" w:hAnsi="Calibri"/>
          <w:color w:val="1A2233"/>
          <w:sz w:val="21"/>
          <w:szCs w:val="21"/>
        </w:rPr>
        <w:t xml:space="preserve"> advanced service is enabled.</w:t>
      </w:r>
    </w:p>
    <w:p>
      <w:pPr>
        <w:pStyle w:val="ListParagraph"/>
        <w:numPr>
          <w:ilvl w:val="0"/>
          <w:numId w:val="3"/>
        </w:numPr>
        <w:spacing w:after="70" w:line="268"/>
      </w:pPr>
      <w:r>
        <w:rPr>
          <w:rFonts w:ascii="Calibri" w:cs="Calibri" w:eastAsia="Calibri" w:hAnsi="Calibri"/>
          <w:color w:val="1A2233"/>
          <w:sz w:val="21"/>
          <w:szCs w:val="21"/>
        </w:rPr>
        <w:t xml:space="preserve">Register custom dimensions before requesting </w:t>
      </w:r>
      <w:r>
        <w:rPr>
          <w:rFonts w:ascii="Consolas" w:cs="Consolas" w:eastAsia="Consolas" w:hAnsi="Consolas"/>
          <w:color w:val="1B4DB8"/>
          <w:sz w:val="19"/>
          <w:szCs w:val="19"/>
        </w:rPr>
        <w:t xml:space="preserve">customEvent:...</w:t>
      </w:r>
      <w:r>
        <w:rPr>
          <w:rFonts w:ascii="Calibri" w:cs="Calibri" w:eastAsia="Calibri" w:hAnsi="Calibri"/>
          <w:color w:val="1A2233"/>
          <w:sz w:val="21"/>
          <w:szCs w:val="21"/>
        </w:rPr>
        <w:t xml:space="preserve"> fields.</w:t>
      </w:r>
    </w:p>
    <w:p>
      <w:pPr>
        <w:pStyle w:val="ListParagraph"/>
        <w:numPr>
          <w:ilvl w:val="0"/>
          <w:numId w:val="3"/>
        </w:numPr>
        <w:spacing w:after="70" w:line="268"/>
      </w:pPr>
      <w:r>
        <w:rPr>
          <w:rFonts w:ascii="Calibri" w:cs="Calibri" w:eastAsia="Calibri" w:hAnsi="Calibri"/>
          <w:color w:val="1A2233"/>
          <w:sz w:val="21"/>
          <w:szCs w:val="21"/>
        </w:rPr>
        <w:t xml:space="preserve">Review the Apps Script execution log and the report's refresh-log sheet.</w:t>
      </w:r>
    </w:p>
    <w:p>
      <w:r>
        <w:br w:type="page"/>
      </w:r>
    </w:p>
    <w:p>
      <w:pPr>
        <w:pStyle w:val="Heading1"/>
        <w:spacing w:after="140" w:before="320"/>
      </w:pPr>
      <w:r>
        <w:rPr>
          <w:rFonts w:ascii="Calibri" w:cs="Calibri" w:eastAsia="Calibri" w:hAnsi="Calibri"/>
          <w:b/>
          <w:bCs/>
          <w:color w:val="1A2233"/>
          <w:sz w:val="30"/>
          <w:szCs w:val="30"/>
        </w:rPr>
        <w:t xml:space="preserve">12. Security &amp; governance</w:t>
      </w:r>
    </w:p>
    <w:p>
      <w:pPr>
        <w:pStyle w:val="ListParagraph"/>
        <w:numPr>
          <w:ilvl w:val="0"/>
          <w:numId w:val="3"/>
        </w:numPr>
        <w:spacing w:after="70" w:line="268"/>
      </w:pPr>
      <w:r>
        <w:rPr>
          <w:rFonts w:ascii="Calibri" w:cs="Calibri" w:eastAsia="Calibri" w:hAnsi="Calibri"/>
          <w:color w:val="1A2233"/>
          <w:sz w:val="21"/>
          <w:szCs w:val="21"/>
        </w:rPr>
        <w:t xml:space="preserve">Never send emails, request titles/descriptions, local visitor IDs, or other personal data to GA4.</w:t>
      </w:r>
    </w:p>
    <w:p>
      <w:pPr>
        <w:pStyle w:val="ListParagraph"/>
        <w:numPr>
          <w:ilvl w:val="0"/>
          <w:numId w:val="3"/>
        </w:numPr>
        <w:spacing w:after="70" w:line="268"/>
      </w:pPr>
      <w:r>
        <w:rPr>
          <w:rFonts w:ascii="Calibri" w:cs="Calibri" w:eastAsia="Calibri" w:hAnsi="Calibri"/>
          <w:color w:val="1A2233"/>
          <w:sz w:val="21"/>
          <w:szCs w:val="21"/>
        </w:rPr>
        <w:t xml:space="preserve">Use controlled categorical values for event parameters.</w:t>
      </w:r>
    </w:p>
    <w:p>
      <w:pPr>
        <w:pStyle w:val="ListParagraph"/>
        <w:numPr>
          <w:ilvl w:val="0"/>
          <w:numId w:val="3"/>
        </w:numPr>
        <w:spacing w:after="70" w:line="268"/>
      </w:pPr>
      <w:r>
        <w:rPr>
          <w:rFonts w:ascii="Calibri" w:cs="Calibri" w:eastAsia="Calibri" w:hAnsi="Calibri"/>
          <w:color w:val="1A2233"/>
          <w:sz w:val="21"/>
          <w:szCs w:val="21"/>
        </w:rPr>
        <w:t xml:space="preserve">Keep GTM container and GA4 property access limited to authorized maintainers.</w:t>
      </w:r>
    </w:p>
    <w:p>
      <w:pPr>
        <w:pStyle w:val="ListParagraph"/>
        <w:numPr>
          <w:ilvl w:val="0"/>
          <w:numId w:val="3"/>
        </w:numPr>
        <w:spacing w:after="70" w:line="268"/>
      </w:pPr>
      <w:r>
        <w:rPr>
          <w:rFonts w:ascii="Calibri" w:cs="Calibri" w:eastAsia="Calibri" w:hAnsi="Calibri"/>
          <w:color w:val="1A2233"/>
          <w:sz w:val="21"/>
          <w:szCs w:val="21"/>
        </w:rPr>
        <w:t xml:space="preserve">Use descriptive GTM version names and change notes.</w:t>
      </w:r>
    </w:p>
    <w:p>
      <w:pPr>
        <w:pStyle w:val="ListParagraph"/>
        <w:numPr>
          <w:ilvl w:val="0"/>
          <w:numId w:val="3"/>
        </w:numPr>
        <w:spacing w:after="70" w:line="268"/>
      </w:pPr>
      <w:r>
        <w:rPr>
          <w:rFonts w:ascii="Calibri" w:cs="Calibri" w:eastAsia="Calibri" w:hAnsi="Calibri"/>
          <w:color w:val="1A2233"/>
          <w:sz w:val="21"/>
          <w:szCs w:val="21"/>
        </w:rPr>
        <w:t xml:space="preserve">Test consent behavior whenever analytics-loading code changes.</w:t>
      </w:r>
    </w:p>
    <w:p>
      <w:pPr>
        <w:pStyle w:val="ListParagraph"/>
        <w:numPr>
          <w:ilvl w:val="0"/>
          <w:numId w:val="3"/>
        </w:numPr>
        <w:spacing w:after="70" w:line="268"/>
      </w:pPr>
      <w:r>
        <w:rPr>
          <w:rFonts w:ascii="Calibri" w:cs="Calibri" w:eastAsia="Calibri" w:hAnsi="Calibri"/>
          <w:color w:val="1A2233"/>
          <w:sz w:val="21"/>
          <w:szCs w:val="21"/>
        </w:rPr>
        <w:t xml:space="preserve">Review the measurement plan periodically; remove unused tags and variables.</w:t>
      </w:r>
    </w:p>
    <w:p>
      <w:pPr>
        <w:pStyle w:val="ListParagraph"/>
        <w:numPr>
          <w:ilvl w:val="0"/>
          <w:numId w:val="3"/>
        </w:numPr>
        <w:spacing w:after="70" w:line="268"/>
      </w:pPr>
      <w:r>
        <w:rPr>
          <w:rFonts w:ascii="Calibri" w:cs="Calibri" w:eastAsia="Calibri" w:hAnsi="Calibri"/>
          <w:color w:val="1A2233"/>
          <w:sz w:val="21"/>
          <w:szCs w:val="21"/>
        </w:rPr>
        <w:t xml:space="preserve">Update documentation whenever an event, parameter, key-event definition, GTM ID, GA4 stream, or consent behavior changes.</w:t>
      </w:r>
    </w:p>
    <w:p>
      <w:pPr>
        <w:pStyle w:val="Heading1"/>
        <w:spacing w:after="140" w:before="320"/>
      </w:pPr>
      <w:r>
        <w:rPr>
          <w:rFonts w:ascii="Calibri" w:cs="Calibri" w:eastAsia="Calibri" w:hAnsi="Calibri"/>
          <w:b/>
          <w:bCs/>
          <w:color w:val="1A2233"/>
          <w:sz w:val="30"/>
          <w:szCs w:val="30"/>
        </w:rPr>
        <w:t xml:space="preserve">13. Release checklist</w:t>
      </w:r>
    </w:p>
    <w:p>
      <w:pPr>
        <w:spacing w:after="70" w:line="268"/>
      </w:pPr>
      <w:r>
        <w:rPr>
          <w:color w:val="2F6FED"/>
          <w:sz w:val="22"/>
          <w:szCs w:val="22"/>
        </w:rPr>
        <w:t xml:space="preserve">☐  </w:t>
      </w:r>
      <w:r>
        <w:rPr>
          <w:rFonts w:ascii="Calibri" w:cs="Calibri" w:eastAsia="Calibri" w:hAnsi="Calibri"/>
          <w:color w:val="1A2233"/>
          <w:sz w:val="21"/>
          <w:szCs w:val="21"/>
        </w:rPr>
        <w:t xml:space="preserve">The production GTM container ID is correct.</w:t>
      </w:r>
    </w:p>
    <w:p>
      <w:pPr>
        <w:spacing w:after="70" w:line="268"/>
      </w:pPr>
      <w:r>
        <w:rPr>
          <w:color w:val="2F6FED"/>
          <w:sz w:val="22"/>
          <w:szCs w:val="22"/>
        </w:rPr>
        <w:t xml:space="preserve">☐  </w:t>
      </w:r>
      <w:r>
        <w:rPr>
          <w:rFonts w:ascii="Calibri" w:cs="Calibri" w:eastAsia="Calibri" w:hAnsi="Calibri"/>
          <w:color w:val="1A2233"/>
          <w:sz w:val="21"/>
          <w:szCs w:val="21"/>
        </w:rPr>
        <w:t xml:space="preserve">GTM is absent before consent and loads after consent.</w:t>
      </w:r>
    </w:p>
    <w:p>
      <w:pPr>
        <w:spacing w:after="70" w:line="268"/>
      </w:pPr>
      <w:r>
        <w:rPr>
          <w:color w:val="2F6FED"/>
          <w:sz w:val="22"/>
          <w:szCs w:val="22"/>
        </w:rPr>
        <w:t xml:space="preserve">☐  </w:t>
      </w:r>
      <w:r>
        <w:rPr>
          <w:rFonts w:ascii="Calibri" w:cs="Calibri" w:eastAsia="Calibri" w:hAnsi="Calibri"/>
          <w:color w:val="1A2233"/>
          <w:sz w:val="21"/>
          <w:szCs w:val="21"/>
        </w:rPr>
        <w:t xml:space="preserve">There is only one GA4 loader.</w:t>
      </w:r>
    </w:p>
    <w:p>
      <w:pPr>
        <w:spacing w:after="70" w:line="268"/>
      </w:pPr>
      <w:r>
        <w:rPr>
          <w:color w:val="2F6FED"/>
          <w:sz w:val="22"/>
          <w:szCs w:val="22"/>
        </w:rPr>
        <w:t xml:space="preserve">☐  </w:t>
      </w:r>
      <w:r>
        <w:rPr>
          <w:rFonts w:ascii="Calibri" w:cs="Calibri" w:eastAsia="Calibri" w:hAnsi="Calibri"/>
          <w:color w:val="1A2233"/>
          <w:sz w:val="21"/>
          <w:szCs w:val="21"/>
        </w:rPr>
        <w:t xml:space="preserve">The base Google tag fires once.</w:t>
      </w:r>
    </w:p>
    <w:p>
      <w:pPr>
        <w:spacing w:after="70" w:line="268"/>
      </w:pPr>
      <w:r>
        <w:rPr>
          <w:color w:val="2F6FED"/>
          <w:sz w:val="22"/>
          <w:szCs w:val="22"/>
        </w:rPr>
        <w:t xml:space="preserve">☐  </w:t>
      </w:r>
      <w:r>
        <w:rPr>
          <w:rFonts w:ascii="Calibri" w:cs="Calibri" w:eastAsia="Calibri" w:hAnsi="Calibri"/>
          <w:color w:val="1A2233"/>
          <w:sz w:val="21"/>
          <w:szCs w:val="21"/>
        </w:rPr>
        <w:t xml:space="preserve">All current custom events appear in the Tag Assistant timeline.</w:t>
      </w:r>
    </w:p>
    <w:p>
      <w:pPr>
        <w:spacing w:after="70" w:line="268"/>
      </w:pPr>
      <w:r>
        <w:rPr>
          <w:color w:val="2F6FED"/>
          <w:sz w:val="22"/>
          <w:szCs w:val="22"/>
        </w:rPr>
        <w:t xml:space="preserve">☐  </w:t>
      </w:r>
      <w:r>
        <w:rPr>
          <w:rFonts w:ascii="Calibri" w:cs="Calibri" w:eastAsia="Calibri" w:hAnsi="Calibri"/>
          <w:color w:val="1A2233"/>
          <w:sz w:val="21"/>
          <w:szCs w:val="21"/>
        </w:rPr>
        <w:t xml:space="preserve">Every matching GA4 Event tag fires once.</w:t>
      </w:r>
    </w:p>
    <w:p>
      <w:pPr>
        <w:spacing w:after="70" w:line="268"/>
      </w:pPr>
      <w:r>
        <w:rPr>
          <w:color w:val="2F6FED"/>
          <w:sz w:val="22"/>
          <w:szCs w:val="22"/>
        </w:rPr>
        <w:t xml:space="preserve">☐  </w:t>
      </w:r>
      <w:r>
        <w:rPr>
          <w:rFonts w:ascii="Calibri" w:cs="Calibri" w:eastAsia="Calibri" w:hAnsi="Calibri"/>
          <w:color w:val="1A2233"/>
          <w:sz w:val="21"/>
          <w:szCs w:val="21"/>
        </w:rPr>
        <w:t xml:space="preserve">All required variables contain correct values.</w:t>
      </w:r>
    </w:p>
    <w:p>
      <w:pPr>
        <w:spacing w:after="70" w:line="268"/>
      </w:pPr>
      <w:r>
        <w:rPr>
          <w:color w:val="2F6FED"/>
          <w:sz w:val="22"/>
          <w:szCs w:val="22"/>
        </w:rPr>
        <w:t xml:space="preserve">☐  </w:t>
      </w:r>
      <w:r>
        <w:rPr>
          <w:rFonts w:ascii="Calibri" w:cs="Calibri" w:eastAsia="Calibri" w:hAnsi="Calibri"/>
          <w:color w:val="1A2233"/>
          <w:sz w:val="21"/>
          <w:szCs w:val="21"/>
        </w:rPr>
        <w:t xml:space="preserve">No personal or free-form customer data is present.</w:t>
      </w:r>
    </w:p>
    <w:p>
      <w:pPr>
        <w:spacing w:after="70" w:line="268"/>
      </w:pPr>
      <w:r>
        <w:rPr>
          <w:color w:val="2F6FED"/>
          <w:sz w:val="22"/>
          <w:szCs w:val="22"/>
        </w:rPr>
        <w:t xml:space="preserve">☐  </w:t>
      </w:r>
      <w:r>
        <w:rPr>
          <w:rFonts w:ascii="Calibri" w:cs="Calibri" w:eastAsia="Calibri" w:hAnsi="Calibri"/>
          <w:color w:val="1A2233"/>
          <w:sz w:val="21"/>
          <w:szCs w:val="21"/>
        </w:rPr>
        <w:t xml:space="preserve">Events appear in GA4 Realtime or DebugView.</w:t>
      </w:r>
    </w:p>
    <w:p>
      <w:pPr>
        <w:spacing w:after="70" w:line="268"/>
      </w:pPr>
      <w:r>
        <w:rPr>
          <w:color w:val="2F6FED"/>
          <w:sz w:val="22"/>
          <w:szCs w:val="22"/>
        </w:rPr>
        <w:t xml:space="preserve">☐  </w:t>
      </w:r>
      <w:r>
        <w:rPr>
          <w:rFonts w:ascii="Calibri" w:cs="Calibri" w:eastAsia="Calibri" w:hAnsi="Calibri"/>
          <w:color w:val="1A2233"/>
          <w:sz w:val="21"/>
          <w:szCs w:val="21"/>
        </w:rPr>
        <w:t xml:space="preserve">GA4 custom dimensions exist for custom parameters.</w:t>
      </w:r>
    </w:p>
    <w:p>
      <w:pPr>
        <w:spacing w:after="70" w:line="268"/>
      </w:pPr>
      <w:r>
        <w:rPr>
          <w:color w:val="2F6FED"/>
          <w:sz w:val="22"/>
          <w:szCs w:val="22"/>
        </w:rPr>
        <w:t xml:space="preserve">☐  </w:t>
      </w:r>
      <w:r>
        <w:rPr>
          <w:rFonts w:ascii="Calibri" w:cs="Calibri" w:eastAsia="Calibri" w:hAnsi="Calibri"/>
          <w:color w:val="1A2233"/>
          <w:sz w:val="21"/>
          <w:szCs w:val="21"/>
        </w:rPr>
        <w:t xml:space="preserve">Business outcomes are marked consistently as key events.</w:t>
      </w:r>
    </w:p>
    <w:p>
      <w:pPr>
        <w:spacing w:after="70" w:line="268"/>
      </w:pPr>
      <w:r>
        <w:rPr>
          <w:color w:val="2F6FED"/>
          <w:sz w:val="22"/>
          <w:szCs w:val="22"/>
        </w:rPr>
        <w:t xml:space="preserve">☐  </w:t>
      </w:r>
      <w:r>
        <w:rPr>
          <w:rFonts w:ascii="Calibri" w:cs="Calibri" w:eastAsia="Calibri" w:hAnsi="Calibri"/>
          <w:color w:val="1A2233"/>
          <w:sz w:val="21"/>
          <w:szCs w:val="21"/>
        </w:rPr>
        <w:t xml:space="preserve">GTM workspace changes are submitted and published.</w:t>
      </w:r>
    </w:p>
    <w:p>
      <w:pPr>
        <w:spacing w:after="70" w:line="268"/>
      </w:pPr>
      <w:r>
        <w:rPr>
          <w:color w:val="2F6FED"/>
          <w:sz w:val="22"/>
          <w:szCs w:val="22"/>
        </w:rPr>
        <w:t xml:space="preserve">☐  </w:t>
      </w:r>
      <w:r>
        <w:rPr>
          <w:rFonts w:ascii="Calibri" w:cs="Calibri" w:eastAsia="Calibri" w:hAnsi="Calibri"/>
          <w:color w:val="1A2233"/>
          <w:sz w:val="21"/>
          <w:szCs w:val="21"/>
        </w:rPr>
        <w:t xml:space="preserve">Production is smoke-tested after Vercel deployment.</w:t>
      </w:r>
    </w:p>
    <w:p>
      <w:pPr>
        <w:spacing w:after="70" w:line="268"/>
      </w:pPr>
      <w:r>
        <w:rPr>
          <w:color w:val="2F6FED"/>
          <w:sz w:val="22"/>
          <w:szCs w:val="22"/>
        </w:rPr>
        <w:t xml:space="preserve">☐  </w:t>
      </w:r>
      <w:r>
        <w:rPr>
          <w:rFonts w:ascii="Calibri" w:cs="Calibri" w:eastAsia="Calibri" w:hAnsi="Calibri"/>
          <w:color w:val="1A2233"/>
          <w:sz w:val="21"/>
          <w:szCs w:val="21"/>
        </w:rPr>
        <w:t xml:space="preserve">Analytics documentation and GTM version notes are updated.</w:t>
      </w:r>
    </w:p>
    <w:p>
      <w:pPr>
        <w:pStyle w:val="Heading1"/>
        <w:spacing w:after="140" w:before="320"/>
      </w:pPr>
      <w:r>
        <w:rPr>
          <w:rFonts w:ascii="Calibri" w:cs="Calibri" w:eastAsia="Calibri" w:hAnsi="Calibri"/>
          <w:b/>
          <w:bCs/>
          <w:color w:val="1A2233"/>
          <w:sz w:val="30"/>
          <w:szCs w:val="30"/>
        </w:rPr>
        <w:t xml:space="preserve">14. Portfolio explanation</w:t>
      </w:r>
    </w:p>
    <w:p>
      <w:pPr>
        <w:spacing w:after="120" w:line="276"/>
      </w:pPr>
      <w:r>
        <w:rPr>
          <w:rFonts w:ascii="Calibri" w:cs="Calibri" w:eastAsia="Calibri" w:hAnsi="Calibri"/>
          <w:color w:val="1A2233"/>
          <w:sz w:val="21"/>
          <w:szCs w:val="21"/>
        </w:rPr>
        <w:t xml:space="preserve">A concise way to present this implementation:</w:t>
      </w:r>
    </w:p>
    <w:p>
      <w:pPr>
        <w:pBdr>
          <w:left w:val="single" w:color="2F6FED" w:sz="24" w:space="14"/>
        </w:pBdr>
        <w:spacing w:after="120" w:before="60" w:line="288"/>
        <w:ind w:left="360"/>
      </w:pPr>
      <w:r>
        <w:rPr>
          <w:rFonts w:ascii="Calibri" w:cs="Calibri" w:eastAsia="Calibri" w:hAnsi="Calibri"/>
          <w:i/>
          <w:iCs/>
          <w:color w:val="33404F"/>
          <w:sz w:val="22"/>
          <w:szCs w:val="22"/>
        </w:rPr>
        <w:t xml:space="preserve">PulseBoard uses a consent-gated, event-driven measurement architecture. The Next.js application emits typed first-party data-layer events only after explicit analytics consent. Google Tag Manager translates those events into GA4 events with controlled product metadata, while excluding emails, feedback text, and visitor identifiers. GA4 custom dimensions, key events, explorations, and an optional Google Sheets Data API report turn those interactions into product-demand, acquisition, and conversion insights.</w:t>
      </w:r>
    </w:p>
    <w:p>
      <w:pPr>
        <w:spacing w:after="120" w:line="276"/>
      </w:pPr>
      <w:r>
        <w:rPr>
          <w:rFonts w:ascii="Calibri" w:cs="Calibri" w:eastAsia="Calibri" w:hAnsi="Calibri"/>
          <w:color w:val="5A6472"/>
          <w:sz w:val="21"/>
          <w:szCs w:val="21"/>
        </w:rPr>
        <w:t xml:space="preserve">This demonstrates product analytics planning, implementation governance, privacy-aware measurement, technical validation, and stakeholder reporting — not only tag installation.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E4" w:sz="4" w:space="6"/>
      </w:pBdr>
      <w:spacing w:before="40"/>
      <w:jc w:val="center"/>
    </w:pPr>
    <w:r>
      <w:rPr>
        <w:rFonts w:ascii="Calibri" w:cs="Calibri" w:eastAsia="Calibri" w:hAnsi="Calibri"/>
        <w:color w:val="5A6472"/>
        <w:sz w:val="16"/>
        <w:szCs w:val="16"/>
      </w:rPr>
      <w:t xml:space="preserve">Page </w:t>
    </w:r>
    <w:r>
      <w:rPr>
        <w:rFonts w:ascii="Calibri" w:cs="Calibri" w:eastAsia="Calibri" w:hAnsi="Calibri"/>
        <w:color w:val="5A6472"/>
        <w:sz w:val="16"/>
        <w:szCs w:val="16"/>
      </w:rPr>
      <w:fldChar w:fldCharType="begin"/>
      <w:instrText xml:space="preserve">PAGE</w:instrText>
      <w:fldChar w:fldCharType="separate"/>
      <w:fldChar w:fldCharType="end"/>
    </w:r>
    <w:r>
      <w:rPr>
        <w:rFonts w:ascii="Calibri" w:cs="Calibri" w:eastAsia="Calibri" w:hAnsi="Calibri"/>
        <w:color w:val="5A6472"/>
        <w:sz w:val="16"/>
        <w:szCs w:val="16"/>
      </w:rPr>
      <w:t xml:space="preserve"> of </w:t>
    </w:r>
    <w:r>
      <w:rPr>
        <w:rFonts w:ascii="Calibri" w:cs="Calibri" w:eastAsia="Calibri" w:hAnsi="Calibri"/>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E4" w:sz="4" w:space="6"/>
      </w:pBdr>
      <w:spacing w:after="0"/>
      <w:jc w:val="right"/>
    </w:pPr>
    <w:r>
      <w:rPr>
        <w:rFonts w:ascii="Calibri" w:cs="Calibri" w:eastAsia="Calibri" w:hAnsi="Calibri"/>
        <w:color w:val="5A6472"/>
        <w:sz w:val="16"/>
        <w:szCs w:val="16"/>
      </w:rPr>
      <w:t xml:space="preserve">PulseBoard · GA4 &amp; GTM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2F6FED"/>
      </w:r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30" w:hanging="290"/>
      </w:pPr>
      <w:rPr>
        <w:b/>
        <w:bCs/>
        <w:color w:val="1B4DB8"/>
      </w:rPr>
    </w:lvl>
  </w:abstractNum>
  <w:abstractNum w:abstractNumId="4" w15:restartNumberingAfterBreak="0">
    <w:multiLevelType w:val="hybridMultilevel"/>
    <w:lvl w:ilvl="0" w15:tentative="1">
      <w:start w:val="1"/>
      <w:numFmt w:val="decimal"/>
      <w:lvlText w:val="%1."/>
      <w:lvlJc w:val="left"/>
      <w:pPr>
        <w:ind w:left="430" w:hanging="290"/>
      </w:pPr>
      <w:rPr>
        <w:b/>
        <w:bCs/>
        <w:color w:val="1B4DB8"/>
      </w:rPr>
    </w:lvl>
  </w:abstractNum>
  <w:abstractNum w:abstractNumId="5" w15:restartNumberingAfterBreak="0">
    <w:multiLevelType w:val="hybridMultilevel"/>
    <w:lvl w:ilvl="0" w15:tentative="1">
      <w:start w:val="1"/>
      <w:numFmt w:val="decimal"/>
      <w:lvlText w:val="%1."/>
      <w:lvlJc w:val="left"/>
      <w:pPr>
        <w:ind w:left="430" w:hanging="290"/>
      </w:pPr>
      <w:rPr>
        <w:b/>
        <w:bCs/>
        <w:color w:val="1B4DB8"/>
      </w:rPr>
    </w:lvl>
  </w:abstractNum>
  <w:abstractNum w:abstractNumId="6" w15:restartNumberingAfterBreak="0">
    <w:multiLevelType w:val="hybridMultilevel"/>
    <w:lvl w:ilvl="0" w15:tentative="1">
      <w:start w:val="1"/>
      <w:numFmt w:val="decimal"/>
      <w:lvlText w:val="%1."/>
      <w:lvlJc w:val="left"/>
      <w:pPr>
        <w:ind w:left="430" w:hanging="290"/>
      </w:pPr>
      <w:rPr>
        <w:b/>
        <w:bCs/>
        <w:color w:val="1B4DB8"/>
      </w:rPr>
    </w:lvl>
  </w:abstractNum>
  <w:abstractNum w:abstractNumId="7" w15:restartNumberingAfterBreak="0">
    <w:multiLevelType w:val="hybridMultilevel"/>
    <w:lvl w:ilvl="0" w15:tentative="1">
      <w:start w:val="1"/>
      <w:numFmt w:val="decimal"/>
      <w:lvlText w:val="%1."/>
      <w:lvlJc w:val="left"/>
      <w:pPr>
        <w:ind w:left="430" w:hanging="290"/>
      </w:pPr>
      <w:rPr>
        <w:b/>
        <w:bCs/>
        <w:color w:val="1B4DB8"/>
      </w:rPr>
    </w:lvl>
  </w:abstractNum>
  <w:abstractNum w:abstractNumId="8" w15:restartNumberingAfterBreak="0">
    <w:multiLevelType w:val="hybridMultilevel"/>
    <w:lvl w:ilvl="0" w15:tentative="1">
      <w:start w:val="1"/>
      <w:numFmt w:val="decimal"/>
      <w:lvlText w:val="%1."/>
      <w:lvlJc w:val="left"/>
      <w:pPr>
        <w:ind w:left="430" w:hanging="290"/>
      </w:pPr>
      <w:rPr>
        <w:b/>
        <w:bCs/>
        <w:color w:val="1B4DB8"/>
      </w:rPr>
    </w:lvl>
  </w:abstractNum>
  <w:abstractNum w:abstractNumId="9" w15:restartNumberingAfterBreak="0">
    <w:multiLevelType w:val="hybridMultilevel"/>
    <w:lvl w:ilvl="0" w15:tentative="1">
      <w:start w:val="1"/>
      <w:numFmt w:val="decimal"/>
      <w:lvlText w:val="%1."/>
      <w:lvlJc w:val="left"/>
      <w:pPr>
        <w:ind w:left="430" w:hanging="290"/>
      </w:pPr>
      <w:rPr>
        <w:b/>
        <w:bCs/>
        <w:color w:val="1B4DB8"/>
      </w:rPr>
    </w:lvl>
  </w:abstractNum>
  <w:abstractNum w:abstractNumId="10" w15:restartNumberingAfterBreak="0">
    <w:multiLevelType w:val="hybridMultilevel"/>
    <w:lvl w:ilvl="0" w15:tentative="1">
      <w:start w:val="1"/>
      <w:numFmt w:val="decimal"/>
      <w:lvlText w:val="%1."/>
      <w:lvlJc w:val="left"/>
      <w:pPr>
        <w:ind w:left="430" w:hanging="290"/>
      </w:pPr>
      <w:rPr>
        <w:b/>
        <w:bCs/>
        <w:color w:val="1B4DB8"/>
      </w:rPr>
    </w:lvl>
  </w:abstractNum>
  <w:abstractNum w:abstractNumId="11" w15:restartNumberingAfterBreak="0">
    <w:multiLevelType w:val="hybridMultilevel"/>
    <w:lvl w:ilvl="0" w15:tentative="1">
      <w:start w:val="1"/>
      <w:numFmt w:val="decimal"/>
      <w:lvlText w:val="%1."/>
      <w:lvlJc w:val="left"/>
      <w:pPr>
        <w:ind w:left="430" w:hanging="290"/>
      </w:pPr>
      <w:rPr>
        <w:b/>
        <w:bCs/>
        <w:color w:val="1B4DB8"/>
      </w:rPr>
    </w:lvl>
  </w:abstractNum>
  <w:abstractNum w:abstractNumId="12" w15:restartNumberingAfterBreak="0">
    <w:multiLevelType w:val="hybridMultilevel"/>
    <w:lvl w:ilvl="0" w15:tentative="1">
      <w:start w:val="1"/>
      <w:numFmt w:val="decimal"/>
      <w:lvlText w:val="%1."/>
      <w:lvlJc w:val="left"/>
      <w:pPr>
        <w:ind w:left="430" w:hanging="290"/>
      </w:pPr>
      <w:rPr>
        <w:b/>
        <w:bCs/>
        <w:color w:val="1B4DB8"/>
      </w:rPr>
    </w:lvl>
  </w:abstractNum>
  <w:abstractNum w:abstractNumId="13" w15:restartNumberingAfterBreak="0">
    <w:multiLevelType w:val="hybridMultilevel"/>
    <w:lvl w:ilvl="0" w15:tentative="1">
      <w:start w:val="1"/>
      <w:numFmt w:val="decimal"/>
      <w:lvlText w:val="%1."/>
      <w:lvlJc w:val="left"/>
      <w:pPr>
        <w:ind w:left="430" w:hanging="290"/>
      </w:pPr>
      <w:rPr>
        <w:b/>
        <w:bCs/>
        <w:color w:val="1B4DB8"/>
      </w:rPr>
    </w:lvl>
  </w:abstractNum>
  <w:abstractNum w:abstractNumId="14" w15:restartNumberingAfterBreak="0">
    <w:multiLevelType w:val="hybridMultilevel"/>
    <w:lvl w:ilvl="0" w15:tentative="1">
      <w:start w:val="1"/>
      <w:numFmt w:val="decimal"/>
      <w:lvlText w:val="%1."/>
      <w:lvlJc w:val="left"/>
      <w:pPr>
        <w:ind w:left="430" w:hanging="290"/>
      </w:pPr>
      <w:rPr>
        <w:b/>
        <w:bCs/>
        <w:color w:val="1B4DB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2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PulseBoard — GA4 &amp; GTM Implementation Guide</dc:title>
  <dc:creator>PulseBoard</dc:creator>
  <cp:lastModifiedBy>Un-named</cp:lastModifiedBy>
  <cp:revision>1</cp:revision>
  <dcterms:created xsi:type="dcterms:W3CDTF">2026-08-29T13:50:40.198Z</dcterms:created>
  <dcterms:modified xsi:type="dcterms:W3CDTF">2026-08-29T13:50:40.199Z</dcterms:modified>
</cp:coreProperties>
</file>

<file path=docProps/custom.xml><?xml version="1.0" encoding="utf-8"?>
<Properties xmlns="http://schemas.openxmlformats.org/officeDocument/2006/custom-properties" xmlns:vt="http://schemas.openxmlformats.org/officeDocument/2006/docPropsVTypes"/>
</file>