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27185" w:rsidR="00062655" w:rsidP="00062655" w:rsidRDefault="00062655" w14:paraId="4276642F" w14:textId="77777777">
      <w:pPr>
        <w:jc w:val="center"/>
        <w:rPr>
          <w:b/>
          <w:bCs/>
          <w:sz w:val="36"/>
          <w:szCs w:val="36"/>
        </w:rPr>
      </w:pPr>
      <w:r w:rsidRPr="00827185">
        <w:rPr>
          <w:b/>
          <w:bCs/>
          <w:sz w:val="36"/>
          <w:szCs w:val="36"/>
        </w:rPr>
        <w:t>AI-Powered Care Coordination Agent: A Semantic Framework for Chronic Care Management (CCM)</w:t>
      </w:r>
    </w:p>
    <w:p w:rsidRPr="00AA6F2E" w:rsidR="00062655" w:rsidP="00062655" w:rsidRDefault="00062655" w14:paraId="52EE461A" w14:textId="77777777">
      <w:pPr>
        <w:pStyle w:val="paragraph"/>
        <w:spacing w:before="0" w:beforeAutospacing="0" w:after="0" w:afterAutospacing="0"/>
        <w:jc w:val="center"/>
        <w:textAlignment w:val="baseline"/>
        <w:rPr>
          <w:rStyle w:val="normaltextrun"/>
          <w:rFonts w:ascii="Verdana" w:hAnsi="Verdana" w:eastAsiaTheme="majorEastAsia"/>
          <w:sz w:val="36"/>
          <w:szCs w:val="36"/>
        </w:rPr>
      </w:pPr>
      <w:r w:rsidRPr="00AA6F2E">
        <w:rPr>
          <w:rStyle w:val="normaltextrun"/>
          <w:rFonts w:ascii="Verdana" w:hAnsi="Verdana" w:eastAsiaTheme="majorEastAsia"/>
        </w:rPr>
        <w:t> </w:t>
      </w:r>
    </w:p>
    <w:p w:rsidRPr="00AA6F2E" w:rsidR="00062655" w:rsidP="00062655" w:rsidRDefault="00062655" w14:paraId="1A0423EC" w14:textId="77777777">
      <w:pPr>
        <w:pStyle w:val="paragraph"/>
        <w:spacing w:before="0" w:beforeAutospacing="0" w:after="0" w:afterAutospacing="0"/>
        <w:jc w:val="center"/>
        <w:textAlignment w:val="baseline"/>
        <w:rPr>
          <w:rFonts w:ascii="Verdana" w:hAnsi="Verdana" w:cs="Segoe UI"/>
          <w:sz w:val="18"/>
          <w:szCs w:val="18"/>
        </w:rPr>
      </w:pPr>
      <w:r w:rsidRPr="00AA6F2E">
        <w:rPr>
          <w:rStyle w:val="normaltextrun"/>
          <w:rFonts w:ascii="Verdana" w:hAnsi="Verdana" w:cs="Segoe UI" w:eastAsiaTheme="majorEastAsia"/>
          <w:color w:val="000000"/>
          <w:sz w:val="28"/>
          <w:szCs w:val="28"/>
        </w:rPr>
        <w:t> </w:t>
      </w:r>
      <w:r w:rsidRPr="00AA6F2E">
        <w:rPr>
          <w:rStyle w:val="apple-converted-space"/>
          <w:rFonts w:ascii="Verdana" w:hAnsi="Verdana" w:cs="Segoe UI" w:eastAsiaTheme="majorEastAsia"/>
          <w:color w:val="000000"/>
          <w:sz w:val="28"/>
          <w:szCs w:val="28"/>
        </w:rPr>
        <w:t> </w:t>
      </w:r>
      <w:r>
        <w:rPr>
          <w:rStyle w:val="normaltextrun"/>
          <w:rFonts w:ascii="Verdana" w:hAnsi="Verdana" w:cs="Segoe UI" w:eastAsiaTheme="majorEastAsia"/>
          <w:color w:val="000000"/>
        </w:rPr>
        <w:t>Ayush Kumar Gupta</w:t>
      </w:r>
    </w:p>
    <w:p w:rsidRPr="00AA6F2E" w:rsidR="00062655" w:rsidP="00062655" w:rsidRDefault="00062655" w14:paraId="2BE2CB5C" w14:textId="77777777">
      <w:pPr>
        <w:pStyle w:val="paragraph"/>
        <w:spacing w:before="0" w:beforeAutospacing="0" w:after="0" w:afterAutospacing="0"/>
        <w:jc w:val="center"/>
        <w:textAlignment w:val="baseline"/>
        <w:rPr>
          <w:rFonts w:ascii="Verdana" w:hAnsi="Verdana" w:cs="Segoe UI"/>
          <w:sz w:val="18"/>
          <w:szCs w:val="18"/>
        </w:rPr>
      </w:pPr>
      <w:r w:rsidRPr="00AA6F2E">
        <w:rPr>
          <w:rStyle w:val="normaltextrun"/>
          <w:rFonts w:ascii="Verdana" w:hAnsi="Verdana" w:cs="Segoe UI" w:eastAsiaTheme="majorEastAsia"/>
          <w:color w:val="000000"/>
        </w:rPr>
        <w:t>Advisor:</w:t>
      </w:r>
      <w:r w:rsidRPr="00AA6F2E">
        <w:rPr>
          <w:rStyle w:val="apple-converted-space"/>
          <w:rFonts w:ascii="Verdana" w:hAnsi="Verdana" w:cs="Segoe UI" w:eastAsiaTheme="majorEastAsia"/>
          <w:color w:val="000000"/>
        </w:rPr>
        <w:t> </w:t>
      </w:r>
      <w:r w:rsidRPr="00AA6F2E">
        <w:rPr>
          <w:rStyle w:val="normaltextrun"/>
          <w:rFonts w:ascii="Verdana" w:hAnsi="Verdana" w:cs="Segoe UI" w:eastAsiaTheme="majorEastAsia"/>
          <w:color w:val="000000"/>
        </w:rPr>
        <w:t>Sivakumar Visweswaran</w:t>
      </w:r>
    </w:p>
    <w:p w:rsidRPr="00AA6F2E" w:rsidR="00062655" w:rsidP="00062655" w:rsidRDefault="00062655" w14:paraId="36A04BDC" w14:textId="77777777">
      <w:pPr>
        <w:pStyle w:val="paragraph"/>
        <w:spacing w:before="0" w:beforeAutospacing="0" w:after="0" w:afterAutospacing="0"/>
        <w:jc w:val="center"/>
        <w:textAlignment w:val="baseline"/>
        <w:rPr>
          <w:rFonts w:ascii="Verdana" w:hAnsi="Verdana" w:cs="Segoe UI"/>
          <w:sz w:val="18"/>
          <w:szCs w:val="18"/>
        </w:rPr>
      </w:pPr>
      <w:r w:rsidRPr="00AA6F2E">
        <w:rPr>
          <w:rStyle w:val="normaltextrun"/>
          <w:rFonts w:ascii="Verdana" w:hAnsi="Verdana" w:cs="Segoe UI" w:eastAsiaTheme="majorEastAsia"/>
        </w:rPr>
        <w:t>CS</w:t>
      </w:r>
      <w:r w:rsidRPr="00AA6F2E">
        <w:rPr>
          <w:rStyle w:val="apple-converted-space"/>
          <w:rFonts w:ascii="Verdana" w:hAnsi="Verdana" w:cs="Segoe UI" w:eastAsiaTheme="majorEastAsia"/>
        </w:rPr>
        <w:t> </w:t>
      </w:r>
      <w:r w:rsidRPr="00AA6F2E">
        <w:rPr>
          <w:rStyle w:val="normaltextrun"/>
          <w:rFonts w:ascii="Verdana" w:hAnsi="Verdana" w:cs="Segoe UI" w:eastAsiaTheme="majorEastAsia"/>
        </w:rPr>
        <w:t>687</w:t>
      </w:r>
      <w:r w:rsidRPr="00AA6F2E">
        <w:rPr>
          <w:rStyle w:val="apple-converted-space"/>
          <w:rFonts w:ascii="Verdana" w:hAnsi="Verdana" w:cs="Segoe UI" w:eastAsiaTheme="majorEastAsia"/>
        </w:rPr>
        <w:t> </w:t>
      </w:r>
      <w:r w:rsidRPr="00AA6F2E">
        <w:rPr>
          <w:rStyle w:val="normaltextrun"/>
          <w:rFonts w:ascii="Verdana" w:hAnsi="Verdana" w:cs="Segoe UI" w:eastAsiaTheme="majorEastAsia"/>
        </w:rPr>
        <w:t>Computer Science Capstone</w:t>
      </w:r>
      <w:r w:rsidRPr="00AA6F2E">
        <w:rPr>
          <w:rStyle w:val="eop"/>
          <w:rFonts w:ascii="Verdana" w:hAnsi="Verdana" w:cs="Segoe UI" w:eastAsiaTheme="majorEastAsia"/>
        </w:rPr>
        <w:t> </w:t>
      </w:r>
    </w:p>
    <w:p w:rsidRPr="00AA6F2E" w:rsidR="00062655" w:rsidP="00062655" w:rsidRDefault="00062655" w14:paraId="3E8AFCAE" w14:textId="77777777">
      <w:pPr>
        <w:pStyle w:val="paragraph"/>
        <w:spacing w:before="0" w:beforeAutospacing="0" w:after="0" w:afterAutospacing="0"/>
        <w:jc w:val="center"/>
        <w:textAlignment w:val="baseline"/>
        <w:rPr>
          <w:rFonts w:ascii="Verdana" w:hAnsi="Verdana" w:cs="Segoe UI"/>
          <w:sz w:val="18"/>
          <w:szCs w:val="18"/>
        </w:rPr>
      </w:pPr>
      <w:r w:rsidRPr="00AA6F2E">
        <w:rPr>
          <w:rStyle w:val="normaltextrun"/>
          <w:rFonts w:ascii="Verdana" w:hAnsi="Verdana" w:cs="Segoe UI" w:eastAsiaTheme="majorEastAsia"/>
        </w:rPr>
        <w:t>Spring 2026</w:t>
      </w:r>
      <w:r w:rsidRPr="00AA6F2E">
        <w:rPr>
          <w:rStyle w:val="eop"/>
          <w:rFonts w:ascii="Verdana" w:hAnsi="Verdana" w:cs="Segoe UI" w:eastAsiaTheme="majorEastAsia"/>
        </w:rPr>
        <w:t> </w:t>
      </w:r>
    </w:p>
    <w:p w:rsidRPr="00AA6F2E" w:rsidR="00062655" w:rsidP="00062655" w:rsidRDefault="00062655" w14:paraId="750C7D2B" w14:textId="77777777">
      <w:pPr>
        <w:pStyle w:val="paragraph"/>
        <w:spacing w:before="0" w:beforeAutospacing="0" w:after="0" w:afterAutospacing="0"/>
        <w:jc w:val="center"/>
        <w:textAlignment w:val="baseline"/>
        <w:rPr>
          <w:rFonts w:ascii="Verdana" w:hAnsi="Verdana" w:cs="Segoe UI"/>
          <w:sz w:val="18"/>
          <w:szCs w:val="18"/>
        </w:rPr>
      </w:pPr>
      <w:r w:rsidRPr="00AA6F2E">
        <w:rPr>
          <w:rStyle w:val="normaltextrun"/>
          <w:rFonts w:ascii="Verdana" w:hAnsi="Verdana" w:cs="Segoe UI" w:eastAsiaTheme="majorEastAsia"/>
        </w:rPr>
        <w:t>Master</w:t>
      </w:r>
      <w:r w:rsidRPr="00AA6F2E">
        <w:rPr>
          <w:rStyle w:val="apple-converted-space"/>
          <w:rFonts w:ascii="Verdana" w:hAnsi="Verdana" w:cs="Segoe UI" w:eastAsiaTheme="majorEastAsia"/>
        </w:rPr>
        <w:t> </w:t>
      </w:r>
      <w:r w:rsidRPr="00AA6F2E">
        <w:rPr>
          <w:rStyle w:val="normaltextrun"/>
          <w:rFonts w:ascii="Verdana" w:hAnsi="Verdana" w:cs="Segoe UI" w:eastAsiaTheme="majorEastAsia"/>
        </w:rPr>
        <w:t>of</w:t>
      </w:r>
      <w:r w:rsidRPr="00AA6F2E">
        <w:rPr>
          <w:rStyle w:val="apple-converted-space"/>
          <w:rFonts w:ascii="Verdana" w:hAnsi="Verdana" w:cs="Segoe UI" w:eastAsiaTheme="majorEastAsia"/>
        </w:rPr>
        <w:t> </w:t>
      </w:r>
      <w:r w:rsidRPr="00AA6F2E">
        <w:rPr>
          <w:rStyle w:val="normaltextrun"/>
          <w:rFonts w:ascii="Verdana" w:hAnsi="Verdana" w:cs="Segoe UI" w:eastAsiaTheme="majorEastAsia"/>
        </w:rPr>
        <w:t>Science</w:t>
      </w:r>
      <w:r w:rsidRPr="00AA6F2E">
        <w:rPr>
          <w:rStyle w:val="apple-converted-space"/>
          <w:rFonts w:ascii="Verdana" w:hAnsi="Verdana" w:cs="Segoe UI" w:eastAsiaTheme="majorEastAsia"/>
        </w:rPr>
        <w:t> </w:t>
      </w:r>
      <w:r w:rsidRPr="00AA6F2E">
        <w:rPr>
          <w:rStyle w:val="normaltextrun"/>
          <w:rFonts w:ascii="Verdana" w:hAnsi="Verdana" w:cs="Segoe UI" w:eastAsiaTheme="majorEastAsia"/>
        </w:rPr>
        <w:t>in</w:t>
      </w:r>
      <w:r w:rsidRPr="00AA6F2E">
        <w:rPr>
          <w:rStyle w:val="apple-converted-space"/>
          <w:rFonts w:ascii="Verdana" w:hAnsi="Verdana" w:cs="Segoe UI" w:eastAsiaTheme="majorEastAsia"/>
        </w:rPr>
        <w:t> </w:t>
      </w:r>
      <w:r w:rsidRPr="00AA6F2E">
        <w:rPr>
          <w:rStyle w:val="normaltextrun"/>
          <w:rFonts w:ascii="Verdana" w:hAnsi="Verdana" w:cs="Segoe UI" w:eastAsiaTheme="majorEastAsia"/>
        </w:rPr>
        <w:t>Computer Science (MSCS)</w:t>
      </w:r>
      <w:r w:rsidRPr="00AA6F2E">
        <w:rPr>
          <w:rStyle w:val="eop"/>
          <w:rFonts w:ascii="Verdana" w:hAnsi="Verdana" w:cs="Segoe UI" w:eastAsiaTheme="majorEastAsia"/>
        </w:rPr>
        <w:t> </w:t>
      </w:r>
    </w:p>
    <w:p w:rsidRPr="00AA6F2E" w:rsidR="00062655" w:rsidP="00062655" w:rsidRDefault="00062655" w14:paraId="7B2AD247" w14:textId="77777777">
      <w:pPr>
        <w:pStyle w:val="paragraph"/>
        <w:spacing w:before="0" w:beforeAutospacing="0" w:after="0" w:afterAutospacing="0"/>
        <w:jc w:val="center"/>
        <w:textAlignment w:val="baseline"/>
        <w:rPr>
          <w:rFonts w:ascii="Verdana" w:hAnsi="Verdana" w:cs="Segoe UI"/>
          <w:sz w:val="18"/>
          <w:szCs w:val="18"/>
        </w:rPr>
      </w:pPr>
      <w:r w:rsidRPr="00AA6F2E">
        <w:rPr>
          <w:rStyle w:val="normaltextrun"/>
          <w:rFonts w:ascii="Verdana" w:hAnsi="Verdana" w:cs="Segoe UI" w:eastAsiaTheme="majorEastAsia"/>
        </w:rPr>
        <w:t>School of</w:t>
      </w:r>
      <w:r w:rsidRPr="00AA6F2E">
        <w:rPr>
          <w:rStyle w:val="apple-converted-space"/>
          <w:rFonts w:ascii="Verdana" w:hAnsi="Verdana" w:cs="Segoe UI" w:eastAsiaTheme="majorEastAsia"/>
        </w:rPr>
        <w:t> </w:t>
      </w:r>
      <w:r w:rsidRPr="00AA6F2E">
        <w:rPr>
          <w:rStyle w:val="normaltextrun"/>
          <w:rFonts w:ascii="Verdana" w:hAnsi="Verdana" w:cs="Segoe UI" w:eastAsiaTheme="majorEastAsia"/>
        </w:rPr>
        <w:t>Technology &amp; Computing (STC)</w:t>
      </w:r>
      <w:r w:rsidRPr="00AA6F2E">
        <w:rPr>
          <w:rStyle w:val="eop"/>
          <w:rFonts w:ascii="Verdana" w:hAnsi="Verdana" w:cs="Segoe UI" w:eastAsiaTheme="majorEastAsia"/>
        </w:rPr>
        <w:t> </w:t>
      </w:r>
    </w:p>
    <w:p w:rsidRPr="00AA6F2E" w:rsidR="00062655" w:rsidP="00062655" w:rsidRDefault="00062655" w14:paraId="34D1F125" w14:textId="77777777">
      <w:pPr>
        <w:pStyle w:val="paragraph"/>
        <w:spacing w:before="0" w:beforeAutospacing="0" w:after="0" w:afterAutospacing="0"/>
        <w:jc w:val="center"/>
        <w:textAlignment w:val="baseline"/>
        <w:rPr>
          <w:rFonts w:ascii="Verdana" w:hAnsi="Verdana" w:cs="Segoe UI"/>
          <w:sz w:val="18"/>
          <w:szCs w:val="18"/>
        </w:rPr>
      </w:pPr>
      <w:r w:rsidRPr="00AA6F2E">
        <w:rPr>
          <w:rStyle w:val="normaltextrun"/>
          <w:rFonts w:ascii="Verdana" w:hAnsi="Verdana" w:cs="Segoe UI" w:eastAsiaTheme="majorEastAsia"/>
        </w:rPr>
        <w:t>City University of Seattle</w:t>
      </w:r>
      <w:r w:rsidRPr="00AA6F2E">
        <w:rPr>
          <w:rStyle w:val="apple-converted-space"/>
          <w:rFonts w:ascii="Verdana" w:hAnsi="Verdana" w:cs="Segoe UI" w:eastAsiaTheme="majorEastAsia"/>
        </w:rPr>
        <w:t> </w:t>
      </w:r>
      <w:r w:rsidRPr="00AA6F2E">
        <w:rPr>
          <w:rStyle w:val="normaltextrun"/>
          <w:rFonts w:ascii="Verdana" w:hAnsi="Verdana" w:cs="Segoe UI" w:eastAsiaTheme="majorEastAsia"/>
        </w:rPr>
        <w:t>(CityU)</w:t>
      </w:r>
      <w:r w:rsidRPr="00AA6F2E">
        <w:rPr>
          <w:rStyle w:val="scxw109834649"/>
          <w:rFonts w:ascii="Verdana" w:hAnsi="Verdana" w:cs="Segoe UI" w:eastAsiaTheme="majorEastAsia"/>
        </w:rPr>
        <w:t> </w:t>
      </w:r>
      <w:r w:rsidRPr="00AA6F2E">
        <w:rPr>
          <w:rFonts w:ascii="Verdana" w:hAnsi="Verdana" w:cs="Segoe UI"/>
        </w:rPr>
        <w:br/>
      </w:r>
      <w:hyperlink w:history="1" r:id="rId5">
        <w:r w:rsidRPr="009A0307">
          <w:rPr>
            <w:rStyle w:val="Hyperlink"/>
            <w:rFonts w:ascii="Verdana" w:hAnsi="Verdana" w:cs="Segoe UI" w:eastAsiaTheme="majorEastAsia"/>
          </w:rPr>
          <w:t>guptaayushkumar@cityuniversity.edu</w:t>
        </w:r>
      </w:hyperlink>
    </w:p>
    <w:p w:rsidRPr="00AA6F2E" w:rsidR="00062655" w:rsidP="00062655" w:rsidRDefault="00062655" w14:paraId="751CDBF3" w14:textId="77777777">
      <w:pPr>
        <w:pStyle w:val="paragraph"/>
        <w:spacing w:before="0" w:beforeAutospacing="0" w:after="0" w:afterAutospacing="0"/>
        <w:jc w:val="center"/>
        <w:textAlignment w:val="baseline"/>
        <w:rPr>
          <w:rStyle w:val="eop"/>
          <w:rFonts w:ascii="Verdana" w:hAnsi="Verdana" w:cs="Segoe UI" w:eastAsiaTheme="majorEastAsia"/>
        </w:rPr>
      </w:pPr>
      <w:hyperlink w:tgtFrame="_blank" w:history="1" r:id="rId6">
        <w:r w:rsidRPr="00AA6F2E">
          <w:rPr>
            <w:rStyle w:val="normaltextrun"/>
            <w:rFonts w:ascii="Verdana" w:hAnsi="Verdana" w:cs="Segoe UI" w:eastAsiaTheme="majorEastAsia"/>
            <w:color w:val="0000FF"/>
            <w:u w:val="single"/>
          </w:rPr>
          <w:t>visweswaransivakuma@cityu.edu</w:t>
        </w:r>
      </w:hyperlink>
      <w:r w:rsidRPr="00AA6F2E">
        <w:rPr>
          <w:rStyle w:val="eop"/>
          <w:rFonts w:ascii="Verdana" w:hAnsi="Verdana" w:cs="Segoe UI" w:eastAsiaTheme="majorEastAsia"/>
        </w:rPr>
        <w:t> </w:t>
      </w:r>
    </w:p>
    <w:p w:rsidRPr="00AA6F2E" w:rsidR="00062655" w:rsidP="00062655" w:rsidRDefault="00062655" w14:paraId="6F2EEC5D" w14:textId="77777777">
      <w:pPr>
        <w:pStyle w:val="paragraph"/>
        <w:spacing w:before="0" w:beforeAutospacing="0" w:after="0" w:afterAutospacing="0"/>
        <w:jc w:val="center"/>
        <w:textAlignment w:val="baseline"/>
        <w:rPr>
          <w:rStyle w:val="eop"/>
          <w:rFonts w:ascii="Verdana" w:hAnsi="Verdana" w:cs="Segoe UI" w:eastAsiaTheme="majorEastAsia"/>
        </w:rPr>
      </w:pPr>
    </w:p>
    <w:p w:rsidRPr="00AA6F2E" w:rsidR="00062655" w:rsidP="00062655" w:rsidRDefault="00062655" w14:paraId="762EABFC" w14:textId="77777777">
      <w:pPr>
        <w:pStyle w:val="paragraph"/>
        <w:spacing w:before="0" w:beforeAutospacing="0" w:after="0" w:afterAutospacing="0"/>
        <w:jc w:val="center"/>
        <w:textAlignment w:val="baseline"/>
        <w:rPr>
          <w:rFonts w:ascii="Verdana" w:hAnsi="Verdana" w:cs="Segoe UI"/>
          <w:sz w:val="18"/>
          <w:szCs w:val="18"/>
        </w:rPr>
      </w:pPr>
    </w:p>
    <w:p w:rsidRPr="00AA6F2E" w:rsidR="00062655" w:rsidP="00062655" w:rsidRDefault="00062655" w14:paraId="7788DAA7" w14:textId="77777777">
      <w:pPr>
        <w:pStyle w:val="paragraph"/>
        <w:spacing w:before="0" w:beforeAutospacing="0" w:after="0" w:afterAutospacing="0"/>
        <w:jc w:val="center"/>
        <w:textAlignment w:val="baseline"/>
        <w:rPr>
          <w:rStyle w:val="eop"/>
          <w:rFonts w:ascii="Verdana" w:hAnsi="Verdana" w:eastAsiaTheme="majorEastAsia"/>
          <w:sz w:val="18"/>
          <w:szCs w:val="18"/>
        </w:rPr>
      </w:pPr>
      <w:r w:rsidRPr="00AA6F2E">
        <w:rPr>
          <w:rStyle w:val="normaltextrun"/>
          <w:rFonts w:ascii="Verdana" w:hAnsi="Verdana" w:eastAsiaTheme="majorEastAsia"/>
          <w:b/>
          <w:bCs/>
          <w:sz w:val="18"/>
          <w:szCs w:val="18"/>
        </w:rPr>
        <w:t>Abstract</w:t>
      </w:r>
      <w:r w:rsidRPr="00AA6F2E">
        <w:rPr>
          <w:rStyle w:val="eop"/>
          <w:rFonts w:ascii="Verdana" w:hAnsi="Verdana" w:eastAsiaTheme="majorEastAsia"/>
          <w:sz w:val="18"/>
          <w:szCs w:val="18"/>
        </w:rPr>
        <w:t> </w:t>
      </w:r>
    </w:p>
    <w:p w:rsidRPr="00AA6F2E" w:rsidR="00062655" w:rsidP="00062655" w:rsidRDefault="00062655" w14:paraId="58393F76" w14:textId="77777777">
      <w:pPr>
        <w:pStyle w:val="paragraph"/>
        <w:spacing w:before="0" w:beforeAutospacing="0" w:after="0" w:afterAutospacing="0"/>
        <w:jc w:val="center"/>
        <w:textAlignment w:val="baseline"/>
        <w:rPr>
          <w:rFonts w:ascii="Verdana" w:hAnsi="Verdana" w:cs="Segoe UI"/>
          <w:sz w:val="18"/>
          <w:szCs w:val="18"/>
        </w:rPr>
      </w:pPr>
    </w:p>
    <w:p w:rsidRPr="00827185" w:rsidR="00062655" w:rsidP="299B6FC7" w:rsidRDefault="00062655" w14:paraId="3D9E6675" w14:textId="348C8999">
      <w:pPr>
        <w:pStyle w:val="paragraph"/>
        <w:spacing w:before="0" w:beforeAutospacing="off" w:after="0" w:afterAutospacing="off"/>
        <w:jc w:val="both"/>
        <w:textAlignment w:val="baseline"/>
        <w:rPr>
          <w:rStyle w:val="normaltextrun"/>
          <w:rFonts w:ascii="Verdana" w:hAnsi="Verdana" w:eastAsia="" w:eastAsiaTheme="majorEastAsia"/>
          <w:sz w:val="18"/>
          <w:szCs w:val="18"/>
        </w:rPr>
      </w:pPr>
      <w:r w:rsidRPr="299B6FC7" w:rsidR="00062655">
        <w:rPr>
          <w:rStyle w:val="normaltextrun"/>
          <w:rFonts w:ascii="Verdana" w:hAnsi="Verdana" w:eastAsia="" w:eastAsiaTheme="majorEastAsia"/>
          <w:sz w:val="18"/>
          <w:szCs w:val="18"/>
        </w:rPr>
        <w:t xml:space="preserve">Modern chronic care management (CCM) is currently limited by a "reasoning void" where Electronic Health Records (EHRs) function as passive repositories rather than active participants in the care journey. This fragmentation costs the U.S. economy billions in uncompensated administrative labor and suboptimal patient </w:t>
      </w:r>
      <w:r w:rsidRPr="299B6FC7" w:rsidR="5F7C3298">
        <w:rPr>
          <w:rStyle w:val="normaltextrun"/>
          <w:rFonts w:ascii="Verdana" w:hAnsi="Verdana" w:eastAsia="" w:eastAsiaTheme="majorEastAsia"/>
          <w:sz w:val="18"/>
          <w:szCs w:val="18"/>
        </w:rPr>
        <w:t>outcomes.</w:t>
      </w:r>
      <w:r w:rsidRPr="299B6FC7" w:rsidR="00062655">
        <w:rPr>
          <w:rStyle w:val="normaltextrun"/>
          <w:rFonts w:ascii="Verdana" w:hAnsi="Verdana" w:eastAsia="" w:eastAsiaTheme="majorEastAsia"/>
          <w:sz w:val="18"/>
          <w:szCs w:val="18"/>
        </w:rPr>
        <w:t xml:space="preserve"> This paper proposes the development of an AI-Powered Chronic Care Coordination Agent, a state-aware software system designed to bridge the gap between static clinical data and proactive intervention. Leveraging the Model Context Protocol (MCP-AI) for longitudinal reasoning and an orchestrated multi-agent architecture, the system automates patient timeline monitoring, </w:t>
      </w:r>
      <w:r w:rsidRPr="299B6FC7" w:rsidR="00062655">
        <w:rPr>
          <w:rStyle w:val="normaltextrun"/>
          <w:rFonts w:ascii="Verdana" w:hAnsi="Verdana" w:eastAsia="" w:eastAsiaTheme="majorEastAsia"/>
          <w:sz w:val="18"/>
          <w:szCs w:val="18"/>
        </w:rPr>
        <w:t>identifies</w:t>
      </w:r>
      <w:r w:rsidRPr="299B6FC7" w:rsidR="00062655">
        <w:rPr>
          <w:rStyle w:val="normaltextrun"/>
          <w:rFonts w:ascii="Verdana" w:hAnsi="Verdana" w:eastAsia="" w:eastAsiaTheme="majorEastAsia"/>
          <w:sz w:val="18"/>
          <w:szCs w:val="18"/>
        </w:rPr>
        <w:t xml:space="preserve"> care gaps (e.g., missed labs or conflicting instructions), and generates context-aware summaries for </w:t>
      </w:r>
      <w:r w:rsidRPr="299B6FC7" w:rsidR="5E42D9A8">
        <w:rPr>
          <w:rStyle w:val="normaltextrun"/>
          <w:rFonts w:ascii="Verdana" w:hAnsi="Verdana" w:eastAsia="" w:eastAsiaTheme="majorEastAsia"/>
          <w:sz w:val="18"/>
          <w:szCs w:val="18"/>
        </w:rPr>
        <w:t>clinicians.</w:t>
      </w:r>
      <w:r w:rsidRPr="299B6FC7" w:rsidR="00062655">
        <w:rPr>
          <w:rStyle w:val="normaltextrun"/>
          <w:rFonts w:ascii="Verdana" w:hAnsi="Verdana" w:eastAsia="" w:eastAsiaTheme="majorEastAsia"/>
          <w:sz w:val="18"/>
          <w:szCs w:val="18"/>
        </w:rPr>
        <w:t xml:space="preserve"> By transitioning from a reactive "pull" model of data retrieval to a proactive "push" model of intelligent coordination, this research </w:t>
      </w:r>
      <w:r w:rsidRPr="299B6FC7" w:rsidR="00062655">
        <w:rPr>
          <w:rStyle w:val="normaltextrun"/>
          <w:rFonts w:ascii="Verdana" w:hAnsi="Verdana" w:eastAsia="" w:eastAsiaTheme="majorEastAsia"/>
          <w:sz w:val="18"/>
          <w:szCs w:val="18"/>
        </w:rPr>
        <w:t>demonstrates</w:t>
      </w:r>
      <w:r w:rsidRPr="299B6FC7" w:rsidR="00062655">
        <w:rPr>
          <w:rStyle w:val="normaltextrun"/>
          <w:rFonts w:ascii="Verdana" w:hAnsi="Verdana" w:eastAsia="" w:eastAsiaTheme="majorEastAsia"/>
          <w:sz w:val="18"/>
          <w:szCs w:val="18"/>
        </w:rPr>
        <w:t xml:space="preserve"> how agentic AI can reduce clinician documentation time by up to 70% while aligning with the 2026 CMS ACCESS model for outcome-based </w:t>
      </w:r>
      <w:r w:rsidRPr="299B6FC7" w:rsidR="37E77C6C">
        <w:rPr>
          <w:rStyle w:val="normaltextrun"/>
          <w:rFonts w:ascii="Verdana" w:hAnsi="Verdana" w:eastAsia="" w:eastAsiaTheme="majorEastAsia"/>
          <w:sz w:val="18"/>
          <w:szCs w:val="18"/>
        </w:rPr>
        <w:t>reimbursement.</w:t>
      </w:r>
    </w:p>
    <w:p w:rsidRPr="00AA6F2E" w:rsidR="00062655" w:rsidP="00062655" w:rsidRDefault="00062655" w14:paraId="0B571D37" w14:textId="77777777">
      <w:pPr>
        <w:pStyle w:val="paragraph"/>
        <w:spacing w:before="0" w:beforeAutospacing="0" w:after="0" w:afterAutospacing="0"/>
        <w:textAlignment w:val="baseline"/>
        <w:rPr>
          <w:rFonts w:ascii="Verdana" w:hAnsi="Verdana" w:cs="Segoe UI"/>
          <w:sz w:val="18"/>
          <w:szCs w:val="18"/>
        </w:rPr>
      </w:pPr>
    </w:p>
    <w:p w:rsidRPr="00AA6F2E" w:rsidR="00062655" w:rsidP="00062655" w:rsidRDefault="00062655" w14:paraId="28088BB1" w14:textId="77777777">
      <w:pPr>
        <w:pStyle w:val="paragraph"/>
        <w:spacing w:before="0" w:beforeAutospacing="0" w:after="0" w:afterAutospacing="0"/>
        <w:textAlignment w:val="baseline"/>
        <w:rPr>
          <w:rFonts w:ascii="Verdana" w:hAnsi="Verdana" w:cs="Segoe UI"/>
          <w:sz w:val="18"/>
          <w:szCs w:val="18"/>
        </w:rPr>
      </w:pPr>
      <w:r w:rsidRPr="00AA6F2E">
        <w:rPr>
          <w:rStyle w:val="eop"/>
          <w:rFonts w:ascii="Verdana" w:hAnsi="Verdana" w:eastAsiaTheme="majorEastAsia"/>
          <w:sz w:val="18"/>
          <w:szCs w:val="18"/>
        </w:rPr>
        <w:t> </w:t>
      </w:r>
    </w:p>
    <w:p w:rsidRPr="00827185" w:rsidR="00062655" w:rsidP="00062655" w:rsidRDefault="00062655" w14:paraId="6AE3CE6E" w14:textId="77777777">
      <w:pPr>
        <w:pStyle w:val="paragraph"/>
        <w:spacing w:before="0" w:beforeAutospacing="0" w:after="0" w:afterAutospacing="0"/>
        <w:textAlignment w:val="baseline"/>
        <w:rPr>
          <w:rStyle w:val="normaltextrun"/>
          <w:rFonts w:ascii="Verdana" w:hAnsi="Verdana" w:eastAsiaTheme="majorEastAsia"/>
          <w:sz w:val="18"/>
          <w:szCs w:val="18"/>
        </w:rPr>
      </w:pPr>
      <w:r w:rsidRPr="00AA6F2E">
        <w:rPr>
          <w:rStyle w:val="normaltextrun"/>
          <w:rFonts w:ascii="Verdana" w:hAnsi="Verdana" w:eastAsiaTheme="majorEastAsia"/>
          <w:b/>
          <w:bCs/>
          <w:sz w:val="18"/>
          <w:szCs w:val="18"/>
        </w:rPr>
        <w:t>Keywords:</w:t>
      </w:r>
      <w:r w:rsidRPr="00AA6F2E">
        <w:rPr>
          <w:rStyle w:val="apple-converted-space"/>
          <w:rFonts w:ascii="Verdana" w:hAnsi="Verdana" w:eastAsiaTheme="majorEastAsia"/>
          <w:sz w:val="18"/>
          <w:szCs w:val="18"/>
        </w:rPr>
        <w:t> </w:t>
      </w:r>
      <w:r w:rsidRPr="00827185">
        <w:rPr>
          <w:rStyle w:val="normaltextrun"/>
          <w:rFonts w:ascii="Verdana" w:hAnsi="Verdana" w:eastAsiaTheme="majorEastAsia"/>
          <w:sz w:val="18"/>
          <w:szCs w:val="18"/>
        </w:rPr>
        <w:t>Artificial Intelligence (AI) in Healthcare, Chronic Care Management, LLM Agents, FHIR Standards, Care Coordination, Human-in-the-loop.</w:t>
      </w:r>
    </w:p>
    <w:p w:rsidRPr="00AA6F2E" w:rsidR="00062655" w:rsidP="00062655" w:rsidRDefault="00062655" w14:paraId="40733697" w14:textId="77777777">
      <w:pPr>
        <w:pStyle w:val="paragraph"/>
        <w:spacing w:before="0" w:beforeAutospacing="0" w:after="0" w:afterAutospacing="0"/>
        <w:textAlignment w:val="baseline"/>
        <w:rPr>
          <w:rStyle w:val="normaltextrun"/>
          <w:rFonts w:ascii="Verdana" w:hAnsi="Verdana" w:eastAsiaTheme="majorEastAsia"/>
          <w:sz w:val="18"/>
          <w:szCs w:val="18"/>
        </w:rPr>
      </w:pPr>
    </w:p>
    <w:p w:rsidRPr="00AA6F2E" w:rsidR="00062655" w:rsidP="00062655" w:rsidRDefault="00062655" w14:paraId="1F021699" w14:textId="77777777">
      <w:pPr>
        <w:pStyle w:val="paragraph"/>
        <w:spacing w:before="0" w:beforeAutospacing="0" w:after="0" w:afterAutospacing="0"/>
        <w:textAlignment w:val="baseline"/>
        <w:rPr>
          <w:rStyle w:val="normaltextrun"/>
          <w:rFonts w:ascii="Verdana" w:hAnsi="Verdana" w:eastAsiaTheme="majorEastAsia"/>
          <w:sz w:val="18"/>
          <w:szCs w:val="18"/>
        </w:rPr>
      </w:pPr>
    </w:p>
    <w:p w:rsidRPr="00AA6F2E" w:rsidR="00062655" w:rsidP="00062655" w:rsidRDefault="00062655" w14:paraId="2E29B9F5" w14:textId="77777777">
      <w:pPr>
        <w:pStyle w:val="paragraph"/>
        <w:spacing w:before="0" w:beforeAutospacing="0" w:after="0" w:afterAutospacing="0"/>
        <w:textAlignment w:val="baseline"/>
        <w:rPr>
          <w:rFonts w:ascii="Verdana" w:hAnsi="Verdana" w:cs="Segoe UI"/>
          <w:sz w:val="18"/>
          <w:szCs w:val="18"/>
        </w:rPr>
        <w:sectPr w:rsidRPr="00AA6F2E" w:rsidR="00062655" w:rsidSect="00062655">
          <w:pgSz w:w="12240" w:h="15840" w:orient="portrait"/>
          <w:pgMar w:top="1440" w:right="1440" w:bottom="1440" w:left="1440" w:header="720" w:footer="720" w:gutter="0"/>
          <w:cols w:space="720"/>
          <w:docGrid w:linePitch="360"/>
          <w:headerReference w:type="default" r:id="Rccdc241c2c2e4da7"/>
          <w:footerReference w:type="default" r:id="R595396103c664c53"/>
        </w:sectPr>
      </w:pPr>
    </w:p>
    <w:p w:rsidRPr="00827185" w:rsidR="00062655" w:rsidP="007034DF" w:rsidRDefault="00062655" w14:paraId="11CFC5B2" w14:textId="194BB27F">
      <w:pPr>
        <w:pStyle w:val="paragraph"/>
        <w:numPr>
          <w:ilvl w:val="0"/>
          <w:numId w:val="4"/>
        </w:numPr>
        <w:spacing w:before="0" w:beforeAutospacing="0" w:after="0" w:afterAutospacing="0"/>
        <w:textAlignment w:val="baseline"/>
        <w:rPr>
          <w:rStyle w:val="normaltextrun"/>
          <w:rFonts w:ascii="Verdana" w:hAnsi="Verdana"/>
          <w:b/>
          <w:bCs/>
          <w:sz w:val="18"/>
          <w:szCs w:val="18"/>
        </w:rPr>
      </w:pPr>
      <w:r w:rsidRPr="007545E1">
        <w:rPr>
          <w:rStyle w:val="normaltextrun"/>
          <w:rFonts w:ascii="Verdana" w:hAnsi="Verdana" w:eastAsiaTheme="majorEastAsia"/>
          <w:b/>
          <w:bCs/>
          <w:sz w:val="18"/>
          <w:szCs w:val="18"/>
        </w:rPr>
        <w:t>Introduction</w:t>
      </w:r>
    </w:p>
    <w:p w:rsidR="00062655" w:rsidP="00062655" w:rsidRDefault="00062655" w14:paraId="2014199D" w14:textId="77777777">
      <w:pPr>
        <w:pStyle w:val="paragraph"/>
        <w:spacing w:before="0" w:beforeAutospacing="0" w:after="0" w:afterAutospacing="0"/>
        <w:textAlignment w:val="baseline"/>
        <w:rPr>
          <w:rStyle w:val="normaltextrun"/>
          <w:rFonts w:ascii="Verdana" w:hAnsi="Verdana" w:eastAsiaTheme="majorEastAsia"/>
          <w:sz w:val="18"/>
          <w:szCs w:val="18"/>
        </w:rPr>
      </w:pPr>
    </w:p>
    <w:p w:rsidRPr="00062655" w:rsidR="00062655" w:rsidP="299B6FC7" w:rsidRDefault="00062655" w14:paraId="6D43F5DB" w14:textId="0FC4C95D">
      <w:pPr>
        <w:pStyle w:val="paragraph"/>
        <w:spacing w:before="0" w:beforeAutospacing="off" w:after="0" w:afterAutospacing="off"/>
        <w:jc w:val="both"/>
        <w:textAlignment w:val="baseline"/>
        <w:rPr>
          <w:rStyle w:val="normaltextrun"/>
          <w:rFonts w:ascii="Verdana" w:hAnsi="Verdana" w:eastAsia="" w:eastAsiaTheme="majorEastAsia"/>
          <w:sz w:val="18"/>
          <w:szCs w:val="18"/>
        </w:rPr>
      </w:pPr>
      <w:r w:rsidRPr="295D06E8" w:rsidR="00062655">
        <w:rPr>
          <w:rStyle w:val="normaltextrun"/>
          <w:rFonts w:ascii="Verdana" w:hAnsi="Verdana" w:eastAsia="" w:eastAsiaTheme="majorEastAsia"/>
          <w:sz w:val="18"/>
          <w:szCs w:val="18"/>
        </w:rPr>
        <w:t>The management of chronic conditions</w:t>
      </w:r>
      <w:r w:rsidRPr="295D06E8" w:rsidR="00062655">
        <w:rPr>
          <w:rStyle w:val="normaltextrun"/>
          <w:rFonts w:ascii="Verdana" w:hAnsi="Verdana" w:eastAsia="" w:eastAsiaTheme="majorEastAsia"/>
          <w:sz w:val="18"/>
          <w:szCs w:val="18"/>
        </w:rPr>
        <w:t xml:space="preserve"> </w:t>
      </w:r>
      <w:r w:rsidRPr="295D06E8" w:rsidR="00062655">
        <w:rPr>
          <w:rStyle w:val="normaltextrun"/>
          <w:rFonts w:ascii="Verdana" w:hAnsi="Verdana" w:eastAsia="" w:eastAsiaTheme="majorEastAsia"/>
          <w:sz w:val="18"/>
          <w:szCs w:val="18"/>
        </w:rPr>
        <w:t>including diabetes, hypertension, and cardiac disease</w:t>
      </w:r>
      <w:r w:rsidRPr="295D06E8" w:rsidR="00062655">
        <w:rPr>
          <w:rStyle w:val="normaltextrun"/>
          <w:rFonts w:ascii="Verdana" w:hAnsi="Verdana" w:eastAsia="" w:eastAsiaTheme="majorEastAsia"/>
          <w:sz w:val="18"/>
          <w:szCs w:val="18"/>
        </w:rPr>
        <w:t xml:space="preserve"> </w:t>
      </w:r>
      <w:r w:rsidRPr="295D06E8" w:rsidR="00062655">
        <w:rPr>
          <w:rStyle w:val="normaltextrun"/>
          <w:rFonts w:ascii="Verdana" w:hAnsi="Verdana" w:eastAsia="" w:eastAsiaTheme="majorEastAsia"/>
          <w:sz w:val="18"/>
          <w:szCs w:val="18"/>
        </w:rPr>
        <w:t xml:space="preserve">is the primary driver of the </w:t>
      </w:r>
      <w:r w:rsidRPr="295D06E8" w:rsidR="00062655">
        <w:rPr>
          <w:rStyle w:val="normaltextrun"/>
          <w:rFonts w:ascii="Verdana" w:hAnsi="Verdana" w:eastAsia="" w:eastAsiaTheme="majorEastAsia"/>
          <w:sz w:val="18"/>
          <w:szCs w:val="18"/>
        </w:rPr>
        <w:t>5.3</w:t>
      </w:r>
      <w:r w:rsidRPr="295D06E8" w:rsidR="00062655">
        <w:rPr>
          <w:rStyle w:val="normaltextrun"/>
          <w:rFonts w:ascii="Verdana" w:hAnsi="Verdana" w:eastAsia="" w:eastAsiaTheme="majorEastAsia"/>
          <w:sz w:val="18"/>
          <w:szCs w:val="18"/>
        </w:rPr>
        <w:t xml:space="preserve"> </w:t>
      </w:r>
      <w:r w:rsidRPr="295D06E8" w:rsidR="51AF38EE">
        <w:rPr>
          <w:rStyle w:val="normaltextrun"/>
          <w:rFonts w:ascii="Verdana" w:hAnsi="Verdana" w:eastAsia="" w:eastAsiaTheme="majorEastAsia"/>
          <w:sz w:val="18"/>
          <w:szCs w:val="18"/>
        </w:rPr>
        <w:t>trillion-dollar</w:t>
      </w:r>
      <w:r w:rsidRPr="295D06E8" w:rsidR="00062655">
        <w:rPr>
          <w:rStyle w:val="normaltextrun"/>
          <w:rFonts w:ascii="Verdana" w:hAnsi="Verdana" w:eastAsia="" w:eastAsiaTheme="majorEastAsia"/>
          <w:sz w:val="18"/>
          <w:szCs w:val="18"/>
        </w:rPr>
        <w:t xml:space="preserve"> annual U.S. healthcare </w:t>
      </w:r>
      <w:r w:rsidRPr="295D06E8" w:rsidR="49F86B92">
        <w:rPr>
          <w:rStyle w:val="normaltextrun"/>
          <w:rFonts w:ascii="Verdana" w:hAnsi="Verdana" w:eastAsia="" w:eastAsiaTheme="majorEastAsia"/>
          <w:sz w:val="18"/>
          <w:szCs w:val="18"/>
        </w:rPr>
        <w:t>spends</w:t>
      </w:r>
      <w:r w:rsidRPr="295D06E8" w:rsidR="366C32D7">
        <w:rPr>
          <w:rFonts w:ascii="Times New Roman" w:hAnsi="Times New Roman" w:eastAsia="Times New Roman" w:cs="Times New Roman"/>
          <w:noProof w:val="0"/>
          <w:sz w:val="24"/>
          <w:szCs w:val="24"/>
          <w:lang w:val="en-US"/>
        </w:rPr>
        <w:t xml:space="preserve"> </w:t>
      </w:r>
      <w:r w:rsidRPr="295D06E8" w:rsidR="366C32D7">
        <w:rPr>
          <w:rFonts w:ascii="Verdana" w:hAnsi="Verdana" w:eastAsia="Verdana" w:cs="Verdana"/>
          <w:noProof w:val="0"/>
          <w:sz w:val="18"/>
          <w:szCs w:val="18"/>
          <w:lang w:val="en-US"/>
        </w:rPr>
        <w:t>(National Academies of Sciences, Engineering, and Medicine, 2019)</w:t>
      </w:r>
      <w:r w:rsidRPr="295D06E8" w:rsidR="00062655">
        <w:rPr>
          <w:rStyle w:val="normaltextrun"/>
          <w:rFonts w:ascii="Verdana" w:hAnsi="Verdana" w:eastAsia="Verdana" w:cs="Verdana"/>
          <w:sz w:val="18"/>
          <w:szCs w:val="18"/>
        </w:rPr>
        <w:t>,</w:t>
      </w:r>
      <w:r w:rsidRPr="295D06E8" w:rsidR="00062655">
        <w:rPr>
          <w:rStyle w:val="normaltextrun"/>
          <w:rFonts w:ascii="Verdana" w:hAnsi="Verdana" w:eastAsia="" w:eastAsiaTheme="majorEastAsia"/>
          <w:sz w:val="18"/>
          <w:szCs w:val="18"/>
        </w:rPr>
        <w:t xml:space="preserve"> with </w:t>
      </w:r>
      <w:r w:rsidRPr="295D06E8" w:rsidR="00062655">
        <w:rPr>
          <w:rStyle w:val="normaltextrun"/>
          <w:rFonts w:ascii="Verdana" w:hAnsi="Verdana" w:eastAsia="" w:eastAsiaTheme="majorEastAsia"/>
          <w:sz w:val="18"/>
          <w:szCs w:val="18"/>
        </w:rPr>
        <w:t>nearly 90%</w:t>
      </w:r>
      <w:r w:rsidRPr="295D06E8" w:rsidR="00062655">
        <w:rPr>
          <w:rStyle w:val="normaltextrun"/>
          <w:rFonts w:ascii="Verdana" w:hAnsi="Verdana" w:eastAsia="" w:eastAsiaTheme="majorEastAsia"/>
          <w:sz w:val="18"/>
          <w:szCs w:val="18"/>
        </w:rPr>
        <w:t xml:space="preserve"> of total costs attributed to patients with complex comorbidities. Despite this massive investment, the technological infrastructure supporting these patients </w:t>
      </w:r>
      <w:r w:rsidRPr="295D06E8" w:rsidR="00062655">
        <w:rPr>
          <w:rStyle w:val="normaltextrun"/>
          <w:rFonts w:ascii="Verdana" w:hAnsi="Verdana" w:eastAsia="" w:eastAsiaTheme="majorEastAsia"/>
          <w:sz w:val="18"/>
          <w:szCs w:val="18"/>
        </w:rPr>
        <w:t>remains</w:t>
      </w:r>
      <w:r w:rsidRPr="295D06E8" w:rsidR="00062655">
        <w:rPr>
          <w:rStyle w:val="normaltextrun"/>
          <w:rFonts w:ascii="Verdana" w:hAnsi="Verdana" w:eastAsia="" w:eastAsiaTheme="majorEastAsia"/>
          <w:sz w:val="18"/>
          <w:szCs w:val="18"/>
        </w:rPr>
        <w:t xml:space="preserve"> dangerously fragmented. Current medical software is designed primarily for static data storage and billing compliance, leaving the burden of "connecting the dots" between disparate providers to human clinicians. This lack of automated, intelligent oversight creates a system where critical information often sits "locked" in data silos without triggering necessary corrective actions.</w:t>
      </w:r>
    </w:p>
    <w:p w:rsidR="00062655" w:rsidP="299B6FC7" w:rsidRDefault="00062655" w14:paraId="633BBB28" w14:textId="2A5BB8D7">
      <w:pPr>
        <w:pStyle w:val="paragraph"/>
        <w:spacing w:before="0" w:beforeAutospacing="off" w:after="0" w:afterAutospacing="off"/>
        <w:jc w:val="both"/>
        <w:textAlignment w:val="baseline"/>
        <w:rPr>
          <w:rFonts w:ascii="Helvetica Neue" w:hAnsi="Helvetica Neue"/>
          <w:color w:val="E3E3E3"/>
        </w:rPr>
      </w:pPr>
      <w:r w:rsidRPr="299B6FC7" w:rsidR="00062655">
        <w:rPr>
          <w:rStyle w:val="normaltextrun"/>
          <w:rFonts w:ascii="Verdana" w:hAnsi="Verdana" w:eastAsia="" w:eastAsiaTheme="majorEastAsia"/>
          <w:sz w:val="18"/>
          <w:szCs w:val="18"/>
        </w:rPr>
        <w:t xml:space="preserve">As a software engineering challenge, this project </w:t>
      </w:r>
      <w:r w:rsidRPr="299B6FC7" w:rsidR="00062655">
        <w:rPr>
          <w:rStyle w:val="normaltextrun"/>
          <w:rFonts w:ascii="Verdana" w:hAnsi="Verdana" w:eastAsia="" w:eastAsiaTheme="majorEastAsia"/>
          <w:sz w:val="18"/>
          <w:szCs w:val="18"/>
        </w:rPr>
        <w:t>seeks</w:t>
      </w:r>
      <w:r w:rsidRPr="299B6FC7" w:rsidR="00062655">
        <w:rPr>
          <w:rStyle w:val="normaltextrun"/>
          <w:rFonts w:ascii="Verdana" w:hAnsi="Verdana" w:eastAsia="" w:eastAsiaTheme="majorEastAsia"/>
          <w:sz w:val="18"/>
          <w:szCs w:val="18"/>
        </w:rPr>
        <w:t xml:space="preserve"> to replace these manual, error-prone workflows with an intelligent, agentic orchestration layer capable of autonomous perception-reasoning-action loops. By integrating real-time data streams from wearables with legacy EHR data via FHIR-based interfaces, the agent acts as a digital navigator that ensures clinical context is preserved across transitions. 1 This transition </w:t>
      </w:r>
      <w:r w:rsidRPr="299B6FC7" w:rsidR="00062655">
        <w:rPr>
          <w:rStyle w:val="normaltextrun"/>
          <w:rFonts w:ascii="Verdana" w:hAnsi="Verdana" w:eastAsia="" w:eastAsiaTheme="majorEastAsia"/>
          <w:sz w:val="18"/>
          <w:szCs w:val="18"/>
        </w:rPr>
        <w:t>represents</w:t>
      </w:r>
      <w:r w:rsidRPr="299B6FC7" w:rsidR="00062655">
        <w:rPr>
          <w:rStyle w:val="normaltextrun"/>
          <w:rFonts w:ascii="Verdana" w:hAnsi="Verdana" w:eastAsia="" w:eastAsiaTheme="majorEastAsia"/>
          <w:sz w:val="18"/>
          <w:szCs w:val="18"/>
        </w:rPr>
        <w:t xml:space="preserve"> </w:t>
      </w:r>
      <w:r w:rsidRPr="299B6FC7" w:rsidR="00062655">
        <w:rPr>
          <w:rStyle w:val="normaltextrun"/>
          <w:rFonts w:ascii="Verdana" w:hAnsi="Verdana" w:eastAsia="" w:eastAsiaTheme="majorEastAsia"/>
          <w:sz w:val="18"/>
          <w:szCs w:val="18"/>
        </w:rPr>
        <w:t>a paradigm shift</w:t>
      </w:r>
      <w:r w:rsidRPr="299B6FC7" w:rsidR="00062655">
        <w:rPr>
          <w:rStyle w:val="normaltextrun"/>
          <w:rFonts w:ascii="Verdana" w:hAnsi="Verdana" w:eastAsia="" w:eastAsiaTheme="majorEastAsia"/>
          <w:sz w:val="18"/>
          <w:szCs w:val="18"/>
        </w:rPr>
        <w:t xml:space="preserve"> toward "health assurance"</w:t>
      </w:r>
      <w:r w:rsidRPr="299B6FC7" w:rsidR="00062655">
        <w:rPr>
          <w:rStyle w:val="normaltextrun"/>
          <w:rFonts w:ascii="Verdana" w:hAnsi="Verdana" w:eastAsia="" w:eastAsiaTheme="majorEastAsia"/>
          <w:sz w:val="18"/>
          <w:szCs w:val="18"/>
        </w:rPr>
        <w:t xml:space="preserve"> </w:t>
      </w:r>
      <w:r w:rsidRPr="299B6FC7" w:rsidR="00062655">
        <w:rPr>
          <w:rStyle w:val="normaltextrun"/>
          <w:rFonts w:ascii="Verdana" w:hAnsi="Verdana" w:eastAsia="" w:eastAsiaTheme="majorEastAsia"/>
          <w:sz w:val="18"/>
          <w:szCs w:val="18"/>
        </w:rPr>
        <w:t>moving away from episodic, reactive care toward continuous, machine-augmented management.</w:t>
      </w:r>
    </w:p>
    <w:p w:rsidRPr="00062655" w:rsidR="00062655" w:rsidP="00062655" w:rsidRDefault="00062655" w14:paraId="519B22AE" w14:textId="77777777">
      <w:pPr>
        <w:pStyle w:val="paragraph"/>
        <w:spacing w:before="0" w:beforeAutospacing="0" w:after="0" w:afterAutospacing="0"/>
        <w:textAlignment w:val="baseline"/>
        <w:rPr>
          <w:rStyle w:val="normaltextrun"/>
          <w:rFonts w:ascii="Verdana" w:hAnsi="Verdana" w:eastAsiaTheme="majorEastAsia"/>
          <w:sz w:val="18"/>
          <w:szCs w:val="18"/>
        </w:rPr>
      </w:pPr>
    </w:p>
    <w:p w:rsidRPr="007545E1" w:rsidR="00062655" w:rsidP="00062655" w:rsidRDefault="00062655" w14:paraId="628A8DA5" w14:textId="524D5CDC">
      <w:pPr>
        <w:pStyle w:val="paragraph"/>
        <w:numPr>
          <w:ilvl w:val="1"/>
          <w:numId w:val="2"/>
        </w:numPr>
        <w:spacing w:before="0" w:beforeAutospacing="0" w:after="0" w:afterAutospacing="0"/>
        <w:textAlignment w:val="baseline"/>
        <w:rPr>
          <w:rStyle w:val="eop"/>
          <w:rFonts w:ascii="Verdana" w:hAnsi="Verdana"/>
          <w:b/>
          <w:bCs/>
          <w:sz w:val="18"/>
          <w:szCs w:val="18"/>
        </w:rPr>
      </w:pPr>
      <w:r w:rsidRPr="007545E1">
        <w:rPr>
          <w:rStyle w:val="normaltextrun"/>
          <w:rFonts w:ascii="Verdana" w:hAnsi="Verdana" w:eastAsiaTheme="majorEastAsia"/>
          <w:b/>
          <w:bCs/>
          <w:sz w:val="18"/>
          <w:szCs w:val="18"/>
        </w:rPr>
        <w:t>Problem Statement</w:t>
      </w:r>
    </w:p>
    <w:p w:rsidRPr="007545E1" w:rsidR="00062655" w:rsidP="00062655" w:rsidRDefault="00062655" w14:paraId="7868E893" w14:textId="77777777">
      <w:pPr>
        <w:pStyle w:val="paragraph"/>
        <w:spacing w:before="0" w:beforeAutospacing="0" w:after="0" w:afterAutospacing="0"/>
        <w:ind w:left="1440"/>
        <w:textAlignment w:val="baseline"/>
        <w:rPr>
          <w:rFonts w:ascii="Verdana" w:hAnsi="Verdana"/>
          <w:sz w:val="18"/>
          <w:szCs w:val="18"/>
        </w:rPr>
      </w:pPr>
    </w:p>
    <w:p w:rsidR="32929725" w:rsidP="4D694C64" w:rsidRDefault="32929725" w14:paraId="2CF3AAB4" w14:textId="0C179E7C">
      <w:pPr>
        <w:bidi w:val="0"/>
        <w:spacing w:before="0" w:beforeAutospacing="off" w:after="0" w:afterAutospacing="off"/>
        <w:jc w:val="both"/>
      </w:pPr>
      <w:r w:rsidRPr="4D694C64" w:rsidR="32929725">
        <w:rPr>
          <w:rFonts w:ascii="Verdana" w:hAnsi="Verdana" w:eastAsia="Verdana" w:cs="Verdana"/>
          <w:noProof w:val="0"/>
          <w:sz w:val="18"/>
          <w:szCs w:val="18"/>
          <w:lang w:val="en-US"/>
        </w:rPr>
        <w:t>The current healthcare ecosystem suffers from three systemic failures that this capstone project aims to address through software innovation:</w:t>
      </w:r>
    </w:p>
    <w:p w:rsidR="32929725" w:rsidP="4D694C64" w:rsidRDefault="32929725" w14:paraId="64F45F60" w14:textId="15A8E0AE">
      <w:pPr>
        <w:bidi w:val="0"/>
        <w:spacing w:before="0" w:beforeAutospacing="off" w:after="0" w:afterAutospacing="off"/>
        <w:jc w:val="both"/>
      </w:pPr>
      <w:r w:rsidRPr="4D694C64" w:rsidR="32929725">
        <w:rPr>
          <w:rFonts w:ascii="Verdana" w:hAnsi="Verdana" w:eastAsia="Verdana" w:cs="Verdana"/>
          <w:noProof w:val="0"/>
          <w:sz w:val="18"/>
          <w:szCs w:val="18"/>
          <w:lang w:val="en-US"/>
        </w:rPr>
        <w:t xml:space="preserve"> </w:t>
      </w:r>
    </w:p>
    <w:p w:rsidR="32929725" w:rsidP="4D694C64" w:rsidRDefault="32929725" w14:paraId="29CC5868" w14:textId="26D448A8">
      <w:pPr>
        <w:bidi w:val="0"/>
        <w:spacing w:before="0" w:beforeAutospacing="off" w:after="0" w:afterAutospacing="off"/>
        <w:jc w:val="both"/>
        <w:rPr>
          <w:rFonts w:ascii="Verdana" w:hAnsi="Verdana" w:eastAsia="Verdana" w:cs="Verdana"/>
          <w:b w:val="1"/>
          <w:bCs w:val="1"/>
          <w:noProof w:val="0"/>
          <w:sz w:val="18"/>
          <w:szCs w:val="18"/>
          <w:lang w:val="en-US"/>
        </w:rPr>
      </w:pPr>
      <w:r w:rsidRPr="4D694C64" w:rsidR="32929725">
        <w:rPr>
          <w:rFonts w:ascii="Verdana" w:hAnsi="Verdana" w:eastAsia="Verdana" w:cs="Verdana"/>
          <w:b w:val="1"/>
          <w:bCs w:val="1"/>
          <w:noProof w:val="0"/>
          <w:sz w:val="18"/>
          <w:szCs w:val="18"/>
          <w:lang w:val="en-US"/>
        </w:rPr>
        <w:t xml:space="preserve">The Interoperability Chasm (Disconnected Care): </w:t>
      </w:r>
    </w:p>
    <w:p w:rsidR="32929725" w:rsidP="4D694C64" w:rsidRDefault="32929725" w14:paraId="5A7FE43D" w14:textId="5953AA1A">
      <w:pPr>
        <w:bidi w:val="0"/>
        <w:spacing w:before="0" w:beforeAutospacing="off" w:after="0" w:afterAutospacing="off"/>
        <w:jc w:val="both"/>
      </w:pPr>
      <w:r w:rsidRPr="4D694C64" w:rsidR="32929725">
        <w:rPr>
          <w:rFonts w:ascii="Verdana" w:hAnsi="Verdana" w:eastAsia="Verdana" w:cs="Verdana"/>
          <w:noProof w:val="0"/>
          <w:sz w:val="18"/>
          <w:szCs w:val="18"/>
          <w:lang w:val="en-US"/>
        </w:rPr>
        <w:t>Doctors across different specialties often lack a shared, real-time view of the patient’s clinical status (HelloNote, 2025, para. 3; Tiga Health, 2025, para. 1). This fragmentation leads to a 78.4% increase in healthcare costs for patients with high fragmentation compared to those receiving coordinated care (Murphi AI, 2025, para. 2). Technical barriers such as heterogeneous data formats and limited sharing between proprietary systems hinder effective decision-making (The Future of Patient Logistics, 2025, para. 4; Tiga Health, 2025, para. 5).</w:t>
      </w:r>
    </w:p>
    <w:p w:rsidR="32929725" w:rsidP="4D694C64" w:rsidRDefault="32929725" w14:paraId="596B94C2" w14:textId="3D56044A">
      <w:pPr>
        <w:bidi w:val="0"/>
        <w:spacing w:before="0" w:beforeAutospacing="off" w:after="0" w:afterAutospacing="off"/>
        <w:jc w:val="both"/>
      </w:pPr>
      <w:r w:rsidRPr="4D694C64" w:rsidR="32929725">
        <w:rPr>
          <w:rFonts w:ascii="Verdana" w:hAnsi="Verdana" w:eastAsia="Verdana" w:cs="Verdana"/>
          <w:noProof w:val="0"/>
          <w:sz w:val="18"/>
          <w:szCs w:val="18"/>
          <w:lang w:val="en-US"/>
        </w:rPr>
        <w:t xml:space="preserve"> </w:t>
      </w:r>
    </w:p>
    <w:p w:rsidR="32929725" w:rsidP="4D694C64" w:rsidRDefault="32929725" w14:paraId="58E0784F" w14:textId="5DE4B28C">
      <w:pPr>
        <w:bidi w:val="0"/>
        <w:spacing w:before="0" w:beforeAutospacing="off" w:after="0" w:afterAutospacing="off"/>
        <w:jc w:val="both"/>
        <w:rPr>
          <w:rFonts w:ascii="Verdana" w:hAnsi="Verdana" w:eastAsia="Verdana" w:cs="Verdana"/>
          <w:b w:val="1"/>
          <w:bCs w:val="1"/>
          <w:noProof w:val="0"/>
          <w:sz w:val="18"/>
          <w:szCs w:val="18"/>
          <w:lang w:val="en-US"/>
        </w:rPr>
      </w:pPr>
      <w:r w:rsidRPr="4D694C64" w:rsidR="32929725">
        <w:rPr>
          <w:rFonts w:ascii="Verdana" w:hAnsi="Verdana" w:eastAsia="Verdana" w:cs="Verdana"/>
          <w:b w:val="1"/>
          <w:bCs w:val="1"/>
          <w:noProof w:val="0"/>
          <w:sz w:val="18"/>
          <w:szCs w:val="18"/>
          <w:lang w:val="en-US"/>
        </w:rPr>
        <w:t xml:space="preserve">The "Digital Filing Cabinet" Limitation (Information Blindness): </w:t>
      </w:r>
    </w:p>
    <w:p w:rsidR="32929725" w:rsidP="4D694C64" w:rsidRDefault="32929725" w14:paraId="70FEE129" w14:textId="6BD5537F">
      <w:pPr>
        <w:bidi w:val="0"/>
        <w:spacing w:before="0" w:beforeAutospacing="off" w:after="0" w:afterAutospacing="off"/>
        <w:jc w:val="both"/>
      </w:pPr>
      <w:r w:rsidRPr="4D694C64" w:rsidR="32929725">
        <w:rPr>
          <w:rFonts w:ascii="Verdana" w:hAnsi="Verdana" w:eastAsia="Verdana" w:cs="Verdana"/>
          <w:noProof w:val="0"/>
          <w:sz w:val="18"/>
          <w:szCs w:val="18"/>
          <w:lang w:val="en-US"/>
        </w:rPr>
        <w:t>Existing EHR systems are fundamentally passive; they do not proactively warn doctors about urgent care gaps, such as a diabetic patient missing an annual A1c test or an unscheduled post-discharge follow-up (Wright et al., 2025, p. 3). Research indicates that 57% of physicians identify this lack of proactive coordination as the primary obstacle to delivering high-quality care (Tiga Health, 2025, para. 6).</w:t>
      </w:r>
    </w:p>
    <w:p w:rsidR="32929725" w:rsidP="4D694C64" w:rsidRDefault="32929725" w14:paraId="1F5B5E3B" w14:textId="05D3DF53">
      <w:pPr>
        <w:bidi w:val="0"/>
        <w:spacing w:before="0" w:beforeAutospacing="off" w:after="0" w:afterAutospacing="off"/>
        <w:jc w:val="both"/>
      </w:pPr>
      <w:r w:rsidRPr="4D694C64" w:rsidR="32929725">
        <w:rPr>
          <w:rFonts w:ascii="Verdana" w:hAnsi="Verdana" w:eastAsia="Verdana" w:cs="Verdana"/>
          <w:noProof w:val="0"/>
          <w:sz w:val="18"/>
          <w:szCs w:val="18"/>
          <w:lang w:val="en-US"/>
        </w:rPr>
        <w:t xml:space="preserve"> </w:t>
      </w:r>
    </w:p>
    <w:p w:rsidR="32929725" w:rsidP="4D694C64" w:rsidRDefault="32929725" w14:paraId="7D967A64" w14:textId="4B2E4A3B">
      <w:pPr>
        <w:bidi w:val="0"/>
        <w:spacing w:before="0" w:beforeAutospacing="off" w:after="0" w:afterAutospacing="off"/>
        <w:jc w:val="both"/>
        <w:rPr>
          <w:rFonts w:ascii="Verdana" w:hAnsi="Verdana" w:eastAsia="Verdana" w:cs="Verdana"/>
          <w:b w:val="1"/>
          <w:bCs w:val="1"/>
          <w:noProof w:val="0"/>
          <w:sz w:val="18"/>
          <w:szCs w:val="18"/>
          <w:lang w:val="en-US"/>
        </w:rPr>
      </w:pPr>
      <w:r w:rsidRPr="4D694C64" w:rsidR="32929725">
        <w:rPr>
          <w:rFonts w:ascii="Verdana" w:hAnsi="Verdana" w:eastAsia="Verdana" w:cs="Verdana"/>
          <w:b w:val="1"/>
          <w:bCs w:val="1"/>
          <w:noProof w:val="0"/>
          <w:sz w:val="18"/>
          <w:szCs w:val="18"/>
          <w:lang w:val="en-US"/>
        </w:rPr>
        <w:t xml:space="preserve">The Clinician Burnout Crisis: </w:t>
      </w:r>
    </w:p>
    <w:p w:rsidR="32929725" w:rsidP="4D694C64" w:rsidRDefault="32929725" w14:paraId="53923B10" w14:textId="503FCA9E">
      <w:pPr>
        <w:bidi w:val="0"/>
        <w:spacing w:before="0" w:beforeAutospacing="off" w:after="0" w:afterAutospacing="off"/>
        <w:jc w:val="both"/>
      </w:pPr>
      <w:r w:rsidRPr="295D06E8" w:rsidR="32929725">
        <w:rPr>
          <w:rFonts w:ascii="Verdana" w:hAnsi="Verdana" w:eastAsia="Verdana" w:cs="Verdana"/>
          <w:noProof w:val="0"/>
          <w:sz w:val="18"/>
          <w:szCs w:val="18"/>
          <w:lang w:val="en-US"/>
        </w:rPr>
        <w:t>Primary care physicians (PCPs) spend an average of 7.3 hours per 8-hour workday interacting with the EHR</w:t>
      </w:r>
      <w:r w:rsidRPr="295D06E8" w:rsidR="580B565E">
        <w:rPr>
          <w:rFonts w:ascii="Verdana" w:hAnsi="Verdana" w:eastAsia="Verdana" w:cs="Verdana"/>
          <w:noProof w:val="0"/>
          <w:sz w:val="18"/>
          <w:szCs w:val="18"/>
          <w:lang w:val="en-US"/>
        </w:rPr>
        <w:t xml:space="preserve">, </w:t>
      </w:r>
      <w:r w:rsidRPr="295D06E8" w:rsidR="32929725">
        <w:rPr>
          <w:rFonts w:ascii="Verdana" w:hAnsi="Verdana" w:eastAsia="Verdana" w:cs="Verdana"/>
          <w:noProof w:val="0"/>
          <w:sz w:val="18"/>
          <w:szCs w:val="18"/>
          <w:lang w:val="en-US"/>
        </w:rPr>
        <w:t xml:space="preserve">often more time than they spend with their patients (Wolters Kluwer, 2023, p. 7; Wright et al., 2025, p. 2). This administrative “spillover” is a leading driver of clinician burnout, which costs the U.S. economy approximately </w:t>
      </w:r>
      <w:r w:rsidRPr="295D06E8" w:rsidR="32929725">
        <w:rPr>
          <w:rFonts w:ascii="Verdana" w:hAnsi="Verdana" w:eastAsia="Verdana" w:cs="Verdana"/>
          <w:noProof w:val="0"/>
          <w:sz w:val="18"/>
          <w:szCs w:val="18"/>
          <w:lang w:val="en-US"/>
        </w:rPr>
        <w:t>$4.6 billion</w:t>
      </w:r>
      <w:r w:rsidRPr="295D06E8" w:rsidR="32929725">
        <w:rPr>
          <w:rFonts w:ascii="Verdana" w:hAnsi="Verdana" w:eastAsia="Verdana" w:cs="Verdana"/>
          <w:noProof w:val="0"/>
          <w:sz w:val="18"/>
          <w:szCs w:val="18"/>
          <w:lang w:val="en-US"/>
        </w:rPr>
        <w:t xml:space="preserve"> annually due to physician turnover and reduced clinical hours (Athenahealth, 2024, para. 4; National Academies of Sciences, Engineering, and Medicine, 2019, p. 5; Wolters Kluwer, 2023, p. 12).</w:t>
      </w:r>
    </w:p>
    <w:p w:rsidR="299B6FC7" w:rsidP="299B6FC7" w:rsidRDefault="299B6FC7" w14:paraId="067555CF" w14:textId="2B0A3BF6">
      <w:pPr>
        <w:pStyle w:val="paragraph"/>
        <w:suppressLineNumbers w:val="0"/>
        <w:bidi w:val="0"/>
        <w:spacing w:before="0" w:beforeAutospacing="off" w:after="0" w:afterAutospacing="off" w:line="240" w:lineRule="auto"/>
        <w:ind w:left="0" w:right="0"/>
        <w:jc w:val="both"/>
        <w:rPr>
          <w:rStyle w:val="normaltextrun"/>
          <w:rFonts w:ascii="Verdana" w:hAnsi="Verdana" w:eastAsia="" w:eastAsiaTheme="majorEastAsia"/>
          <w:noProof w:val="0"/>
          <w:sz w:val="18"/>
          <w:szCs w:val="18"/>
          <w:lang w:val="en-US"/>
        </w:rPr>
      </w:pPr>
    </w:p>
    <w:p w:rsidR="53A6100C" w:rsidP="53A6100C" w:rsidRDefault="53A6100C" w14:paraId="4A9A9066" w14:textId="70F2356B">
      <w:pPr>
        <w:pStyle w:val="paragraph"/>
        <w:suppressLineNumbers w:val="0"/>
        <w:bidi w:val="0"/>
        <w:spacing w:before="0" w:beforeAutospacing="off" w:after="0" w:afterAutospacing="off" w:line="240" w:lineRule="auto"/>
        <w:ind w:left="0" w:right="0"/>
        <w:jc w:val="both"/>
        <w:rPr>
          <w:rStyle w:val="normaltextrun"/>
          <w:rFonts w:ascii="Verdana" w:hAnsi="Verdana" w:eastAsia="" w:eastAsiaTheme="majorEastAsia"/>
          <w:noProof w:val="0"/>
          <w:sz w:val="18"/>
          <w:szCs w:val="18"/>
          <w:lang w:val="en-US"/>
        </w:rPr>
      </w:pPr>
    </w:p>
    <w:p w:rsidR="00062655" w:rsidP="007034DF" w:rsidRDefault="00062655" w14:paraId="00A896AF" w14:textId="77777777">
      <w:pPr>
        <w:pStyle w:val="paragraph"/>
        <w:numPr>
          <w:ilvl w:val="1"/>
          <w:numId w:val="2"/>
        </w:numPr>
        <w:spacing w:before="0" w:beforeAutospacing="0" w:after="0" w:afterAutospacing="0"/>
        <w:textAlignment w:val="baseline"/>
        <w:rPr>
          <w:rFonts w:ascii="Verdana" w:hAnsi="Verdana" w:cs="Segoe UI"/>
          <w:b/>
          <w:bCs/>
          <w:sz w:val="18"/>
          <w:szCs w:val="18"/>
        </w:rPr>
      </w:pPr>
      <w:r w:rsidRPr="007545E1">
        <w:rPr>
          <w:rFonts w:ascii="Verdana" w:hAnsi="Verdana" w:cs="Segoe UI"/>
          <w:b/>
          <w:bCs/>
          <w:sz w:val="18"/>
          <w:szCs w:val="18"/>
        </w:rPr>
        <w:t>Motivation</w:t>
      </w:r>
    </w:p>
    <w:p w:rsidR="007034DF" w:rsidP="007034DF" w:rsidRDefault="007034DF" w14:paraId="60633750" w14:textId="77777777">
      <w:pPr>
        <w:pStyle w:val="paragraph"/>
        <w:spacing w:before="0" w:beforeAutospacing="0" w:after="0" w:afterAutospacing="0"/>
        <w:ind w:left="1440"/>
        <w:textAlignment w:val="baseline"/>
        <w:rPr>
          <w:rFonts w:ascii="Verdana" w:hAnsi="Verdana" w:cs="Segoe UI"/>
          <w:b/>
          <w:bCs/>
          <w:sz w:val="18"/>
          <w:szCs w:val="18"/>
        </w:rPr>
      </w:pPr>
    </w:p>
    <w:p w:rsidR="04E12499" w:rsidP="4D694C64" w:rsidRDefault="04E12499" w14:paraId="4F39700B" w14:textId="33C45B82">
      <w:pPr>
        <w:bidi w:val="0"/>
        <w:spacing w:before="0" w:beforeAutospacing="off" w:after="240" w:afterAutospacing="off"/>
        <w:jc w:val="both"/>
      </w:pPr>
      <w:r w:rsidRPr="4D694C64" w:rsidR="04E12499">
        <w:rPr>
          <w:rFonts w:ascii="Verdana" w:hAnsi="Verdana" w:eastAsia="Verdana" w:cs="Verdana"/>
          <w:noProof w:val="0"/>
          <w:sz w:val="18"/>
          <w:szCs w:val="18"/>
          <w:lang w:val="en-US"/>
        </w:rPr>
        <w:t xml:space="preserve">The motivation for this project is driven by a unique convergence of technical breakthroughs and regulatory shifts. Technically, the emergence of Agentic AI systems capable of decomposing complex clinical goals into subtasks and executing them across tools allows for a move beyond simple chatbots to autonomous digital team members (Notable Health, 2025, para. 2). Architectures like MCP-AI now enable the creation of “memory objects” that capture patient state, history, and reasoning state in a version-controlled format, preventing the context dilution that occurs in stateless LLM interactions. Furthermore, orchestrated multi-agent systems (MAS) have demonstrated the ability to maintain accuracy under clinical-scale workloads while using 65x fewer computing resources than monolithic models (Klang et al., 2026, p. 4). </w:t>
      </w:r>
    </w:p>
    <w:p w:rsidR="4D694C64" w:rsidP="295D06E8" w:rsidRDefault="4D694C64" w14:paraId="0966A4A1" w14:textId="2535245C">
      <w:pPr>
        <w:bidi w:val="0"/>
        <w:spacing w:before="0" w:beforeAutospacing="off" w:after="240" w:afterAutospacing="off"/>
        <w:jc w:val="both"/>
      </w:pPr>
      <w:r w:rsidRPr="295D06E8" w:rsidR="04E12499">
        <w:rPr>
          <w:rFonts w:ascii="Verdana" w:hAnsi="Verdana" w:eastAsia="Verdana" w:cs="Verdana"/>
          <w:noProof w:val="0"/>
          <w:sz w:val="18"/>
          <w:szCs w:val="18"/>
          <w:lang w:val="en-US"/>
        </w:rPr>
        <w:t xml:space="preserve">Regulatorily, the 2026 launch of the CMS ACCESS Model (Advancing Chronic Care with Effective, Scalable Solutions) </w:t>
      </w:r>
      <w:r w:rsidRPr="295D06E8" w:rsidR="04E12499">
        <w:rPr>
          <w:rFonts w:ascii="Verdana" w:hAnsi="Verdana" w:eastAsia="Verdana" w:cs="Verdana"/>
          <w:noProof w:val="0"/>
          <w:sz w:val="18"/>
          <w:szCs w:val="18"/>
          <w:lang w:val="en-US"/>
        </w:rPr>
        <w:t>represents</w:t>
      </w:r>
      <w:r w:rsidRPr="295D06E8" w:rsidR="04E12499">
        <w:rPr>
          <w:rFonts w:ascii="Verdana" w:hAnsi="Verdana" w:eastAsia="Verdana" w:cs="Verdana"/>
          <w:noProof w:val="0"/>
          <w:sz w:val="18"/>
          <w:szCs w:val="18"/>
          <w:lang w:val="en-US"/>
        </w:rPr>
        <w:t xml:space="preserve"> a fundamental shift toward Outcome-Aligned Payments (OAPs) (Centers for Medicare &amp; Medicaid Services, 2025, para. 1; </w:t>
      </w:r>
      <w:r w:rsidRPr="295D06E8" w:rsidR="04E12499">
        <w:rPr>
          <w:rFonts w:ascii="Verdana" w:hAnsi="Verdana" w:eastAsia="Verdana" w:cs="Verdana"/>
          <w:noProof w:val="0"/>
          <w:sz w:val="18"/>
          <w:szCs w:val="18"/>
          <w:lang w:val="en-US"/>
        </w:rPr>
        <w:t>Khatana</w:t>
      </w:r>
      <w:r w:rsidRPr="295D06E8" w:rsidR="04E12499">
        <w:rPr>
          <w:rFonts w:ascii="Verdana" w:hAnsi="Verdana" w:eastAsia="Verdana" w:cs="Verdana"/>
          <w:noProof w:val="0"/>
          <w:sz w:val="18"/>
          <w:szCs w:val="18"/>
          <w:lang w:val="en-US"/>
        </w:rPr>
        <w:t xml:space="preserve"> et al., 2025, p. 3). For the first time, healthcare organizations will be rewarded for achieving health goals, such as a 10-mmHg reduction in blood pressure, rather than the volume of services delivered (Centers for Medicare &amp; Medicaid Services, 2025, para. </w:t>
      </w:r>
      <w:r w:rsidRPr="295D06E8" w:rsidR="04E12499">
        <w:rPr>
          <w:rFonts w:ascii="Verdana" w:hAnsi="Verdana" w:eastAsia="Verdana" w:cs="Verdana"/>
          <w:noProof w:val="0"/>
          <w:sz w:val="18"/>
          <w:szCs w:val="18"/>
          <w:lang w:val="en-US"/>
        </w:rPr>
        <w:t>3).</w:t>
      </w:r>
      <w:r w:rsidRPr="295D06E8" w:rsidR="04E12499">
        <w:rPr>
          <w:rFonts w:ascii="Verdana" w:hAnsi="Verdana" w:eastAsia="Verdana" w:cs="Verdana"/>
          <w:noProof w:val="0"/>
          <w:sz w:val="18"/>
          <w:szCs w:val="18"/>
          <w:lang w:val="en-US"/>
        </w:rPr>
        <w:t xml:space="preserve"> This provides a direct economic incentive for software that can proactively </w:t>
      </w:r>
      <w:r w:rsidRPr="295D06E8" w:rsidR="04E12499">
        <w:rPr>
          <w:rFonts w:ascii="Verdana" w:hAnsi="Verdana" w:eastAsia="Verdana" w:cs="Verdana"/>
          <w:noProof w:val="0"/>
          <w:sz w:val="18"/>
          <w:szCs w:val="18"/>
          <w:lang w:val="en-US"/>
        </w:rPr>
        <w:t>identify</w:t>
      </w:r>
      <w:r w:rsidRPr="295D06E8" w:rsidR="04E12499">
        <w:rPr>
          <w:rFonts w:ascii="Verdana" w:hAnsi="Verdana" w:eastAsia="Verdana" w:cs="Verdana"/>
          <w:noProof w:val="0"/>
          <w:sz w:val="18"/>
          <w:szCs w:val="18"/>
          <w:lang w:val="en-US"/>
        </w:rPr>
        <w:t xml:space="preserve"> risks and close care gaps before they escalate into costly hospitalizations (</w:t>
      </w:r>
      <w:r w:rsidRPr="295D06E8" w:rsidR="04E12499">
        <w:rPr>
          <w:rFonts w:ascii="Verdana" w:hAnsi="Verdana" w:eastAsia="Verdana" w:cs="Verdana"/>
          <w:noProof w:val="0"/>
          <w:sz w:val="18"/>
          <w:szCs w:val="18"/>
          <w:lang w:val="en-US"/>
        </w:rPr>
        <w:t>HealthArc</w:t>
      </w:r>
      <w:r w:rsidRPr="295D06E8" w:rsidR="04E12499">
        <w:rPr>
          <w:rFonts w:ascii="Verdana" w:hAnsi="Verdana" w:eastAsia="Verdana" w:cs="Verdana"/>
          <w:noProof w:val="0"/>
          <w:sz w:val="18"/>
          <w:szCs w:val="18"/>
          <w:lang w:val="en-US"/>
        </w:rPr>
        <w:t xml:space="preserve">, 2025, para. 5; </w:t>
      </w:r>
      <w:r w:rsidRPr="295D06E8" w:rsidR="04E12499">
        <w:rPr>
          <w:rFonts w:ascii="Verdana" w:hAnsi="Verdana" w:eastAsia="Verdana" w:cs="Verdana"/>
          <w:noProof w:val="0"/>
          <w:sz w:val="18"/>
          <w:szCs w:val="18"/>
          <w:lang w:val="en-US"/>
        </w:rPr>
        <w:t>Khatana</w:t>
      </w:r>
      <w:r w:rsidRPr="295D06E8" w:rsidR="04E12499">
        <w:rPr>
          <w:rFonts w:ascii="Verdana" w:hAnsi="Verdana" w:eastAsia="Verdana" w:cs="Verdana"/>
          <w:noProof w:val="0"/>
          <w:sz w:val="18"/>
          <w:szCs w:val="18"/>
          <w:lang w:val="en-US"/>
        </w:rPr>
        <w:t xml:space="preserve"> et al., 2025, p. 6).</w:t>
      </w:r>
    </w:p>
    <w:p w:rsidR="4EB1B09E" w:rsidP="295D06E8" w:rsidRDefault="4EB1B09E" w14:paraId="2C34A66D" w14:textId="6DC6EF56">
      <w:pPr>
        <w:pStyle w:val="paragraph"/>
        <w:numPr>
          <w:ilvl w:val="1"/>
          <w:numId w:val="2"/>
        </w:numPr>
        <w:suppressLineNumbers w:val="0"/>
        <w:bidi w:val="0"/>
        <w:spacing w:before="0" w:beforeAutospacing="off" w:after="0" w:afterAutospacing="off" w:line="240" w:lineRule="auto"/>
        <w:ind w:left="1440" w:right="0" w:hanging="720"/>
        <w:jc w:val="left"/>
        <w:rPr>
          <w:rFonts w:ascii="Verdana" w:hAnsi="Verdana" w:cs="Segoe UI"/>
          <w:b w:val="1"/>
          <w:bCs w:val="1"/>
          <w:sz w:val="18"/>
          <w:szCs w:val="18"/>
        </w:rPr>
      </w:pPr>
      <w:r w:rsidRPr="295D06E8" w:rsidR="4EB1B09E">
        <w:rPr>
          <w:rFonts w:ascii="Verdana" w:hAnsi="Verdana" w:cs="Segoe UI"/>
          <w:b w:val="1"/>
          <w:bCs w:val="1"/>
          <w:sz w:val="18"/>
          <w:szCs w:val="18"/>
        </w:rPr>
        <w:t>Approach</w:t>
      </w:r>
    </w:p>
    <w:p w:rsidR="4EB1B09E" w:rsidP="295D06E8" w:rsidRDefault="4EB1B09E" w14:paraId="06E2192F" w14:textId="6DDB2CCF">
      <w:pPr>
        <w:bidi w:val="0"/>
        <w:spacing w:before="240" w:beforeAutospacing="off" w:after="240" w:afterAutospacing="off"/>
        <w:jc w:val="both"/>
        <w:rPr>
          <w:rFonts w:ascii="Verdana" w:hAnsi="Verdana" w:eastAsia="Verdana" w:cs="Verdana"/>
          <w:noProof w:val="0"/>
          <w:sz w:val="18"/>
          <w:szCs w:val="18"/>
          <w:lang w:val="en-US"/>
        </w:rPr>
      </w:pPr>
      <w:r w:rsidRPr="295D06E8" w:rsidR="4EB1B09E">
        <w:rPr>
          <w:rFonts w:ascii="Verdana" w:hAnsi="Verdana" w:eastAsia="Verdana" w:cs="Verdana"/>
          <w:noProof w:val="0"/>
          <w:sz w:val="18"/>
          <w:szCs w:val="18"/>
          <w:lang w:val="en-US"/>
        </w:rPr>
        <w:t xml:space="preserve">This project adopts a "Protocol-First" software engineering strategy, utilizing the </w:t>
      </w:r>
      <w:r w:rsidRPr="295D06E8" w:rsidR="4EB1B09E">
        <w:rPr>
          <w:rFonts w:ascii="Verdana" w:hAnsi="Verdana" w:eastAsia="Verdana" w:cs="Verdana"/>
          <w:b w:val="1"/>
          <w:bCs w:val="1"/>
          <w:noProof w:val="0"/>
          <w:sz w:val="18"/>
          <w:szCs w:val="18"/>
          <w:lang w:val="en-US"/>
        </w:rPr>
        <w:t>Model Context Protocol (MCP-AI)</w:t>
      </w:r>
      <w:r w:rsidRPr="295D06E8" w:rsidR="4EB1B09E">
        <w:rPr>
          <w:rFonts w:ascii="Verdana" w:hAnsi="Verdana" w:eastAsia="Verdana" w:cs="Verdana"/>
          <w:noProof w:val="0"/>
          <w:sz w:val="18"/>
          <w:szCs w:val="18"/>
          <w:lang w:val="en-US"/>
        </w:rPr>
        <w:t xml:space="preserve"> as the foundational middleware to bridge the gap between generative AI and legacy healthcare data. The approach is divided into three distinct phases:</w:t>
      </w:r>
    </w:p>
    <w:p w:rsidR="4EB1B09E" w:rsidP="295D06E8" w:rsidRDefault="4EB1B09E" w14:paraId="161B906A" w14:textId="16295DCF">
      <w:pPr>
        <w:pStyle w:val="ListParagraph"/>
        <w:numPr>
          <w:ilvl w:val="0"/>
          <w:numId w:val="9"/>
        </w:numPr>
        <w:bidi w:val="0"/>
        <w:spacing w:before="240" w:beforeAutospacing="off" w:after="240" w:afterAutospacing="off"/>
        <w:jc w:val="both"/>
        <w:rPr>
          <w:rFonts w:ascii="Verdana" w:hAnsi="Verdana" w:eastAsia="Verdana" w:cs="Verdana"/>
          <w:i w:val="0"/>
          <w:iCs w:val="0"/>
          <w:noProof w:val="0"/>
          <w:sz w:val="18"/>
          <w:szCs w:val="18"/>
          <w:lang w:val="en-US"/>
        </w:rPr>
      </w:pPr>
      <w:r w:rsidRPr="295D06E8" w:rsidR="4EB1B09E">
        <w:rPr>
          <w:rFonts w:ascii="Verdana" w:hAnsi="Verdana" w:eastAsia="Verdana" w:cs="Verdana"/>
          <w:b w:val="1"/>
          <w:bCs w:val="1"/>
          <w:i w:val="0"/>
          <w:iCs w:val="0"/>
          <w:noProof w:val="0"/>
          <w:sz w:val="18"/>
          <w:szCs w:val="18"/>
          <w:lang w:val="en-US"/>
        </w:rPr>
        <w:t>Semantic Modeling &amp; Data Normalization:</w:t>
      </w:r>
      <w:r w:rsidRPr="295D06E8" w:rsidR="4EB1B09E">
        <w:rPr>
          <w:rFonts w:ascii="Verdana" w:hAnsi="Verdana" w:eastAsia="Verdana" w:cs="Verdana"/>
          <w:i w:val="0"/>
          <w:iCs w:val="0"/>
          <w:noProof w:val="0"/>
          <w:sz w:val="18"/>
          <w:szCs w:val="18"/>
          <w:lang w:val="en-US"/>
        </w:rPr>
        <w:t xml:space="preserve"> Rather than treating Electronic Health Record (EHR) data as static strings, the system maps ingested patient information to the </w:t>
      </w:r>
      <w:r w:rsidRPr="295D06E8" w:rsidR="4EB1B09E">
        <w:rPr>
          <w:rFonts w:ascii="Verdana" w:hAnsi="Verdana" w:eastAsia="Verdana" w:cs="Verdana"/>
          <w:b w:val="1"/>
          <w:bCs w:val="1"/>
          <w:i w:val="0"/>
          <w:iCs w:val="0"/>
          <w:noProof w:val="0"/>
          <w:sz w:val="18"/>
          <w:szCs w:val="18"/>
          <w:lang w:val="en-US"/>
        </w:rPr>
        <w:t>Basic Formal Ontology (BFO)</w:t>
      </w:r>
      <w:r w:rsidRPr="295D06E8" w:rsidR="4EB1B09E">
        <w:rPr>
          <w:rFonts w:ascii="Verdana" w:hAnsi="Verdana" w:eastAsia="Verdana" w:cs="Verdana"/>
          <w:i w:val="0"/>
          <w:iCs w:val="0"/>
          <w:noProof w:val="0"/>
          <w:sz w:val="18"/>
          <w:szCs w:val="18"/>
          <w:lang w:val="en-US"/>
        </w:rPr>
        <w:t xml:space="preserve"> and </w:t>
      </w:r>
      <w:r w:rsidRPr="295D06E8" w:rsidR="4EB1B09E">
        <w:rPr>
          <w:rFonts w:ascii="Verdana" w:hAnsi="Verdana" w:eastAsia="Verdana" w:cs="Verdana"/>
          <w:b w:val="1"/>
          <w:bCs w:val="1"/>
          <w:i w:val="0"/>
          <w:iCs w:val="0"/>
          <w:noProof w:val="0"/>
          <w:sz w:val="18"/>
          <w:szCs w:val="18"/>
          <w:lang w:val="en-US"/>
        </w:rPr>
        <w:t>OWL 2.0</w:t>
      </w:r>
      <w:r w:rsidRPr="295D06E8" w:rsidR="4EB1B09E">
        <w:rPr>
          <w:rFonts w:ascii="Verdana" w:hAnsi="Verdana" w:eastAsia="Verdana" w:cs="Verdana"/>
          <w:i w:val="0"/>
          <w:iCs w:val="0"/>
          <w:noProof w:val="0"/>
          <w:sz w:val="18"/>
          <w:szCs w:val="18"/>
          <w:lang w:val="en-US"/>
        </w:rPr>
        <w:t xml:space="preserve">. This creates a </w:t>
      </w:r>
      <w:r w:rsidRPr="295D06E8" w:rsidR="4EB1B09E">
        <w:rPr>
          <w:rFonts w:ascii="Verdana" w:hAnsi="Verdana" w:eastAsia="Verdana" w:cs="Verdana"/>
          <w:b w:val="1"/>
          <w:bCs w:val="1"/>
          <w:i w:val="0"/>
          <w:iCs w:val="0"/>
          <w:noProof w:val="0"/>
          <w:sz w:val="18"/>
          <w:szCs w:val="18"/>
          <w:lang w:val="en-US"/>
        </w:rPr>
        <w:t>Patient Medical Digital Twin (PMDT)</w:t>
      </w:r>
      <w:r w:rsidRPr="295D06E8" w:rsidR="4DDAEA0D">
        <w:rPr>
          <w:rFonts w:ascii="Verdana" w:hAnsi="Verdana" w:eastAsia="Verdana" w:cs="Verdana"/>
          <w:b w:val="1"/>
          <w:bCs w:val="1"/>
          <w:i w:val="0"/>
          <w:iCs w:val="0"/>
          <w:noProof w:val="0"/>
          <w:sz w:val="18"/>
          <w:szCs w:val="18"/>
          <w:lang w:val="en-US"/>
        </w:rPr>
        <w:t xml:space="preserve">, </w:t>
      </w:r>
      <w:r w:rsidRPr="295D06E8" w:rsidR="4EB1B09E">
        <w:rPr>
          <w:rFonts w:ascii="Verdana" w:hAnsi="Verdana" w:eastAsia="Verdana" w:cs="Verdana"/>
          <w:i w:val="0"/>
          <w:iCs w:val="0"/>
          <w:noProof w:val="0"/>
          <w:sz w:val="18"/>
          <w:szCs w:val="18"/>
          <w:lang w:val="en-US"/>
        </w:rPr>
        <w:t>a machine-understandable representation that supports prescriptive analytics rather than simple keyword searches.</w:t>
      </w:r>
    </w:p>
    <w:p w:rsidR="4EB1B09E" w:rsidP="295D06E8" w:rsidRDefault="4EB1B09E" w14:paraId="0D4FF828" w14:textId="3E4B2F94">
      <w:pPr>
        <w:pStyle w:val="ListParagraph"/>
        <w:numPr>
          <w:ilvl w:val="0"/>
          <w:numId w:val="9"/>
        </w:numPr>
        <w:bidi w:val="0"/>
        <w:spacing w:before="240" w:beforeAutospacing="off" w:after="240" w:afterAutospacing="off"/>
        <w:jc w:val="both"/>
        <w:rPr>
          <w:rFonts w:ascii="Verdana" w:hAnsi="Verdana" w:eastAsia="Verdana" w:cs="Verdana"/>
          <w:i w:val="0"/>
          <w:iCs w:val="0"/>
          <w:noProof w:val="0"/>
          <w:sz w:val="18"/>
          <w:szCs w:val="18"/>
          <w:lang w:val="en-US"/>
        </w:rPr>
      </w:pPr>
      <w:r w:rsidRPr="295D06E8" w:rsidR="4EB1B09E">
        <w:rPr>
          <w:rFonts w:ascii="Verdana" w:hAnsi="Verdana" w:eastAsia="Verdana" w:cs="Verdana"/>
          <w:b w:val="1"/>
          <w:bCs w:val="1"/>
          <w:i w:val="0"/>
          <w:iCs w:val="0"/>
          <w:noProof w:val="0"/>
          <w:sz w:val="18"/>
          <w:szCs w:val="18"/>
          <w:lang w:val="en-US"/>
        </w:rPr>
        <w:t>Multi-Agent Orchestration:</w:t>
      </w:r>
      <w:r w:rsidRPr="295D06E8" w:rsidR="4EB1B09E">
        <w:rPr>
          <w:rFonts w:ascii="Verdana" w:hAnsi="Verdana" w:eastAsia="Verdana" w:cs="Verdana"/>
          <w:i w:val="0"/>
          <w:iCs w:val="0"/>
          <w:noProof w:val="0"/>
          <w:sz w:val="18"/>
          <w:szCs w:val="18"/>
          <w:lang w:val="en-US"/>
        </w:rPr>
        <w:t xml:space="preserve"> To ensure the system </w:t>
      </w:r>
      <w:r w:rsidRPr="295D06E8" w:rsidR="4EB1B09E">
        <w:rPr>
          <w:rFonts w:ascii="Verdana" w:hAnsi="Verdana" w:eastAsia="Verdana" w:cs="Verdana"/>
          <w:i w:val="0"/>
          <w:iCs w:val="0"/>
          <w:noProof w:val="0"/>
          <w:sz w:val="18"/>
          <w:szCs w:val="18"/>
          <w:lang w:val="en-US"/>
        </w:rPr>
        <w:t>remains</w:t>
      </w:r>
      <w:r w:rsidRPr="295D06E8" w:rsidR="4EB1B09E">
        <w:rPr>
          <w:rFonts w:ascii="Verdana" w:hAnsi="Verdana" w:eastAsia="Verdana" w:cs="Verdana"/>
          <w:i w:val="0"/>
          <w:iCs w:val="0"/>
          <w:noProof w:val="0"/>
          <w:sz w:val="18"/>
          <w:szCs w:val="18"/>
          <w:lang w:val="en-US"/>
        </w:rPr>
        <w:t xml:space="preserve"> </w:t>
      </w:r>
      <w:r w:rsidRPr="295D06E8" w:rsidR="4EB1B09E">
        <w:rPr>
          <w:rFonts w:ascii="Verdana" w:hAnsi="Verdana" w:eastAsia="Verdana" w:cs="Verdana"/>
          <w:i w:val="0"/>
          <w:iCs w:val="0"/>
          <w:noProof w:val="0"/>
          <w:sz w:val="18"/>
          <w:szCs w:val="18"/>
          <w:lang w:val="en-US"/>
        </w:rPr>
        <w:t>accurate</w:t>
      </w:r>
      <w:r w:rsidRPr="295D06E8" w:rsidR="4EB1B09E">
        <w:rPr>
          <w:rFonts w:ascii="Verdana" w:hAnsi="Verdana" w:eastAsia="Verdana" w:cs="Verdana"/>
          <w:i w:val="0"/>
          <w:iCs w:val="0"/>
          <w:noProof w:val="0"/>
          <w:sz w:val="18"/>
          <w:szCs w:val="18"/>
          <w:lang w:val="en-US"/>
        </w:rPr>
        <w:t xml:space="preserve"> under clinical-scale workloads, the architecture </w:t>
      </w:r>
      <w:r w:rsidRPr="295D06E8" w:rsidR="4EB1B09E">
        <w:rPr>
          <w:rFonts w:ascii="Verdana" w:hAnsi="Verdana" w:eastAsia="Verdana" w:cs="Verdana"/>
          <w:i w:val="0"/>
          <w:iCs w:val="0"/>
          <w:noProof w:val="0"/>
          <w:sz w:val="18"/>
          <w:szCs w:val="18"/>
          <w:lang w:val="en-US"/>
        </w:rPr>
        <w:t>utilizes</w:t>
      </w:r>
      <w:r w:rsidRPr="295D06E8" w:rsidR="4EB1B09E">
        <w:rPr>
          <w:rFonts w:ascii="Verdana" w:hAnsi="Verdana" w:eastAsia="Verdana" w:cs="Verdana"/>
          <w:i w:val="0"/>
          <w:iCs w:val="0"/>
          <w:noProof w:val="0"/>
          <w:sz w:val="18"/>
          <w:szCs w:val="18"/>
          <w:lang w:val="en-US"/>
        </w:rPr>
        <w:t xml:space="preserve"> an </w:t>
      </w:r>
      <w:r w:rsidRPr="295D06E8" w:rsidR="4EB1B09E">
        <w:rPr>
          <w:rFonts w:ascii="Verdana" w:hAnsi="Verdana" w:eastAsia="Verdana" w:cs="Verdana"/>
          <w:b w:val="1"/>
          <w:bCs w:val="1"/>
          <w:i w:val="0"/>
          <w:iCs w:val="0"/>
          <w:noProof w:val="0"/>
          <w:sz w:val="18"/>
          <w:szCs w:val="18"/>
          <w:lang w:val="en-US"/>
        </w:rPr>
        <w:t>orchestrated multi-agent system (MAS)</w:t>
      </w:r>
      <w:r w:rsidRPr="295D06E8" w:rsidR="4EB1B09E">
        <w:rPr>
          <w:rFonts w:ascii="Verdana" w:hAnsi="Verdana" w:eastAsia="Verdana" w:cs="Verdana"/>
          <w:i w:val="0"/>
          <w:iCs w:val="0"/>
          <w:noProof w:val="0"/>
          <w:sz w:val="18"/>
          <w:szCs w:val="18"/>
          <w:lang w:val="en-US"/>
        </w:rPr>
        <w:t>. A central "Orchestrator" agent decomposes complex care plans into subtasks for specialized agents</w:t>
      </w:r>
      <w:r w:rsidRPr="295D06E8" w:rsidR="5A0A605A">
        <w:rPr>
          <w:rFonts w:ascii="Verdana" w:hAnsi="Verdana" w:eastAsia="Verdana" w:cs="Verdana"/>
          <w:i w:val="0"/>
          <w:iCs w:val="0"/>
          <w:noProof w:val="0"/>
          <w:sz w:val="18"/>
          <w:szCs w:val="18"/>
          <w:lang w:val="en-US"/>
        </w:rPr>
        <w:t xml:space="preserve">, </w:t>
      </w:r>
      <w:r w:rsidRPr="295D06E8" w:rsidR="4EB1B09E">
        <w:rPr>
          <w:rFonts w:ascii="Verdana" w:hAnsi="Verdana" w:eastAsia="Verdana" w:cs="Verdana"/>
          <w:i w:val="0"/>
          <w:iCs w:val="0"/>
          <w:noProof w:val="0"/>
          <w:sz w:val="18"/>
          <w:szCs w:val="18"/>
          <w:lang w:val="en-US"/>
        </w:rPr>
        <w:t xml:space="preserve">such as an </w:t>
      </w:r>
      <w:r w:rsidRPr="295D06E8" w:rsidR="4EB1B09E">
        <w:rPr>
          <w:rFonts w:ascii="Verdana" w:hAnsi="Verdana" w:eastAsia="Verdana" w:cs="Verdana"/>
          <w:i w:val="0"/>
          <w:iCs w:val="0"/>
          <w:noProof w:val="0"/>
          <w:sz w:val="18"/>
          <w:szCs w:val="18"/>
          <w:lang w:val="en-US"/>
        </w:rPr>
        <w:t xml:space="preserve">Ingestion Agent for FHIR resources and a Monitoring Agent for time-series vital signs. This design has been empirically shown to </w:t>
      </w:r>
      <w:r w:rsidRPr="295D06E8" w:rsidR="4EB1B09E">
        <w:rPr>
          <w:rFonts w:ascii="Verdana" w:hAnsi="Verdana" w:eastAsia="Verdana" w:cs="Verdana"/>
          <w:i w:val="0"/>
          <w:iCs w:val="0"/>
          <w:noProof w:val="0"/>
          <w:sz w:val="18"/>
          <w:szCs w:val="18"/>
          <w:lang w:val="en-US"/>
        </w:rPr>
        <w:t>maintain</w:t>
      </w:r>
      <w:r w:rsidRPr="295D06E8" w:rsidR="4EB1B09E">
        <w:rPr>
          <w:rFonts w:ascii="Verdana" w:hAnsi="Verdana" w:eastAsia="Verdana" w:cs="Verdana"/>
          <w:i w:val="0"/>
          <w:iCs w:val="0"/>
          <w:noProof w:val="0"/>
          <w:sz w:val="18"/>
          <w:szCs w:val="18"/>
          <w:lang w:val="en-US"/>
        </w:rPr>
        <w:t xml:space="preserve"> high accuracy while </w:t>
      </w:r>
      <w:r w:rsidRPr="295D06E8" w:rsidR="4EB1B09E">
        <w:rPr>
          <w:rFonts w:ascii="Verdana" w:hAnsi="Verdana" w:eastAsia="Verdana" w:cs="Verdana"/>
          <w:i w:val="0"/>
          <w:iCs w:val="0"/>
          <w:noProof w:val="0"/>
          <w:sz w:val="18"/>
          <w:szCs w:val="18"/>
          <w:lang w:val="en-US"/>
        </w:rPr>
        <w:t>utilizing</w:t>
      </w:r>
      <w:r w:rsidRPr="295D06E8" w:rsidR="4EB1B09E">
        <w:rPr>
          <w:rFonts w:ascii="Verdana" w:hAnsi="Verdana" w:eastAsia="Verdana" w:cs="Verdana"/>
          <w:i w:val="0"/>
          <w:iCs w:val="0"/>
          <w:noProof w:val="0"/>
          <w:sz w:val="18"/>
          <w:szCs w:val="18"/>
          <w:lang w:val="en-US"/>
        </w:rPr>
        <w:t xml:space="preserve"> up to </w:t>
      </w:r>
      <w:r w:rsidRPr="295D06E8" w:rsidR="4EB1B09E">
        <w:rPr>
          <w:rFonts w:ascii="Verdana" w:hAnsi="Verdana" w:eastAsia="Verdana" w:cs="Verdana"/>
          <w:b w:val="1"/>
          <w:bCs w:val="1"/>
          <w:i w:val="0"/>
          <w:iCs w:val="0"/>
          <w:noProof w:val="0"/>
          <w:sz w:val="18"/>
          <w:szCs w:val="18"/>
          <w:lang w:val="en-US"/>
        </w:rPr>
        <w:t xml:space="preserve">65 times fewer </w:t>
      </w:r>
      <w:r w:rsidRPr="295D06E8" w:rsidR="4EB1B09E">
        <w:rPr>
          <w:rFonts w:ascii="Verdana" w:hAnsi="Verdana" w:eastAsia="Verdana" w:cs="Verdana"/>
          <w:b w:val="1"/>
          <w:bCs w:val="1"/>
          <w:i w:val="0"/>
          <w:iCs w:val="0"/>
          <w:noProof w:val="0"/>
          <w:sz w:val="18"/>
          <w:szCs w:val="18"/>
          <w:lang w:val="en-US"/>
        </w:rPr>
        <w:t>compute</w:t>
      </w:r>
      <w:r w:rsidRPr="295D06E8" w:rsidR="4EB1B09E">
        <w:rPr>
          <w:rFonts w:ascii="Verdana" w:hAnsi="Verdana" w:eastAsia="Verdana" w:cs="Verdana"/>
          <w:b w:val="1"/>
          <w:bCs w:val="1"/>
          <w:i w:val="0"/>
          <w:iCs w:val="0"/>
          <w:noProof w:val="0"/>
          <w:sz w:val="18"/>
          <w:szCs w:val="18"/>
          <w:lang w:val="en-US"/>
        </w:rPr>
        <w:t xml:space="preserve"> resources</w:t>
      </w:r>
      <w:r w:rsidRPr="295D06E8" w:rsidR="4EB1B09E">
        <w:rPr>
          <w:rFonts w:ascii="Verdana" w:hAnsi="Verdana" w:eastAsia="Verdana" w:cs="Verdana"/>
          <w:i w:val="0"/>
          <w:iCs w:val="0"/>
          <w:noProof w:val="0"/>
          <w:sz w:val="18"/>
          <w:szCs w:val="18"/>
          <w:lang w:val="en-US"/>
        </w:rPr>
        <w:t xml:space="preserve"> than monolithic LLM designs.</w:t>
      </w:r>
    </w:p>
    <w:p w:rsidR="4EB1B09E" w:rsidP="295D06E8" w:rsidRDefault="4EB1B09E" w14:paraId="73E55DB4" w14:textId="78D6464C">
      <w:pPr>
        <w:pStyle w:val="ListParagraph"/>
        <w:numPr>
          <w:ilvl w:val="0"/>
          <w:numId w:val="9"/>
        </w:numPr>
        <w:bidi w:val="0"/>
        <w:spacing w:before="240" w:beforeAutospacing="off" w:after="240" w:afterAutospacing="off"/>
        <w:jc w:val="both"/>
        <w:rPr>
          <w:rFonts w:ascii="Verdana" w:hAnsi="Verdana" w:eastAsia="Verdana" w:cs="Verdana"/>
          <w:i w:val="0"/>
          <w:iCs w:val="0"/>
          <w:noProof w:val="0"/>
          <w:sz w:val="18"/>
          <w:szCs w:val="18"/>
          <w:lang w:val="en-US"/>
        </w:rPr>
      </w:pPr>
      <w:r w:rsidRPr="295D06E8" w:rsidR="4EB1B09E">
        <w:rPr>
          <w:rFonts w:ascii="Verdana" w:hAnsi="Verdana" w:eastAsia="Verdana" w:cs="Verdana"/>
          <w:b w:val="1"/>
          <w:bCs w:val="1"/>
          <w:i w:val="0"/>
          <w:iCs w:val="0"/>
          <w:noProof w:val="0"/>
          <w:sz w:val="18"/>
          <w:szCs w:val="18"/>
          <w:lang w:val="en-US"/>
        </w:rPr>
        <w:t>Human-on-the-Loop Validation:</w:t>
      </w:r>
      <w:r w:rsidRPr="295D06E8" w:rsidR="4EB1B09E">
        <w:rPr>
          <w:rFonts w:ascii="Verdana" w:hAnsi="Verdana" w:eastAsia="Verdana" w:cs="Verdana"/>
          <w:i w:val="0"/>
          <w:iCs w:val="0"/>
          <w:noProof w:val="0"/>
          <w:sz w:val="18"/>
          <w:szCs w:val="18"/>
          <w:lang w:val="en-US"/>
        </w:rPr>
        <w:t xml:space="preserve"> The technical stack (Python/</w:t>
      </w:r>
      <w:r w:rsidRPr="295D06E8" w:rsidR="4EB1B09E">
        <w:rPr>
          <w:rFonts w:ascii="Verdana" w:hAnsi="Verdana" w:eastAsia="Verdana" w:cs="Verdana"/>
          <w:i w:val="0"/>
          <w:iCs w:val="0"/>
          <w:noProof w:val="0"/>
          <w:sz w:val="18"/>
          <w:szCs w:val="18"/>
          <w:lang w:val="en-US"/>
        </w:rPr>
        <w:t>FastAPI</w:t>
      </w:r>
      <w:r w:rsidRPr="295D06E8" w:rsidR="4EB1B09E">
        <w:rPr>
          <w:rFonts w:ascii="Verdana" w:hAnsi="Verdana" w:eastAsia="Verdana" w:cs="Verdana"/>
          <w:i w:val="0"/>
          <w:iCs w:val="0"/>
          <w:noProof w:val="0"/>
          <w:sz w:val="18"/>
          <w:szCs w:val="18"/>
          <w:lang w:val="en-US"/>
        </w:rPr>
        <w:t xml:space="preserve"> and Vector Databases) is configured to support a "human-on-the-loop" workflow. The agent </w:t>
      </w:r>
      <w:r w:rsidRPr="295D06E8" w:rsidR="4EB1B09E">
        <w:rPr>
          <w:rFonts w:ascii="Verdana" w:hAnsi="Verdana" w:eastAsia="Verdana" w:cs="Verdana"/>
          <w:i w:val="0"/>
          <w:iCs w:val="0"/>
          <w:noProof w:val="0"/>
          <w:sz w:val="18"/>
          <w:szCs w:val="18"/>
          <w:lang w:val="en-US"/>
        </w:rPr>
        <w:t>operates</w:t>
      </w:r>
      <w:r w:rsidRPr="295D06E8" w:rsidR="4EB1B09E">
        <w:rPr>
          <w:rFonts w:ascii="Verdana" w:hAnsi="Verdana" w:eastAsia="Verdana" w:cs="Verdana"/>
          <w:i w:val="0"/>
          <w:iCs w:val="0"/>
          <w:noProof w:val="0"/>
          <w:sz w:val="18"/>
          <w:szCs w:val="18"/>
          <w:lang w:val="en-US"/>
        </w:rPr>
        <w:t xml:space="preserve"> on "Autopilot" for administrative sequencing</w:t>
      </w:r>
      <w:r w:rsidRPr="295D06E8" w:rsidR="70D3FBD5">
        <w:rPr>
          <w:rFonts w:ascii="Verdana" w:hAnsi="Verdana" w:eastAsia="Verdana" w:cs="Verdana"/>
          <w:i w:val="0"/>
          <w:iCs w:val="0"/>
          <w:noProof w:val="0"/>
          <w:sz w:val="18"/>
          <w:szCs w:val="18"/>
          <w:lang w:val="en-US"/>
        </w:rPr>
        <w:t xml:space="preserve">, </w:t>
      </w:r>
      <w:r w:rsidRPr="295D06E8" w:rsidR="4EB1B09E">
        <w:rPr>
          <w:rFonts w:ascii="Verdana" w:hAnsi="Verdana" w:eastAsia="Verdana" w:cs="Verdana"/>
          <w:i w:val="0"/>
          <w:iCs w:val="0"/>
          <w:noProof w:val="0"/>
          <w:sz w:val="18"/>
          <w:szCs w:val="18"/>
          <w:lang w:val="en-US"/>
        </w:rPr>
        <w:t>such as scheduling and referral tracking</w:t>
      </w:r>
      <w:r w:rsidRPr="295D06E8" w:rsidR="313C4DC4">
        <w:rPr>
          <w:rFonts w:ascii="Verdana" w:hAnsi="Verdana" w:eastAsia="Verdana" w:cs="Verdana"/>
          <w:i w:val="0"/>
          <w:iCs w:val="0"/>
          <w:noProof w:val="0"/>
          <w:sz w:val="18"/>
          <w:szCs w:val="18"/>
          <w:lang w:val="en-US"/>
        </w:rPr>
        <w:t xml:space="preserve">, </w:t>
      </w:r>
      <w:r w:rsidRPr="295D06E8" w:rsidR="4EB1B09E">
        <w:rPr>
          <w:rFonts w:ascii="Verdana" w:hAnsi="Verdana" w:eastAsia="Verdana" w:cs="Verdana"/>
          <w:i w:val="0"/>
          <w:iCs w:val="0"/>
          <w:noProof w:val="0"/>
          <w:sz w:val="18"/>
          <w:szCs w:val="18"/>
          <w:lang w:val="en-US"/>
        </w:rPr>
        <w:t>but transitions to "Copilot" mode for clinical decisions, ensuring that AI-generated summaries and plans are always subject to a licensed professional’s review.</w:t>
      </w:r>
    </w:p>
    <w:p w:rsidR="4EB1B09E" w:rsidP="295D06E8" w:rsidRDefault="4EB1B09E" w14:paraId="7A8473DC" w14:textId="5304CE49">
      <w:pPr>
        <w:pStyle w:val="paragraph"/>
        <w:numPr>
          <w:ilvl w:val="1"/>
          <w:numId w:val="2"/>
        </w:numPr>
        <w:suppressLineNumbers w:val="0"/>
        <w:bidi w:val="0"/>
        <w:spacing w:before="0" w:beforeAutospacing="off" w:after="0" w:afterAutospacing="off" w:line="240" w:lineRule="auto"/>
        <w:ind w:left="1440" w:right="0" w:hanging="720"/>
        <w:jc w:val="left"/>
        <w:rPr>
          <w:rFonts w:ascii="Verdana" w:hAnsi="Verdana" w:cs="Segoe UI"/>
          <w:b w:val="1"/>
          <w:bCs w:val="1"/>
          <w:sz w:val="18"/>
          <w:szCs w:val="18"/>
        </w:rPr>
      </w:pPr>
      <w:r w:rsidRPr="295D06E8" w:rsidR="4EB1B09E">
        <w:rPr>
          <w:rFonts w:ascii="Verdana" w:hAnsi="Verdana" w:cs="Segoe UI"/>
          <w:b w:val="1"/>
          <w:bCs w:val="1"/>
          <w:sz w:val="18"/>
          <w:szCs w:val="18"/>
        </w:rPr>
        <w:t>Conclusion</w:t>
      </w:r>
    </w:p>
    <w:p w:rsidR="4EB1B09E" w:rsidP="295D06E8" w:rsidRDefault="4EB1B09E" w14:paraId="268B460B" w14:textId="32174844">
      <w:pPr>
        <w:bidi w:val="0"/>
        <w:spacing w:before="240" w:beforeAutospacing="off" w:after="240" w:afterAutospacing="off"/>
        <w:jc w:val="both"/>
        <w:rPr>
          <w:rFonts w:ascii="Verdana" w:hAnsi="Verdana" w:eastAsia="Verdana" w:cs="Verdana"/>
          <w:noProof w:val="0"/>
          <w:sz w:val="18"/>
          <w:szCs w:val="18"/>
          <w:lang w:val="en-US"/>
        </w:rPr>
      </w:pPr>
      <w:r w:rsidRPr="295D06E8" w:rsidR="4EB1B09E">
        <w:rPr>
          <w:rFonts w:ascii="Verdana" w:hAnsi="Verdana" w:eastAsia="Verdana" w:cs="Verdana"/>
          <w:noProof w:val="0"/>
          <w:sz w:val="18"/>
          <w:szCs w:val="18"/>
          <w:lang w:val="en-US"/>
        </w:rPr>
        <w:t>The development of the AI-Powered Care Coordination Agent represents a fundamental pivot from "digitization" to "transformation" in healthcare software. By addressing the "reasoning void" inherent in current EHR systems, this solution moves beyond the role of a passive digital file cabinet to become a proactive clinical co-worker.</w:t>
      </w:r>
    </w:p>
    <w:p w:rsidR="4EB1B09E" w:rsidP="295D06E8" w:rsidRDefault="4EB1B09E" w14:paraId="626EFC17" w14:textId="7308ACF5">
      <w:pPr>
        <w:bidi w:val="0"/>
        <w:spacing w:before="240" w:beforeAutospacing="off" w:after="240" w:afterAutospacing="off"/>
        <w:jc w:val="both"/>
        <w:rPr>
          <w:rFonts w:ascii="Verdana" w:hAnsi="Verdana" w:eastAsia="Verdana" w:cs="Verdana"/>
          <w:noProof w:val="0"/>
          <w:sz w:val="18"/>
          <w:szCs w:val="18"/>
          <w:lang w:val="en-US"/>
        </w:rPr>
      </w:pPr>
      <w:r w:rsidRPr="4B341F6F" w:rsidR="4EB1B09E">
        <w:rPr>
          <w:rFonts w:ascii="Verdana" w:hAnsi="Verdana" w:eastAsia="Verdana" w:cs="Verdana"/>
          <w:noProof w:val="0"/>
          <w:sz w:val="18"/>
          <w:szCs w:val="18"/>
          <w:lang w:val="en-US"/>
        </w:rPr>
        <w:t xml:space="preserve">The technical integration of </w:t>
      </w:r>
      <w:r w:rsidRPr="4B341F6F" w:rsidR="4EB1B09E">
        <w:rPr>
          <w:rFonts w:ascii="Verdana" w:hAnsi="Verdana" w:eastAsia="Verdana" w:cs="Verdana"/>
          <w:b w:val="1"/>
          <w:bCs w:val="1"/>
          <w:noProof w:val="0"/>
          <w:sz w:val="18"/>
          <w:szCs w:val="18"/>
          <w:lang w:val="en-US"/>
        </w:rPr>
        <w:t>MCP-AI</w:t>
      </w:r>
      <w:r w:rsidRPr="4B341F6F" w:rsidR="4EB1B09E">
        <w:rPr>
          <w:rFonts w:ascii="Verdana" w:hAnsi="Verdana" w:eastAsia="Verdana" w:cs="Verdana"/>
          <w:noProof w:val="0"/>
          <w:sz w:val="18"/>
          <w:szCs w:val="18"/>
          <w:lang w:val="en-US"/>
        </w:rPr>
        <w:t xml:space="preserve"> and </w:t>
      </w:r>
      <w:r w:rsidRPr="4B341F6F" w:rsidR="4EB1B09E">
        <w:rPr>
          <w:rFonts w:ascii="Verdana" w:hAnsi="Verdana" w:eastAsia="Verdana" w:cs="Verdana"/>
          <w:b w:val="1"/>
          <w:bCs w:val="1"/>
          <w:noProof w:val="0"/>
          <w:sz w:val="18"/>
          <w:szCs w:val="18"/>
          <w:lang w:val="en-US"/>
        </w:rPr>
        <w:t>orchestrated MAS</w:t>
      </w:r>
      <w:r w:rsidRPr="4B341F6F" w:rsidR="4EB1B09E">
        <w:rPr>
          <w:rFonts w:ascii="Verdana" w:hAnsi="Verdana" w:eastAsia="Verdana" w:cs="Verdana"/>
          <w:noProof w:val="0"/>
          <w:sz w:val="18"/>
          <w:szCs w:val="18"/>
          <w:lang w:val="en-US"/>
        </w:rPr>
        <w:t xml:space="preserve"> provides a scalable, resource-efficient infrastructure that directly mitigates the primary causes of clinician burnout: manual data retrieval and administrative documentation. Furthermore, the system’s alignment with the </w:t>
      </w:r>
      <w:r w:rsidRPr="4B341F6F" w:rsidR="4EB1B09E">
        <w:rPr>
          <w:rFonts w:ascii="Verdana" w:hAnsi="Verdana" w:eastAsia="Verdana" w:cs="Verdana"/>
          <w:b w:val="1"/>
          <w:bCs w:val="1"/>
          <w:noProof w:val="0"/>
          <w:sz w:val="18"/>
          <w:szCs w:val="18"/>
          <w:lang w:val="en-US"/>
        </w:rPr>
        <w:t>2026 CMS ACCESS model</w:t>
      </w:r>
      <w:r w:rsidRPr="4B341F6F" w:rsidR="4EB1B09E">
        <w:rPr>
          <w:rFonts w:ascii="Verdana" w:hAnsi="Verdana" w:eastAsia="Verdana" w:cs="Verdana"/>
          <w:noProof w:val="0"/>
          <w:sz w:val="18"/>
          <w:szCs w:val="18"/>
          <w:lang w:val="en-US"/>
        </w:rPr>
        <w:t xml:space="preserve"> ensures that the software is not only technically viable but economically sustainable in a value-based economy. Ultimately, this project demonstrates that by leveraging semantic web technologies and agentic workflows, software engineers can re-engineer chronic care into a proactive, personalized, and patient-centric ecosystem that prioritizes clinical outcomes over administrative paperwork.</w:t>
      </w:r>
    </w:p>
    <w:p w:rsidR="2C3C5A6C" w:rsidP="4D694C64" w:rsidRDefault="2C3C5A6C" w14:paraId="59B866E3" w14:textId="35E20B7A">
      <w:pPr>
        <w:pStyle w:val="ListParagraph"/>
        <w:numPr>
          <w:ilvl w:val="0"/>
          <w:numId w:val="4"/>
        </w:numPr>
        <w:spacing w:beforeAutospacing="on" w:afterAutospacing="on"/>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4D694C64" w:rsidR="50ECF36F">
        <w:rPr>
          <w:rFonts w:ascii="Verdana" w:hAnsi="Verdana" w:eastAsia="Verdana" w:cs="Verdana"/>
          <w:b w:val="1"/>
          <w:bCs w:val="1"/>
          <w:i w:val="0"/>
          <w:iCs w:val="0"/>
          <w:caps w:val="0"/>
          <w:smallCaps w:val="0"/>
          <w:noProof w:val="0"/>
          <w:color w:val="000000" w:themeColor="text1" w:themeTint="FF" w:themeShade="FF"/>
          <w:sz w:val="18"/>
          <w:szCs w:val="18"/>
          <w:lang w:val="en-US"/>
        </w:rPr>
        <w:t>Background</w:t>
      </w:r>
    </w:p>
    <w:p w:rsidR="2C3C5A6C" w:rsidP="4D694C64" w:rsidRDefault="2C3C5A6C" w14:paraId="3F9DB2CA" w14:textId="07F614E5">
      <w:pPr>
        <w:pStyle w:val="Normal"/>
        <w:suppressLineNumbers w:val="0"/>
        <w:bidi w:val="0"/>
        <w:spacing w:before="0" w:beforeAutospacing="off" w:after="240" w:afterAutospacing="off" w:line="240" w:lineRule="auto"/>
        <w:ind w:left="0" w:right="0"/>
        <w:jc w:val="both"/>
        <w:rPr>
          <w:rFonts w:ascii="Verdana" w:hAnsi="Verdana" w:eastAsia="Verdana" w:cs="Verdana"/>
          <w:noProof w:val="0"/>
          <w:sz w:val="18"/>
          <w:szCs w:val="18"/>
          <w:lang w:val="en-US"/>
        </w:rPr>
      </w:pPr>
      <w:r w:rsidRPr="4D694C64" w:rsidR="7C23272A">
        <w:rPr>
          <w:rFonts w:ascii="Verdana" w:hAnsi="Verdana" w:eastAsia="Verdana" w:cs="Verdana"/>
          <w:noProof w:val="0"/>
          <w:sz w:val="18"/>
          <w:szCs w:val="18"/>
          <w:lang w:val="en-US"/>
        </w:rPr>
        <w:t>The development of an AI-Powered Care Coordination Agent requires a multidisciplinary foundation. This section outlines the clinical frameworks, interoperability standards, and emerging AI protocols that inform the system’s architecture.</w:t>
      </w:r>
    </w:p>
    <w:p w:rsidR="2C3C5A6C" w:rsidP="4D694C64" w:rsidRDefault="2C3C5A6C" w14:paraId="4BA80BCB" w14:textId="0A961066">
      <w:pPr>
        <w:pStyle w:val="Normal"/>
        <w:suppressLineNumbers w:val="0"/>
        <w:bidi w:val="0"/>
        <w:spacing w:before="0" w:beforeAutospacing="off" w:after="240" w:afterAutospacing="off" w:line="240" w:lineRule="auto"/>
        <w:ind w:left="0" w:right="0"/>
        <w:jc w:val="both"/>
        <w:rPr>
          <w:rFonts w:ascii="Verdana" w:hAnsi="Verdana" w:eastAsia="Verdana" w:cs="Verdana"/>
          <w:b w:val="1"/>
          <w:bCs w:val="1"/>
          <w:noProof w:val="0"/>
          <w:sz w:val="18"/>
          <w:szCs w:val="18"/>
          <w:lang w:val="en-US"/>
        </w:rPr>
      </w:pPr>
      <w:r w:rsidRPr="4D694C64" w:rsidR="7C23272A">
        <w:rPr>
          <w:rFonts w:ascii="Verdana" w:hAnsi="Verdana" w:eastAsia="Verdana" w:cs="Verdana"/>
          <w:b w:val="1"/>
          <w:bCs w:val="1"/>
          <w:noProof w:val="0"/>
          <w:sz w:val="18"/>
          <w:szCs w:val="18"/>
          <w:lang w:val="en-US"/>
        </w:rPr>
        <w:t>2.1 The Chronic Care Model (CCM)</w:t>
      </w:r>
    </w:p>
    <w:p w:rsidR="2C3C5A6C" w:rsidP="4D694C64" w:rsidRDefault="2C3C5A6C" w14:paraId="0587862F" w14:textId="688DA8B1">
      <w:pPr>
        <w:pStyle w:val="Normal"/>
        <w:suppressLineNumbers w:val="0"/>
        <w:bidi w:val="0"/>
        <w:spacing w:before="0" w:beforeAutospacing="off" w:after="240" w:afterAutospacing="off" w:line="240" w:lineRule="auto"/>
        <w:ind w:left="0" w:right="0"/>
        <w:jc w:val="both"/>
        <w:rPr>
          <w:rFonts w:ascii="Verdana" w:hAnsi="Verdana" w:eastAsia="Verdana" w:cs="Verdana"/>
          <w:noProof w:val="0"/>
          <w:sz w:val="18"/>
          <w:szCs w:val="18"/>
          <w:lang w:val="en-US"/>
        </w:rPr>
      </w:pPr>
      <w:r w:rsidRPr="4D694C64" w:rsidR="7C23272A">
        <w:rPr>
          <w:rFonts w:ascii="Verdana" w:hAnsi="Verdana" w:eastAsia="Verdana" w:cs="Verdana"/>
          <w:noProof w:val="0"/>
          <w:sz w:val="18"/>
          <w:szCs w:val="18"/>
          <w:lang w:val="en-US"/>
        </w:rPr>
        <w:t xml:space="preserve">The clinical foundation for this project is the </w:t>
      </w:r>
      <w:r w:rsidRPr="4D694C64" w:rsidR="7C23272A">
        <w:rPr>
          <w:rFonts w:ascii="Verdana" w:hAnsi="Verdana" w:eastAsia="Verdana" w:cs="Verdana"/>
          <w:noProof w:val="0"/>
          <w:sz w:val="18"/>
          <w:szCs w:val="18"/>
          <w:lang w:val="en-US"/>
        </w:rPr>
        <w:t>Chronic Care Model (CCM)</w:t>
      </w:r>
      <w:r w:rsidRPr="4D694C64" w:rsidR="7C23272A">
        <w:rPr>
          <w:rFonts w:ascii="Verdana" w:hAnsi="Verdana" w:eastAsia="Verdana" w:cs="Verdana"/>
          <w:noProof w:val="0"/>
          <w:sz w:val="18"/>
          <w:szCs w:val="18"/>
          <w:lang w:val="en-US"/>
        </w:rPr>
        <w:t xml:space="preserve">, developed by Wagner et al. in the late 1990s. The CCM was designed to shift healthcare from a reactive, episodic "sick care" model to a proactive, patient-centered "health assurance" model. The model identifies six interrelated components essential for high-quality care: self-management support, delivery system design, decision support, clinical information systems, healthcare organization, and community resources. This project specifically automates two of these pillars: </w:t>
      </w:r>
      <w:r w:rsidRPr="4D694C64" w:rsidR="7C23272A">
        <w:rPr>
          <w:rFonts w:ascii="Verdana" w:hAnsi="Verdana" w:eastAsia="Verdana" w:cs="Verdana"/>
          <w:noProof w:val="0"/>
          <w:sz w:val="18"/>
          <w:szCs w:val="18"/>
          <w:lang w:val="en-US"/>
        </w:rPr>
        <w:t>Clinical Information Systems</w:t>
      </w:r>
      <w:r w:rsidRPr="4D694C64" w:rsidR="7C23272A">
        <w:rPr>
          <w:rFonts w:ascii="Verdana" w:hAnsi="Verdana" w:eastAsia="Verdana" w:cs="Verdana"/>
          <w:noProof w:val="0"/>
          <w:sz w:val="18"/>
          <w:szCs w:val="18"/>
          <w:lang w:val="en-US"/>
        </w:rPr>
        <w:t xml:space="preserve">, by organizing population data for proactive care, and </w:t>
      </w:r>
      <w:r w:rsidRPr="4D694C64" w:rsidR="7C23272A">
        <w:rPr>
          <w:rFonts w:ascii="Verdana" w:hAnsi="Verdana" w:eastAsia="Verdana" w:cs="Verdana"/>
          <w:noProof w:val="0"/>
          <w:sz w:val="18"/>
          <w:szCs w:val="18"/>
          <w:lang w:val="en-US"/>
        </w:rPr>
        <w:t>Decision Support</w:t>
      </w:r>
      <w:r w:rsidRPr="4D694C64" w:rsidR="7C23272A">
        <w:rPr>
          <w:rFonts w:ascii="Verdana" w:hAnsi="Verdana" w:eastAsia="Verdana" w:cs="Verdana"/>
          <w:noProof w:val="0"/>
          <w:sz w:val="18"/>
          <w:szCs w:val="18"/>
          <w:lang w:val="en-US"/>
        </w:rPr>
        <w:t>, by embedding evidence-based guidelines into the clinician’s digital workflow.</w:t>
      </w:r>
    </w:p>
    <w:p w:rsidR="2C3C5A6C" w:rsidP="4D694C64" w:rsidRDefault="2C3C5A6C" w14:paraId="2F9590C8" w14:textId="2A7A2954">
      <w:pPr>
        <w:pStyle w:val="Normal"/>
        <w:suppressLineNumbers w:val="0"/>
        <w:bidi w:val="0"/>
        <w:spacing w:before="0" w:beforeAutospacing="off" w:after="240" w:afterAutospacing="off" w:line="240" w:lineRule="auto"/>
        <w:ind w:left="0" w:right="0"/>
        <w:jc w:val="both"/>
        <w:rPr>
          <w:rFonts w:ascii="Verdana" w:hAnsi="Verdana" w:eastAsia="Verdana" w:cs="Verdana"/>
          <w:b w:val="1"/>
          <w:bCs w:val="1"/>
          <w:noProof w:val="0"/>
          <w:sz w:val="18"/>
          <w:szCs w:val="18"/>
          <w:lang w:val="en-US"/>
        </w:rPr>
      </w:pPr>
      <w:r w:rsidRPr="4D694C64" w:rsidR="7C23272A">
        <w:rPr>
          <w:rFonts w:ascii="Verdana" w:hAnsi="Verdana" w:eastAsia="Verdana" w:cs="Verdana"/>
          <w:b w:val="1"/>
          <w:bCs w:val="1"/>
          <w:noProof w:val="0"/>
          <w:sz w:val="18"/>
          <w:szCs w:val="18"/>
          <w:lang w:val="en-US"/>
        </w:rPr>
        <w:t>2.2 Evolution of Healthcare Interoperability: From HL7 v2 to FHIR</w:t>
      </w:r>
    </w:p>
    <w:p w:rsidR="2C3C5A6C" w:rsidP="4D694C64" w:rsidRDefault="2C3C5A6C" w14:paraId="6FDCECF5" w14:textId="17F45D05">
      <w:pPr>
        <w:pStyle w:val="Normal"/>
        <w:suppressLineNumbers w:val="0"/>
        <w:bidi w:val="0"/>
        <w:spacing w:before="0" w:beforeAutospacing="off" w:after="240" w:afterAutospacing="off" w:line="240" w:lineRule="auto"/>
        <w:ind w:left="0" w:right="0"/>
        <w:jc w:val="both"/>
        <w:rPr>
          <w:rFonts w:ascii="Verdana" w:hAnsi="Verdana" w:eastAsia="Verdana" w:cs="Verdana"/>
          <w:noProof w:val="0"/>
          <w:sz w:val="18"/>
          <w:szCs w:val="18"/>
          <w:lang w:val="en-US"/>
        </w:rPr>
      </w:pPr>
      <w:r w:rsidRPr="4D694C64" w:rsidR="7C23272A">
        <w:rPr>
          <w:rFonts w:ascii="Verdana" w:hAnsi="Verdana" w:eastAsia="Verdana" w:cs="Verdana"/>
          <w:noProof w:val="0"/>
          <w:sz w:val="18"/>
          <w:szCs w:val="18"/>
          <w:lang w:val="en-US"/>
        </w:rPr>
        <w:t>To coordinate care, systems must achieve interoperability</w:t>
      </w:r>
      <w:r w:rsidRPr="4D694C64" w:rsidR="04E0D4AB">
        <w:rPr>
          <w:rFonts w:ascii="Verdana" w:hAnsi="Verdana" w:eastAsia="Verdana" w:cs="Verdana"/>
          <w:noProof w:val="0"/>
          <w:sz w:val="18"/>
          <w:szCs w:val="18"/>
          <w:lang w:val="en-US"/>
        </w:rPr>
        <w:t xml:space="preserve">, </w:t>
      </w:r>
      <w:r w:rsidRPr="4D694C64" w:rsidR="7C23272A">
        <w:rPr>
          <w:rFonts w:ascii="Verdana" w:hAnsi="Verdana" w:eastAsia="Verdana" w:cs="Verdana"/>
          <w:noProof w:val="0"/>
          <w:sz w:val="18"/>
          <w:szCs w:val="18"/>
          <w:lang w:val="en-US"/>
        </w:rPr>
        <w:t xml:space="preserve">the ability of different information systems to access, exchange, and use data in a coordinated manner. Historically, the industry relied on HL7 Version 2 (v2), a 1980s-era messaging standard that, while ubiquitous, </w:t>
      </w:r>
      <w:r w:rsidRPr="4D694C64" w:rsidR="7C23272A">
        <w:rPr>
          <w:rFonts w:ascii="Verdana" w:hAnsi="Verdana" w:eastAsia="Verdana" w:cs="Verdana"/>
          <w:noProof w:val="0"/>
          <w:sz w:val="18"/>
          <w:szCs w:val="18"/>
          <w:lang w:val="en-US"/>
        </w:rPr>
        <w:t>required</w:t>
      </w:r>
      <w:r w:rsidRPr="4D694C64" w:rsidR="7C23272A">
        <w:rPr>
          <w:rFonts w:ascii="Verdana" w:hAnsi="Verdana" w:eastAsia="Verdana" w:cs="Verdana"/>
          <w:noProof w:val="0"/>
          <w:sz w:val="18"/>
          <w:szCs w:val="18"/>
          <w:lang w:val="en-US"/>
        </w:rPr>
        <w:t xml:space="preserve"> highly customized, bespoke interfaces for every installation.</w:t>
      </w:r>
    </w:p>
    <w:p w:rsidR="2C3C5A6C" w:rsidP="4D694C64" w:rsidRDefault="2C3C5A6C" w14:paraId="5A3565C6" w14:textId="61994B57">
      <w:pPr>
        <w:pStyle w:val="Normal"/>
        <w:suppressLineNumbers w:val="0"/>
        <w:bidi w:val="0"/>
        <w:spacing w:before="0" w:beforeAutospacing="off" w:after="240" w:afterAutospacing="off" w:line="240" w:lineRule="auto"/>
        <w:ind w:left="0" w:right="0"/>
        <w:jc w:val="both"/>
        <w:rPr>
          <w:rFonts w:ascii="Verdana" w:hAnsi="Verdana" w:eastAsia="Verdana" w:cs="Verdana"/>
          <w:noProof w:val="0"/>
          <w:sz w:val="18"/>
          <w:szCs w:val="18"/>
          <w:lang w:val="en-US"/>
        </w:rPr>
      </w:pPr>
      <w:r w:rsidRPr="4D694C64" w:rsidR="7C23272A">
        <w:rPr>
          <w:rFonts w:ascii="Verdana" w:hAnsi="Verdana" w:eastAsia="Verdana" w:cs="Verdana"/>
          <w:noProof w:val="0"/>
          <w:sz w:val="18"/>
          <w:szCs w:val="18"/>
          <w:lang w:val="en-US"/>
        </w:rPr>
        <w:t xml:space="preserve">The emergence of Fast Healthcare Interoperability Resources (FHIR) in 2014 marked </w:t>
      </w:r>
      <w:r w:rsidRPr="4D694C64" w:rsidR="7C23272A">
        <w:rPr>
          <w:rFonts w:ascii="Verdana" w:hAnsi="Verdana" w:eastAsia="Verdana" w:cs="Verdana"/>
          <w:noProof w:val="0"/>
          <w:sz w:val="18"/>
          <w:szCs w:val="18"/>
          <w:lang w:val="en-US"/>
        </w:rPr>
        <w:t>a paradigm shift</w:t>
      </w:r>
      <w:r w:rsidRPr="4D694C64" w:rsidR="7C23272A">
        <w:rPr>
          <w:rFonts w:ascii="Verdana" w:hAnsi="Verdana" w:eastAsia="Verdana" w:cs="Verdana"/>
          <w:noProof w:val="0"/>
          <w:sz w:val="18"/>
          <w:szCs w:val="18"/>
          <w:lang w:val="en-US"/>
        </w:rPr>
        <w:t xml:space="preserve">. Unlike legacy standards, FHIR is built on modern web technologies (REST, JSON, and OAuth2) and decomposes the </w:t>
      </w:r>
      <w:r w:rsidRPr="4D694C64" w:rsidR="7C23272A">
        <w:rPr>
          <w:rFonts w:ascii="Verdana" w:hAnsi="Verdana" w:eastAsia="Verdana" w:cs="Verdana"/>
          <w:noProof w:val="0"/>
          <w:sz w:val="18"/>
          <w:szCs w:val="18"/>
          <w:lang w:val="en-US"/>
        </w:rPr>
        <w:t>patient</w:t>
      </w:r>
      <w:r w:rsidRPr="4D694C64" w:rsidR="7C23272A">
        <w:rPr>
          <w:rFonts w:ascii="Verdana" w:hAnsi="Verdana" w:eastAsia="Verdana" w:cs="Verdana"/>
          <w:noProof w:val="0"/>
          <w:sz w:val="18"/>
          <w:szCs w:val="18"/>
          <w:lang w:val="en-US"/>
        </w:rPr>
        <w:t xml:space="preserve"> record into modular "Resources" (e.g., Patient, Medication, Observation). While FHIR addresses Structural Interoperability (the format of the data), true care coordination requires Semantic Interoperability</w:t>
      </w:r>
      <w:r w:rsidRPr="4D694C64" w:rsidR="07C597BF">
        <w:rPr>
          <w:rFonts w:ascii="Verdana" w:hAnsi="Verdana" w:eastAsia="Verdana" w:cs="Verdana"/>
          <w:noProof w:val="0"/>
          <w:sz w:val="18"/>
          <w:szCs w:val="18"/>
          <w:lang w:val="en-US"/>
        </w:rPr>
        <w:t xml:space="preserve">, </w:t>
      </w:r>
      <w:r w:rsidRPr="4D694C64" w:rsidR="7C23272A">
        <w:rPr>
          <w:rFonts w:ascii="Verdana" w:hAnsi="Verdana" w:eastAsia="Verdana" w:cs="Verdana"/>
          <w:noProof w:val="0"/>
          <w:sz w:val="18"/>
          <w:szCs w:val="18"/>
          <w:lang w:val="en-US"/>
        </w:rPr>
        <w:t>ensuring that the receiving system understands the meaning of the information. This project utilizes FHIR alongside standardized vocabularies like SNOMED CT and LOINC to ensure the agent can reason across heterogeneous data sources.</w:t>
      </w:r>
    </w:p>
    <w:p w:rsidR="2C3C5A6C" w:rsidP="4D694C64" w:rsidRDefault="2C3C5A6C" w14:paraId="67EED344" w14:textId="23DAF45C">
      <w:pPr>
        <w:pStyle w:val="Normal"/>
        <w:suppressLineNumbers w:val="0"/>
        <w:bidi w:val="0"/>
        <w:spacing w:before="0" w:beforeAutospacing="off" w:after="240" w:afterAutospacing="off" w:line="240" w:lineRule="auto"/>
        <w:ind w:left="0" w:right="0"/>
        <w:jc w:val="both"/>
        <w:rPr>
          <w:rFonts w:ascii="Verdana" w:hAnsi="Verdana" w:eastAsia="Verdana" w:cs="Verdana"/>
          <w:b w:val="1"/>
          <w:bCs w:val="1"/>
          <w:noProof w:val="0"/>
          <w:sz w:val="18"/>
          <w:szCs w:val="18"/>
          <w:lang w:val="en-US"/>
        </w:rPr>
      </w:pPr>
      <w:r w:rsidRPr="4D694C64" w:rsidR="7C23272A">
        <w:rPr>
          <w:rFonts w:ascii="Verdana" w:hAnsi="Verdana" w:eastAsia="Verdana" w:cs="Verdana"/>
          <w:b w:val="1"/>
          <w:bCs w:val="1"/>
          <w:noProof w:val="0"/>
          <w:sz w:val="18"/>
          <w:szCs w:val="18"/>
          <w:lang w:val="en-US"/>
        </w:rPr>
        <w:t>2.3 Semantic Web Technologies and Digital Twins</w:t>
      </w:r>
    </w:p>
    <w:p w:rsidR="2C3C5A6C" w:rsidP="4D694C64" w:rsidRDefault="2C3C5A6C" w14:paraId="66990EFB" w14:textId="0F4048D5">
      <w:pPr>
        <w:pStyle w:val="Normal"/>
        <w:suppressLineNumbers w:val="0"/>
        <w:bidi w:val="0"/>
        <w:spacing w:before="0" w:beforeAutospacing="off" w:after="240" w:afterAutospacing="off" w:line="240" w:lineRule="auto"/>
        <w:ind w:left="0" w:right="0"/>
        <w:jc w:val="both"/>
        <w:rPr>
          <w:rFonts w:ascii="Verdana" w:hAnsi="Verdana" w:eastAsia="Verdana" w:cs="Verdana"/>
          <w:noProof w:val="0"/>
          <w:sz w:val="18"/>
          <w:szCs w:val="18"/>
          <w:lang w:val="en-US"/>
        </w:rPr>
      </w:pPr>
      <w:r w:rsidRPr="4D694C64" w:rsidR="7C23272A">
        <w:rPr>
          <w:rFonts w:ascii="Verdana" w:hAnsi="Verdana" w:eastAsia="Verdana" w:cs="Verdana"/>
          <w:noProof w:val="0"/>
          <w:sz w:val="18"/>
          <w:szCs w:val="18"/>
          <w:lang w:val="en-US"/>
        </w:rPr>
        <w:t xml:space="preserve">Semantic Web technologies provide the "machine-understandable" framework necessary for AI reasoning. By using the </w:t>
      </w:r>
      <w:r w:rsidRPr="4D694C64" w:rsidR="7C23272A">
        <w:rPr>
          <w:rFonts w:ascii="Verdana" w:hAnsi="Verdana" w:eastAsia="Verdana" w:cs="Verdana"/>
          <w:noProof w:val="0"/>
          <w:sz w:val="18"/>
          <w:szCs w:val="18"/>
          <w:lang w:val="en-US"/>
        </w:rPr>
        <w:t>Resource Description Framework (RDF)</w:t>
      </w:r>
      <w:r w:rsidRPr="4D694C64" w:rsidR="7C23272A">
        <w:rPr>
          <w:rFonts w:ascii="Verdana" w:hAnsi="Verdana" w:eastAsia="Verdana" w:cs="Verdana"/>
          <w:noProof w:val="0"/>
          <w:sz w:val="18"/>
          <w:szCs w:val="18"/>
          <w:lang w:val="en-US"/>
        </w:rPr>
        <w:t xml:space="preserve"> and </w:t>
      </w:r>
      <w:r w:rsidRPr="4D694C64" w:rsidR="7C23272A">
        <w:rPr>
          <w:rFonts w:ascii="Verdana" w:hAnsi="Verdana" w:eastAsia="Verdana" w:cs="Verdana"/>
          <w:noProof w:val="0"/>
          <w:sz w:val="18"/>
          <w:szCs w:val="18"/>
          <w:lang w:val="en-US"/>
        </w:rPr>
        <w:t>Web Ontology Language (OWL)</w:t>
      </w:r>
      <w:r w:rsidRPr="4D694C64" w:rsidR="7C23272A">
        <w:rPr>
          <w:rFonts w:ascii="Verdana" w:hAnsi="Verdana" w:eastAsia="Verdana" w:cs="Verdana"/>
          <w:noProof w:val="0"/>
          <w:sz w:val="18"/>
          <w:szCs w:val="18"/>
          <w:lang w:val="en-US"/>
        </w:rPr>
        <w:t>, medical concepts are represented in "triples" (subject-predicate-object) that allow machines to infer new knowledge.</w:t>
      </w:r>
    </w:p>
    <w:p w:rsidR="2C3C5A6C" w:rsidP="4D694C64" w:rsidRDefault="2C3C5A6C" w14:paraId="19F6B536" w14:textId="6D32563F">
      <w:pPr>
        <w:pStyle w:val="Normal"/>
        <w:suppressLineNumbers w:val="0"/>
        <w:bidi w:val="0"/>
        <w:spacing w:before="0" w:beforeAutospacing="off" w:after="240" w:afterAutospacing="off" w:line="240" w:lineRule="auto"/>
        <w:ind w:left="0" w:right="0"/>
        <w:jc w:val="both"/>
        <w:rPr>
          <w:rFonts w:ascii="Verdana" w:hAnsi="Verdana" w:eastAsia="Verdana" w:cs="Verdana"/>
          <w:noProof w:val="0"/>
          <w:sz w:val="18"/>
          <w:szCs w:val="18"/>
          <w:lang w:val="en-US"/>
        </w:rPr>
      </w:pPr>
      <w:r w:rsidRPr="4D694C64" w:rsidR="7C23272A">
        <w:rPr>
          <w:rFonts w:ascii="Verdana" w:hAnsi="Verdana" w:eastAsia="Verdana" w:cs="Verdana"/>
          <w:noProof w:val="0"/>
          <w:sz w:val="18"/>
          <w:szCs w:val="18"/>
          <w:lang w:val="en-US"/>
        </w:rPr>
        <w:t>This project adopts the Patient Medical Digital Twin (PMDT) framework, an ontology</w:t>
      </w:r>
      <w:r w:rsidRPr="4D694C64" w:rsidR="7C23272A">
        <w:rPr>
          <w:rFonts w:ascii="Verdana" w:hAnsi="Verdana" w:eastAsia="Verdana" w:cs="Verdana"/>
          <w:noProof w:val="0"/>
          <w:sz w:val="18"/>
          <w:szCs w:val="18"/>
          <w:lang w:val="en-US"/>
        </w:rPr>
        <w:t>-</w:t>
      </w:r>
      <w:r w:rsidRPr="4D694C64" w:rsidR="7C23272A">
        <w:rPr>
          <w:rFonts w:ascii="Verdana" w:hAnsi="Verdana" w:eastAsia="Verdana" w:cs="Verdana"/>
          <w:noProof w:val="0"/>
          <w:sz w:val="18"/>
          <w:szCs w:val="18"/>
          <w:lang w:val="en-US"/>
        </w:rPr>
        <w:t>driven in silico representation of the patient. Built on the Basic Formal Ontology (BFO), the PMDT integrates multimodal data</w:t>
      </w:r>
      <w:r w:rsidRPr="4D694C64" w:rsidR="69502599">
        <w:rPr>
          <w:rFonts w:ascii="Verdana" w:hAnsi="Verdana" w:eastAsia="Verdana" w:cs="Verdana"/>
          <w:noProof w:val="0"/>
          <w:sz w:val="18"/>
          <w:szCs w:val="18"/>
          <w:lang w:val="en-US"/>
        </w:rPr>
        <w:t xml:space="preserve">, </w:t>
      </w:r>
      <w:r w:rsidRPr="4D694C64" w:rsidR="7C23272A">
        <w:rPr>
          <w:rFonts w:ascii="Verdana" w:hAnsi="Verdana" w:eastAsia="Verdana" w:cs="Verdana"/>
          <w:noProof w:val="0"/>
          <w:sz w:val="18"/>
          <w:szCs w:val="18"/>
          <w:lang w:val="en-US"/>
        </w:rPr>
        <w:t>including physiological, psychosocial, and genomic information</w:t>
      </w:r>
      <w:r w:rsidRPr="4D694C64" w:rsidR="1CC361FF">
        <w:rPr>
          <w:rFonts w:ascii="Verdana" w:hAnsi="Verdana" w:eastAsia="Verdana" w:cs="Verdana"/>
          <w:noProof w:val="0"/>
          <w:sz w:val="18"/>
          <w:szCs w:val="18"/>
          <w:lang w:val="en-US"/>
        </w:rPr>
        <w:t xml:space="preserve">, </w:t>
      </w:r>
      <w:r w:rsidRPr="4D694C64" w:rsidR="7C23272A">
        <w:rPr>
          <w:rFonts w:ascii="Verdana" w:hAnsi="Verdana" w:eastAsia="Verdana" w:cs="Verdana"/>
          <w:noProof w:val="0"/>
          <w:sz w:val="18"/>
          <w:szCs w:val="18"/>
          <w:lang w:val="en-US"/>
        </w:rPr>
        <w:t>into a coherent, extensible model. This allows the agent to run simulations and predict potential health crises, such as fluid overload or medication interactions, before they manifest clinically.</w:t>
      </w:r>
    </w:p>
    <w:p w:rsidR="2C3C5A6C" w:rsidP="4D694C64" w:rsidRDefault="2C3C5A6C" w14:paraId="48F35FC1" w14:textId="64FBEAE4">
      <w:pPr>
        <w:pStyle w:val="Normal"/>
        <w:suppressLineNumbers w:val="0"/>
        <w:bidi w:val="0"/>
        <w:spacing w:before="0" w:beforeAutospacing="off" w:after="240" w:afterAutospacing="off" w:line="240" w:lineRule="auto"/>
        <w:ind w:left="0" w:right="0"/>
        <w:jc w:val="both"/>
        <w:rPr>
          <w:rFonts w:ascii="Verdana" w:hAnsi="Verdana" w:eastAsia="Verdana" w:cs="Verdana"/>
          <w:b w:val="1"/>
          <w:bCs w:val="1"/>
          <w:noProof w:val="0"/>
          <w:sz w:val="18"/>
          <w:szCs w:val="18"/>
          <w:lang w:val="en-US"/>
        </w:rPr>
      </w:pPr>
      <w:r w:rsidRPr="4D694C64" w:rsidR="7C23272A">
        <w:rPr>
          <w:rFonts w:ascii="Verdana" w:hAnsi="Verdana" w:eastAsia="Verdana" w:cs="Verdana"/>
          <w:b w:val="1"/>
          <w:bCs w:val="1"/>
          <w:noProof w:val="0"/>
          <w:sz w:val="18"/>
          <w:szCs w:val="18"/>
          <w:lang w:val="en-US"/>
        </w:rPr>
        <w:t>2.4 Agentic AI vs. Traditional Automation</w:t>
      </w:r>
    </w:p>
    <w:p w:rsidR="2C3C5A6C" w:rsidP="4D694C64" w:rsidRDefault="2C3C5A6C" w14:paraId="201C0B4A" w14:textId="27ADD640">
      <w:pPr>
        <w:pStyle w:val="Normal"/>
        <w:suppressLineNumbers w:val="0"/>
        <w:bidi w:val="0"/>
        <w:spacing w:before="0" w:beforeAutospacing="off" w:after="240" w:afterAutospacing="off" w:line="240" w:lineRule="auto"/>
        <w:ind w:left="0" w:right="0"/>
        <w:jc w:val="both"/>
        <w:rPr>
          <w:rFonts w:ascii="Verdana" w:hAnsi="Verdana" w:eastAsia="Verdana" w:cs="Verdana"/>
          <w:noProof w:val="0"/>
          <w:sz w:val="18"/>
          <w:szCs w:val="18"/>
          <w:lang w:val="en-US"/>
        </w:rPr>
      </w:pPr>
      <w:r w:rsidRPr="4D694C64" w:rsidR="7C23272A">
        <w:rPr>
          <w:rFonts w:ascii="Verdana" w:hAnsi="Verdana" w:eastAsia="Verdana" w:cs="Verdana"/>
          <w:noProof w:val="0"/>
          <w:sz w:val="18"/>
          <w:szCs w:val="18"/>
          <w:lang w:val="en-US"/>
        </w:rPr>
        <w:t>A core software engineering distinction in this project is the shift from traditional automation to Agentic AI. Traditional Robotic Process Automation (RPA) is deterministic and rule</w:t>
      </w:r>
      <w:r w:rsidRPr="4D694C64" w:rsidR="7C23272A">
        <w:rPr>
          <w:rFonts w:ascii="Verdana" w:hAnsi="Verdana" w:eastAsia="Verdana" w:cs="Verdana"/>
          <w:noProof w:val="0"/>
          <w:sz w:val="18"/>
          <w:szCs w:val="18"/>
          <w:lang w:val="en-US"/>
        </w:rPr>
        <w:t>-</w:t>
      </w:r>
      <w:r w:rsidRPr="4D694C64" w:rsidR="7C23272A">
        <w:rPr>
          <w:rFonts w:ascii="Verdana" w:hAnsi="Verdana" w:eastAsia="Verdana" w:cs="Verdana"/>
          <w:noProof w:val="0"/>
          <w:sz w:val="18"/>
          <w:szCs w:val="18"/>
          <w:lang w:val="en-US"/>
        </w:rPr>
        <w:t xml:space="preserve">based; it follows a fixed script and fails when </w:t>
      </w:r>
      <w:r w:rsidRPr="4D694C64" w:rsidR="7C23272A">
        <w:rPr>
          <w:rFonts w:ascii="Verdana" w:hAnsi="Verdana" w:eastAsia="Verdana" w:cs="Verdana"/>
          <w:noProof w:val="0"/>
          <w:sz w:val="18"/>
          <w:szCs w:val="18"/>
          <w:lang w:val="en-US"/>
        </w:rPr>
        <w:t>encountering</w:t>
      </w:r>
      <w:r w:rsidRPr="4D694C64" w:rsidR="7C23272A">
        <w:rPr>
          <w:rFonts w:ascii="Verdana" w:hAnsi="Verdana" w:eastAsia="Verdana" w:cs="Verdana"/>
          <w:noProof w:val="0"/>
          <w:sz w:val="18"/>
          <w:szCs w:val="18"/>
          <w:lang w:val="en-US"/>
        </w:rPr>
        <w:t xml:space="preserve"> unpredictable clinical data. In contrast, Agentic AI is goal</w:t>
      </w:r>
      <w:r w:rsidRPr="4D694C64" w:rsidR="7C23272A">
        <w:rPr>
          <w:rFonts w:ascii="Verdana" w:hAnsi="Verdana" w:eastAsia="Verdana" w:cs="Verdana"/>
          <w:noProof w:val="0"/>
          <w:sz w:val="18"/>
          <w:szCs w:val="18"/>
          <w:lang w:val="en-US"/>
        </w:rPr>
        <w:t>-</w:t>
      </w:r>
      <w:r w:rsidRPr="4D694C64" w:rsidR="7C23272A">
        <w:rPr>
          <w:rFonts w:ascii="Verdana" w:hAnsi="Verdana" w:eastAsia="Verdana" w:cs="Verdana"/>
          <w:noProof w:val="0"/>
          <w:sz w:val="18"/>
          <w:szCs w:val="18"/>
          <w:lang w:val="en-US"/>
        </w:rPr>
        <w:t>oriented and autonomous. An agentic system perceives its environment, plans a multi</w:t>
      </w:r>
      <w:r w:rsidRPr="4D694C64" w:rsidR="7C23272A">
        <w:rPr>
          <w:rFonts w:ascii="Verdana" w:hAnsi="Verdana" w:eastAsia="Verdana" w:cs="Verdana"/>
          <w:noProof w:val="0"/>
          <w:sz w:val="18"/>
          <w:szCs w:val="18"/>
          <w:lang w:val="en-US"/>
        </w:rPr>
        <w:t>-</w:t>
      </w:r>
      <w:r w:rsidRPr="4D694C64" w:rsidR="7C23272A">
        <w:rPr>
          <w:rFonts w:ascii="Verdana" w:hAnsi="Verdana" w:eastAsia="Verdana" w:cs="Verdana"/>
          <w:noProof w:val="0"/>
          <w:sz w:val="18"/>
          <w:szCs w:val="18"/>
          <w:lang w:val="en-US"/>
        </w:rPr>
        <w:t>step sequence of tasks, and executes actions via APIs</w:t>
      </w:r>
      <w:r w:rsidRPr="4D694C64" w:rsidR="52CF6825">
        <w:rPr>
          <w:rFonts w:ascii="Verdana" w:hAnsi="Verdana" w:eastAsia="Verdana" w:cs="Verdana"/>
          <w:noProof w:val="0"/>
          <w:sz w:val="18"/>
          <w:szCs w:val="18"/>
          <w:lang w:val="en-US"/>
        </w:rPr>
        <w:t xml:space="preserve"> </w:t>
      </w:r>
      <w:r w:rsidRPr="4D694C64" w:rsidR="7C23272A">
        <w:rPr>
          <w:rFonts w:ascii="Verdana" w:hAnsi="Verdana" w:eastAsia="Verdana" w:cs="Verdana"/>
          <w:noProof w:val="0"/>
          <w:sz w:val="18"/>
          <w:szCs w:val="18"/>
          <w:lang w:val="en-US"/>
        </w:rPr>
        <w:t>such as drafting a treatment plan or checking antibiotic inventory</w:t>
      </w:r>
      <w:r w:rsidRPr="4D694C64" w:rsidR="3B152446">
        <w:rPr>
          <w:rFonts w:ascii="Verdana" w:hAnsi="Verdana" w:eastAsia="Verdana" w:cs="Verdana"/>
          <w:noProof w:val="0"/>
          <w:sz w:val="18"/>
          <w:szCs w:val="18"/>
          <w:lang w:val="en-US"/>
        </w:rPr>
        <w:t xml:space="preserve"> </w:t>
      </w:r>
      <w:r w:rsidRPr="4D694C64" w:rsidR="7C23272A">
        <w:rPr>
          <w:rFonts w:ascii="Verdana" w:hAnsi="Verdana" w:eastAsia="Verdana" w:cs="Verdana"/>
          <w:noProof w:val="0"/>
          <w:sz w:val="18"/>
          <w:szCs w:val="18"/>
          <w:lang w:val="en-US"/>
        </w:rPr>
        <w:t>without requiring human prompting for every micro</w:t>
      </w:r>
      <w:r w:rsidRPr="4D694C64" w:rsidR="7C23272A">
        <w:rPr>
          <w:rFonts w:ascii="Verdana" w:hAnsi="Verdana" w:eastAsia="Verdana" w:cs="Verdana"/>
          <w:noProof w:val="0"/>
          <w:sz w:val="18"/>
          <w:szCs w:val="18"/>
          <w:lang w:val="en-US"/>
        </w:rPr>
        <w:t>-</w:t>
      </w:r>
      <w:r w:rsidRPr="4D694C64" w:rsidR="7C23272A">
        <w:rPr>
          <w:rFonts w:ascii="Verdana" w:hAnsi="Verdana" w:eastAsia="Verdana" w:cs="Verdana"/>
          <w:noProof w:val="0"/>
          <w:sz w:val="18"/>
          <w:szCs w:val="18"/>
          <w:lang w:val="en-US"/>
        </w:rPr>
        <w:t>step. This architecture allows the clinician to move from a "human</w:t>
      </w:r>
      <w:r w:rsidRPr="4D694C64" w:rsidR="7C23272A">
        <w:rPr>
          <w:rFonts w:ascii="Verdana" w:hAnsi="Verdana" w:eastAsia="Verdana" w:cs="Verdana"/>
          <w:noProof w:val="0"/>
          <w:sz w:val="18"/>
          <w:szCs w:val="18"/>
          <w:lang w:val="en-US"/>
        </w:rPr>
        <w:t>-</w:t>
      </w:r>
      <w:r w:rsidRPr="4D694C64" w:rsidR="7C23272A">
        <w:rPr>
          <w:rFonts w:ascii="Verdana" w:hAnsi="Verdana" w:eastAsia="Verdana" w:cs="Verdana"/>
          <w:noProof w:val="0"/>
          <w:sz w:val="18"/>
          <w:szCs w:val="18"/>
          <w:lang w:val="en-US"/>
        </w:rPr>
        <w:t>in</w:t>
      </w:r>
      <w:r w:rsidRPr="4D694C64" w:rsidR="7C23272A">
        <w:rPr>
          <w:rFonts w:ascii="Verdana" w:hAnsi="Verdana" w:eastAsia="Verdana" w:cs="Verdana"/>
          <w:noProof w:val="0"/>
          <w:sz w:val="18"/>
          <w:szCs w:val="18"/>
          <w:lang w:val="en-US"/>
        </w:rPr>
        <w:t>-</w:t>
      </w:r>
      <w:r w:rsidRPr="4D694C64" w:rsidR="7C23272A">
        <w:rPr>
          <w:rFonts w:ascii="Verdana" w:hAnsi="Verdana" w:eastAsia="Verdana" w:cs="Verdana"/>
          <w:noProof w:val="0"/>
          <w:sz w:val="18"/>
          <w:szCs w:val="18"/>
          <w:lang w:val="en-US"/>
        </w:rPr>
        <w:t>the</w:t>
      </w:r>
      <w:r w:rsidRPr="4D694C64" w:rsidR="7C23272A">
        <w:rPr>
          <w:rFonts w:ascii="Verdana" w:hAnsi="Verdana" w:eastAsia="Verdana" w:cs="Verdana"/>
          <w:noProof w:val="0"/>
          <w:sz w:val="18"/>
          <w:szCs w:val="18"/>
          <w:lang w:val="en-US"/>
        </w:rPr>
        <w:t>-</w:t>
      </w:r>
      <w:r w:rsidRPr="4D694C64" w:rsidR="7C23272A">
        <w:rPr>
          <w:rFonts w:ascii="Verdana" w:hAnsi="Verdana" w:eastAsia="Verdana" w:cs="Verdana"/>
          <w:noProof w:val="0"/>
          <w:sz w:val="18"/>
          <w:szCs w:val="18"/>
          <w:lang w:val="en-US"/>
        </w:rPr>
        <w:t>loop" role (doing the data entry) to a "human</w:t>
      </w:r>
      <w:r w:rsidRPr="4D694C64" w:rsidR="7C23272A">
        <w:rPr>
          <w:rFonts w:ascii="Verdana" w:hAnsi="Verdana" w:eastAsia="Verdana" w:cs="Verdana"/>
          <w:noProof w:val="0"/>
          <w:sz w:val="18"/>
          <w:szCs w:val="18"/>
          <w:lang w:val="en-US"/>
        </w:rPr>
        <w:t>-</w:t>
      </w:r>
      <w:r w:rsidRPr="4D694C64" w:rsidR="7C23272A">
        <w:rPr>
          <w:rFonts w:ascii="Verdana" w:hAnsi="Verdana" w:eastAsia="Verdana" w:cs="Verdana"/>
          <w:noProof w:val="0"/>
          <w:sz w:val="18"/>
          <w:szCs w:val="18"/>
          <w:lang w:val="en-US"/>
        </w:rPr>
        <w:t>on</w:t>
      </w:r>
      <w:r w:rsidRPr="4D694C64" w:rsidR="7C23272A">
        <w:rPr>
          <w:rFonts w:ascii="Verdana" w:hAnsi="Verdana" w:eastAsia="Verdana" w:cs="Verdana"/>
          <w:noProof w:val="0"/>
          <w:sz w:val="18"/>
          <w:szCs w:val="18"/>
          <w:lang w:val="en-US"/>
        </w:rPr>
        <w:t>-</w:t>
      </w:r>
      <w:r w:rsidRPr="4D694C64" w:rsidR="7C23272A">
        <w:rPr>
          <w:rFonts w:ascii="Verdana" w:hAnsi="Verdana" w:eastAsia="Verdana" w:cs="Verdana"/>
          <w:noProof w:val="0"/>
          <w:sz w:val="18"/>
          <w:szCs w:val="18"/>
          <w:lang w:val="en-US"/>
        </w:rPr>
        <w:t>the</w:t>
      </w:r>
      <w:r w:rsidRPr="4D694C64" w:rsidR="7C23272A">
        <w:rPr>
          <w:rFonts w:ascii="Verdana" w:hAnsi="Verdana" w:eastAsia="Verdana" w:cs="Verdana"/>
          <w:noProof w:val="0"/>
          <w:sz w:val="18"/>
          <w:szCs w:val="18"/>
          <w:lang w:val="en-US"/>
        </w:rPr>
        <w:t>-</w:t>
      </w:r>
      <w:r w:rsidRPr="4D694C64" w:rsidR="7C23272A">
        <w:rPr>
          <w:rFonts w:ascii="Verdana" w:hAnsi="Verdana" w:eastAsia="Verdana" w:cs="Verdana"/>
          <w:noProof w:val="0"/>
          <w:sz w:val="18"/>
          <w:szCs w:val="18"/>
          <w:lang w:val="en-US"/>
        </w:rPr>
        <w:t>loop" role (overseeing strategic decisions).</w:t>
      </w:r>
    </w:p>
    <w:p w:rsidR="2C3C5A6C" w:rsidP="4D694C64" w:rsidRDefault="2C3C5A6C" w14:paraId="69DD6FF8" w14:textId="3E5773E4">
      <w:pPr>
        <w:pStyle w:val="Normal"/>
        <w:suppressLineNumbers w:val="0"/>
        <w:bidi w:val="0"/>
        <w:spacing w:before="0" w:beforeAutospacing="off" w:after="240" w:afterAutospacing="off" w:line="240" w:lineRule="auto"/>
        <w:ind w:left="0" w:right="0"/>
        <w:jc w:val="both"/>
        <w:rPr>
          <w:rFonts w:ascii="Verdana" w:hAnsi="Verdana" w:eastAsia="Verdana" w:cs="Verdana"/>
          <w:b w:val="1"/>
          <w:bCs w:val="1"/>
          <w:noProof w:val="0"/>
          <w:sz w:val="18"/>
          <w:szCs w:val="18"/>
          <w:lang w:val="en-US"/>
        </w:rPr>
      </w:pPr>
      <w:r w:rsidRPr="4D694C64" w:rsidR="7C23272A">
        <w:rPr>
          <w:rFonts w:ascii="Verdana" w:hAnsi="Verdana" w:eastAsia="Verdana" w:cs="Verdana"/>
          <w:b w:val="1"/>
          <w:bCs w:val="1"/>
          <w:noProof w:val="0"/>
          <w:sz w:val="18"/>
          <w:szCs w:val="18"/>
          <w:lang w:val="en-US"/>
        </w:rPr>
        <w:t>2.5 The Model Context Protocol (MCP-AI)</w:t>
      </w:r>
    </w:p>
    <w:p w:rsidR="2C3C5A6C" w:rsidP="4D694C64" w:rsidRDefault="2C3C5A6C" w14:paraId="22075F82" w14:textId="30D98A53">
      <w:pPr>
        <w:pStyle w:val="Normal"/>
        <w:suppressLineNumbers w:val="0"/>
        <w:bidi w:val="0"/>
        <w:spacing w:before="0" w:beforeAutospacing="off" w:after="240" w:afterAutospacing="off" w:line="240" w:lineRule="auto"/>
        <w:ind w:left="0" w:right="0"/>
        <w:jc w:val="both"/>
        <w:rPr>
          <w:rFonts w:ascii="Verdana" w:hAnsi="Verdana" w:eastAsia="Verdana" w:cs="Verdana"/>
          <w:noProof w:val="0"/>
          <w:sz w:val="18"/>
          <w:szCs w:val="18"/>
          <w:lang w:val="en-US"/>
        </w:rPr>
      </w:pPr>
      <w:r w:rsidRPr="4D694C64" w:rsidR="7C23272A">
        <w:rPr>
          <w:rFonts w:ascii="Verdana" w:hAnsi="Verdana" w:eastAsia="Verdana" w:cs="Verdana"/>
          <w:noProof w:val="0"/>
          <w:sz w:val="18"/>
          <w:szCs w:val="18"/>
          <w:lang w:val="en-US"/>
        </w:rPr>
        <w:t xml:space="preserve">The technical integration of these components is facilitated by the </w:t>
      </w:r>
      <w:r w:rsidRPr="4D694C64" w:rsidR="7C23272A">
        <w:rPr>
          <w:rFonts w:ascii="Verdana" w:hAnsi="Verdana" w:eastAsia="Verdana" w:cs="Verdana"/>
          <w:noProof w:val="0"/>
          <w:sz w:val="18"/>
          <w:szCs w:val="18"/>
          <w:lang w:val="en-US"/>
        </w:rPr>
        <w:t>Model Context Protocol (MCP-AI)</w:t>
      </w:r>
      <w:r w:rsidRPr="4D694C64" w:rsidR="7C23272A">
        <w:rPr>
          <w:rFonts w:ascii="Verdana" w:hAnsi="Verdana" w:eastAsia="Verdana" w:cs="Verdana"/>
          <w:noProof w:val="0"/>
          <w:sz w:val="18"/>
          <w:szCs w:val="18"/>
          <w:lang w:val="en-US"/>
        </w:rPr>
        <w:t>. MCP acts as the "USB-C for AI," providing a standardized, two-way connection between Large Language Models (LLMs) and external data sources like EHRs or OHDSI Athena. The protocol architecture consists of three components:</w:t>
      </w:r>
    </w:p>
    <w:p w:rsidR="2C3C5A6C" w:rsidP="4D694C64" w:rsidRDefault="2C3C5A6C" w14:paraId="4ED25E6C" w14:textId="0FC795CA">
      <w:pPr>
        <w:pStyle w:val="Normal"/>
        <w:suppressLineNumbers w:val="0"/>
        <w:bidi w:val="0"/>
        <w:spacing w:before="0" w:beforeAutospacing="off" w:after="240" w:afterAutospacing="off" w:line="240" w:lineRule="auto"/>
        <w:ind w:right="0"/>
        <w:jc w:val="both"/>
        <w:rPr>
          <w:rFonts w:ascii="Verdana" w:hAnsi="Verdana" w:eastAsia="Verdana" w:cs="Verdana"/>
          <w:noProof w:val="0"/>
          <w:sz w:val="18"/>
          <w:szCs w:val="18"/>
          <w:lang w:val="en-US"/>
        </w:rPr>
      </w:pPr>
      <w:r w:rsidRPr="4D694C64" w:rsidR="7C23272A">
        <w:rPr>
          <w:rFonts w:ascii="Verdana" w:hAnsi="Verdana" w:eastAsia="Verdana" w:cs="Verdana"/>
          <w:noProof w:val="0"/>
          <w:sz w:val="18"/>
          <w:szCs w:val="18"/>
          <w:lang w:val="en-US"/>
        </w:rPr>
        <w:t>MCP Host:</w:t>
      </w:r>
      <w:r w:rsidRPr="4D694C64" w:rsidR="7C23272A">
        <w:rPr>
          <w:rFonts w:ascii="Verdana" w:hAnsi="Verdana" w:eastAsia="Verdana" w:cs="Verdana"/>
          <w:noProof w:val="0"/>
          <w:sz w:val="18"/>
          <w:szCs w:val="18"/>
          <w:lang w:val="en-US"/>
        </w:rPr>
        <w:t xml:space="preserve"> The AI application (e.g., the clinician dashboard) that initiates requests.</w:t>
      </w:r>
    </w:p>
    <w:p w:rsidR="2C3C5A6C" w:rsidP="4D694C64" w:rsidRDefault="2C3C5A6C" w14:paraId="32C5451E" w14:textId="5FBAA169">
      <w:pPr>
        <w:pStyle w:val="Normal"/>
        <w:suppressLineNumbers w:val="0"/>
        <w:bidi w:val="0"/>
        <w:spacing w:before="0" w:beforeAutospacing="off" w:after="240" w:afterAutospacing="off" w:line="240" w:lineRule="auto"/>
        <w:ind w:right="0"/>
        <w:jc w:val="both"/>
        <w:rPr>
          <w:rFonts w:ascii="Verdana" w:hAnsi="Verdana" w:eastAsia="Verdana" w:cs="Verdana"/>
          <w:noProof w:val="0"/>
          <w:sz w:val="18"/>
          <w:szCs w:val="18"/>
          <w:lang w:val="en-US"/>
        </w:rPr>
      </w:pPr>
      <w:r w:rsidRPr="4D694C64" w:rsidR="7C23272A">
        <w:rPr>
          <w:rFonts w:ascii="Verdana" w:hAnsi="Verdana" w:eastAsia="Verdana" w:cs="Verdana"/>
          <w:noProof w:val="0"/>
          <w:sz w:val="18"/>
          <w:szCs w:val="18"/>
          <w:lang w:val="en-US"/>
        </w:rPr>
        <w:t>MCP Client:</w:t>
      </w:r>
      <w:r w:rsidRPr="4D694C64" w:rsidR="7C23272A">
        <w:rPr>
          <w:rFonts w:ascii="Verdana" w:hAnsi="Verdana" w:eastAsia="Verdana" w:cs="Verdana"/>
          <w:noProof w:val="0"/>
          <w:sz w:val="18"/>
          <w:szCs w:val="18"/>
          <w:lang w:val="en-US"/>
        </w:rPr>
        <w:t xml:space="preserve"> The internal interface that translates user queries into structured protocol messages.</w:t>
      </w:r>
    </w:p>
    <w:p w:rsidR="2C3C5A6C" w:rsidP="4D694C64" w:rsidRDefault="2C3C5A6C" w14:paraId="495810BA" w14:textId="4D6DB90D">
      <w:pPr>
        <w:pStyle w:val="Normal"/>
        <w:suppressLineNumbers w:val="0"/>
        <w:bidi w:val="0"/>
        <w:spacing w:before="0" w:beforeAutospacing="off" w:after="240" w:afterAutospacing="off" w:line="240" w:lineRule="auto"/>
        <w:ind w:right="0"/>
        <w:jc w:val="both"/>
        <w:rPr>
          <w:rFonts w:ascii="Verdana" w:hAnsi="Verdana" w:eastAsia="Verdana" w:cs="Verdana"/>
          <w:noProof w:val="0"/>
          <w:sz w:val="18"/>
          <w:szCs w:val="18"/>
          <w:lang w:val="en-US"/>
        </w:rPr>
      </w:pPr>
      <w:r w:rsidRPr="4D694C64" w:rsidR="7C23272A">
        <w:rPr>
          <w:rFonts w:ascii="Verdana" w:hAnsi="Verdana" w:eastAsia="Verdana" w:cs="Verdana"/>
          <w:noProof w:val="0"/>
          <w:sz w:val="18"/>
          <w:szCs w:val="18"/>
          <w:lang w:val="en-US"/>
        </w:rPr>
        <w:t>MCP Server:</w:t>
      </w:r>
      <w:r w:rsidRPr="4D694C64" w:rsidR="7C23272A">
        <w:rPr>
          <w:rFonts w:ascii="Verdana" w:hAnsi="Verdana" w:eastAsia="Verdana" w:cs="Verdana"/>
          <w:noProof w:val="0"/>
          <w:sz w:val="18"/>
          <w:szCs w:val="18"/>
          <w:lang w:val="en-US"/>
        </w:rPr>
        <w:t xml:space="preserve"> The service that provides the real-time clinical context, data retrieval, or tool-calling capabilities.</w:t>
      </w:r>
    </w:p>
    <w:p w:rsidR="2C3C5A6C" w:rsidP="4D694C64" w:rsidRDefault="2C3C5A6C" w14:paraId="10387D46" w14:textId="6856E0F7">
      <w:pPr>
        <w:pStyle w:val="Normal"/>
        <w:suppressLineNumbers w:val="0"/>
        <w:bidi w:val="0"/>
        <w:spacing w:before="0" w:beforeAutospacing="off" w:after="240" w:afterAutospacing="off" w:line="240" w:lineRule="auto"/>
        <w:ind w:left="0" w:right="0"/>
        <w:jc w:val="both"/>
        <w:rPr>
          <w:rFonts w:ascii="Verdana" w:hAnsi="Verdana" w:eastAsia="Verdana" w:cs="Verdana"/>
          <w:noProof w:val="0"/>
          <w:sz w:val="18"/>
          <w:szCs w:val="18"/>
          <w:lang w:val="en-US"/>
        </w:rPr>
      </w:pPr>
      <w:r w:rsidRPr="4D694C64" w:rsidR="7C23272A">
        <w:rPr>
          <w:rFonts w:ascii="Verdana" w:hAnsi="Verdana" w:eastAsia="Verdana" w:cs="Verdana"/>
          <w:noProof w:val="0"/>
          <w:sz w:val="18"/>
          <w:szCs w:val="18"/>
          <w:lang w:val="en-US"/>
        </w:rPr>
        <w:t>By utilizing MCP, the coordination agent avoids the "N x M" integration problem, where every new model would otherwise require a unique connection to every medical database, ensuring the system is safe, scalable, and explainable.</w:t>
      </w:r>
    </w:p>
    <w:p w:rsidR="2C3C5A6C" w:rsidP="4D694C64" w:rsidRDefault="2C3C5A6C" w14:paraId="4B5B27D9" w14:textId="1C1DF541">
      <w:pPr>
        <w:pStyle w:val="ListParagraph"/>
        <w:numPr>
          <w:ilvl w:val="0"/>
          <w:numId w:val="4"/>
        </w:numPr>
        <w:spacing w:beforeAutospacing="on" w:afterAutospacing="on"/>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4D694C64" w:rsidR="50ECF36F">
        <w:rPr>
          <w:rFonts w:ascii="Verdana" w:hAnsi="Verdana" w:eastAsia="Verdana" w:cs="Verdana"/>
          <w:b w:val="1"/>
          <w:bCs w:val="1"/>
          <w:i w:val="0"/>
          <w:iCs w:val="0"/>
          <w:caps w:val="0"/>
          <w:smallCaps w:val="0"/>
          <w:noProof w:val="0"/>
          <w:color w:val="000000" w:themeColor="text1" w:themeTint="FF" w:themeShade="FF"/>
          <w:sz w:val="18"/>
          <w:szCs w:val="18"/>
          <w:lang w:val="en-US"/>
        </w:rPr>
        <w:t>Related Work</w:t>
      </w:r>
    </w:p>
    <w:p w:rsidR="2C3C5A6C" w:rsidP="4D694C64" w:rsidRDefault="2C3C5A6C" w14:paraId="449F30C0" w14:textId="7D0C7A97">
      <w:pPr>
        <w:pStyle w:val="Normal"/>
        <w:spacing w:beforeAutospacing="on" w:afterAutospacing="on"/>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4D694C64" w:rsidR="50ECF36F">
        <w:rPr>
          <w:rFonts w:ascii="Verdana" w:hAnsi="Verdana" w:eastAsia="Verdana" w:cs="Verdana"/>
          <w:b w:val="1"/>
          <w:bCs w:val="1"/>
          <w:i w:val="0"/>
          <w:iCs w:val="0"/>
          <w:caps w:val="0"/>
          <w:smallCaps w:val="0"/>
          <w:noProof w:val="0"/>
          <w:color w:val="000000" w:themeColor="text1" w:themeTint="FF" w:themeShade="FF"/>
          <w:sz w:val="18"/>
          <w:szCs w:val="18"/>
          <w:lang w:val="en-US"/>
        </w:rPr>
        <w:t>3.1 Literature Review</w:t>
      </w:r>
    </w:p>
    <w:p w:rsidR="2C3C5A6C" w:rsidP="4D694C64" w:rsidRDefault="2C3C5A6C" w14:paraId="52DDA866" w14:textId="4D49BD5C">
      <w:pPr>
        <w:spacing w:before="0" w:beforeAutospacing="off" w:after="240" w:afterAutospacing="off"/>
        <w:jc w:val="both"/>
      </w:pPr>
      <w:r w:rsidRPr="4D694C64" w:rsidR="6FA517D6">
        <w:rPr>
          <w:rFonts w:ascii="Verdana" w:hAnsi="Verdana" w:eastAsia="Verdana" w:cs="Verdana"/>
          <w:noProof w:val="0"/>
          <w:sz w:val="18"/>
          <w:szCs w:val="18"/>
          <w:lang w:val="en-US"/>
        </w:rPr>
        <w:t>This literature review synthesizes current evidence across four intersecting domains critical to the proposed AI-Powered Care Coordination Agent: the evolution of health information technology and its inherent limitations; the technical architecture of agentic AI and interoperability standards; the quantified burden of clinician burnout and its relationship to administrative automation; and the emerging regulatory and ethical landscape governing AI-assisted chronic care. Together, these bodies of literature establish both the necessity and the feasibility of a proactive, state-aware coordination layer above existing Electronic Health Record (EHR) systems.</w:t>
      </w:r>
    </w:p>
    <w:p w:rsidR="2C3C5A6C" w:rsidP="4D694C64" w:rsidRDefault="2C3C5A6C" w14:paraId="1792EAF7" w14:textId="0744C346">
      <w:pPr>
        <w:spacing w:before="240" w:beforeAutospacing="off" w:after="240" w:afterAutospacing="off"/>
        <w:jc w:val="both"/>
      </w:pPr>
      <w:r w:rsidRPr="4D694C64" w:rsidR="6FA517D6">
        <w:rPr>
          <w:rFonts w:ascii="Verdana" w:hAnsi="Verdana" w:eastAsia="Verdana" w:cs="Verdana"/>
          <w:b w:val="1"/>
          <w:bCs w:val="1"/>
          <w:noProof w:val="0"/>
          <w:sz w:val="18"/>
          <w:szCs w:val="18"/>
          <w:lang w:val="en-US"/>
        </w:rPr>
        <w:t>3.1.1 The Evolution from Passive EHRs to Agentic AI</w:t>
      </w:r>
    </w:p>
    <w:p w:rsidR="2C3C5A6C" w:rsidP="4D694C64" w:rsidRDefault="2C3C5A6C" w14:paraId="1C3EB85A" w14:textId="3832D3B7">
      <w:pPr>
        <w:spacing w:before="0" w:beforeAutospacing="off" w:after="220" w:afterAutospacing="off"/>
        <w:jc w:val="both"/>
      </w:pPr>
      <w:r w:rsidRPr="4D694C64" w:rsidR="6FA517D6">
        <w:rPr>
          <w:rFonts w:ascii="Verdana" w:hAnsi="Verdana" w:eastAsia="Verdana" w:cs="Verdana"/>
          <w:noProof w:val="0"/>
          <w:sz w:val="18"/>
          <w:szCs w:val="18"/>
          <w:lang w:val="en-US"/>
        </w:rPr>
        <w:t>Traditional health information technology has long been criticized for acting as a “digital file cabinet”, a passive repository that requires manual querying to be useful (Wright et al., 2025, p. 1). While rule-based Clinical Decision Support Systems (CDSS) were designed to assist clinicians, they are often stateless and reactive, firing alerts only during a specific active encounter (Wright et al., 2025, p. 2; ChartSpan, 2025, para. 3). This architectural passivity means that critical clinical events, a specialist’s medication change, a missed lab follow-up, or a discordant treatment instruction, may go unacknowledged between scheduled visits (Tiga Health, 2025, para. 2; HelloNote, 2025, para. 4).</w:t>
      </w:r>
    </w:p>
    <w:p w:rsidR="2C3C5A6C" w:rsidP="4D694C64" w:rsidRDefault="2C3C5A6C" w14:paraId="134E046E" w14:textId="5462DC27">
      <w:pPr>
        <w:spacing w:before="240" w:beforeAutospacing="off" w:after="240" w:afterAutospacing="off"/>
        <w:jc w:val="both"/>
      </w:pPr>
      <w:r w:rsidRPr="4D694C64" w:rsidR="6FA517D6">
        <w:rPr>
          <w:rFonts w:ascii="Verdana" w:hAnsi="Verdana" w:eastAsia="Verdana" w:cs="Verdana"/>
          <w:noProof w:val="0"/>
          <w:sz w:val="18"/>
          <w:szCs w:val="18"/>
          <w:lang w:val="en-US"/>
        </w:rPr>
        <w:t>Recent literature identifies a paradigm shift toward Agentic AI, which operates through iterative “perception-reasoning-action” loops (Arunasalam et al., 2024, p. 3). Unlike standard Large Language Models (LLMs) that generate one-shot text, agentic systems are proactive; they can independently decompose complex clinical goals into subtasks, monitor patient data streams from wearables, and identify care gaps without human prompting (Arunasalam et al., 2024, p. 4; Notable Health, 2025, para. 3). This architectural evolution represents a fundamental shift from reactive data retrieval to autonomous clinical orchestration, positioning agentic AI as the next generation of health IT infrastructure (Commure, 2025, para. 2; Notable Health, 2025, para. 5).</w:t>
      </w:r>
    </w:p>
    <w:p w:rsidR="2C3C5A6C" w:rsidP="4D694C64" w:rsidRDefault="2C3C5A6C" w14:paraId="0C7FED6A" w14:textId="22F35EED">
      <w:pPr>
        <w:spacing w:before="240" w:beforeAutospacing="off" w:after="240" w:afterAutospacing="off"/>
        <w:jc w:val="both"/>
      </w:pPr>
      <w:r w:rsidRPr="4D694C64" w:rsidR="6FA517D6">
        <w:rPr>
          <w:rFonts w:ascii="Verdana" w:hAnsi="Verdana" w:eastAsia="Verdana" w:cs="Verdana"/>
          <w:b w:val="1"/>
          <w:bCs w:val="1"/>
          <w:noProof w:val="0"/>
          <w:sz w:val="18"/>
          <w:szCs w:val="18"/>
          <w:lang w:val="en-US"/>
        </w:rPr>
        <w:t>3.1.2 Longitudinal Reasoning and the Model Context Protocol (MCP-AI)</w:t>
      </w:r>
    </w:p>
    <w:p w:rsidR="2C3C5A6C" w:rsidP="4D694C64" w:rsidRDefault="2C3C5A6C" w14:paraId="0F888A2D" w14:textId="634B11D1">
      <w:pPr>
        <w:spacing w:before="0" w:beforeAutospacing="off" w:after="220" w:afterAutospacing="off"/>
        <w:jc w:val="both"/>
      </w:pPr>
      <w:r w:rsidRPr="4D694C64" w:rsidR="6FA517D6">
        <w:rPr>
          <w:rFonts w:ascii="Verdana" w:hAnsi="Verdana" w:eastAsia="Verdana" w:cs="Verdana"/>
          <w:noProof w:val="0"/>
          <w:sz w:val="18"/>
          <w:szCs w:val="18"/>
          <w:lang w:val="en-US"/>
        </w:rPr>
        <w:t>A recurring challenge in healthcare AI is context management, ensuring the system “remembers” a patient’s history across disjointed visits. Clinical reasoning is inherently longitudinal, yet most current AI systems are stateless, treating each interaction as an isolated event (Arunasalam et al., 2024, p. 2). This statelessness creates a “reasoning void” in which context critical to patient safety, such as a medication sensitivity or a documented pattern of non-adherence, can be lost during specialist handoffs (Wright et al., 2025, p. 4; Arunasalam et al., 2024, p. 5).</w:t>
      </w:r>
    </w:p>
    <w:p w:rsidR="2C3C5A6C" w:rsidP="4D694C64" w:rsidRDefault="2C3C5A6C" w14:paraId="72137A28" w14:textId="71911D5E">
      <w:pPr>
        <w:spacing w:before="0" w:beforeAutospacing="off" w:after="220" w:afterAutospacing="off"/>
        <w:jc w:val="both"/>
      </w:pPr>
      <w:r w:rsidRPr="4D694C64" w:rsidR="6FA517D6">
        <w:rPr>
          <w:rFonts w:ascii="Verdana" w:hAnsi="Verdana" w:eastAsia="Verdana" w:cs="Verdana"/>
          <w:noProof w:val="0"/>
          <w:sz w:val="18"/>
          <w:szCs w:val="18"/>
          <w:lang w:val="en-US"/>
        </w:rPr>
        <w:t>To address this, the Model Context Protocol (MCP-AI) has emerged as a novel architecture that captures patient state, clinical objectives, and reasoning history in an auditable, version-controlled “memory object” (Arunasalam et al., 2024, p. 6). Research demonstrates that MCP-AI allows for secure transitions of AI responsibility between providers, ensuring that critical context is preserved and accessible across care settings (Arunasalam et al., 2024, p. 8). By maintaining a persistent, structured representation of a patient’s clinical journey, MCP-AI transforms episodic EHR interactions into a continuous, coherent longitudinal record, a prerequisite for effective chronic care coordination.</w:t>
      </w:r>
    </w:p>
    <w:p w:rsidR="2C3C5A6C" w:rsidP="4D694C64" w:rsidRDefault="2C3C5A6C" w14:paraId="0BF0ACF7" w14:textId="0E13482E">
      <w:pPr>
        <w:spacing w:before="240" w:beforeAutospacing="off" w:after="240" w:afterAutospacing="off"/>
        <w:jc w:val="both"/>
      </w:pPr>
      <w:r w:rsidRPr="4D694C64" w:rsidR="6FA517D6">
        <w:rPr>
          <w:rFonts w:ascii="Verdana" w:hAnsi="Verdana" w:eastAsia="Verdana" w:cs="Verdana"/>
          <w:b w:val="1"/>
          <w:bCs w:val="1"/>
          <w:noProof w:val="0"/>
          <w:sz w:val="18"/>
          <w:szCs w:val="18"/>
          <w:lang w:val="en-US"/>
        </w:rPr>
        <w:t>3.1.3 Interoperability Standards and Technical Hurdles</w:t>
      </w:r>
    </w:p>
    <w:p w:rsidR="2C3C5A6C" w:rsidP="4D694C64" w:rsidRDefault="2C3C5A6C" w14:paraId="538C7BBC" w14:textId="6DD4CAEF">
      <w:pPr>
        <w:spacing w:before="0" w:beforeAutospacing="off" w:after="220" w:afterAutospacing="off"/>
        <w:jc w:val="both"/>
      </w:pPr>
      <w:r w:rsidRPr="4D694C64" w:rsidR="6FA517D6">
        <w:rPr>
          <w:rFonts w:ascii="Verdana" w:hAnsi="Verdana" w:eastAsia="Verdana" w:cs="Verdana"/>
          <w:noProof w:val="0"/>
          <w:sz w:val="18"/>
          <w:szCs w:val="18"/>
          <w:lang w:val="en-US"/>
        </w:rPr>
        <w:t>The effectiveness of any coordination agent depends on its ability to communicate seamlessly across heterogeneous platforms. The Fast Healthcare Interoperability Resources (FHIR) standard has emerged as the dominant framework for this purpose, enabling structured data exchange between EHR systems, payers, and third-party applications (Tiga Health, 2025, para. 1; HelloNote, 2025, para. 2). Despite its adoption, significant barriers remain. Research indicates that 57% of physicians cite a lack of interoperability as their primary obstacle to delivering high-quality care, with data silos between hospital systems, specialty practices, and community providers representing the most persistent challenge (Tiga Health, 2025, para. 5; The Future of Patient Logistics, 2025, para. 4).</w:t>
      </w:r>
    </w:p>
    <w:p w:rsidR="2C3C5A6C" w:rsidP="4D694C64" w:rsidRDefault="2C3C5A6C" w14:paraId="71328F7B" w14:textId="632CD323">
      <w:pPr>
        <w:spacing w:before="240" w:beforeAutospacing="off" w:after="240" w:afterAutospacing="off"/>
        <w:jc w:val="both"/>
      </w:pPr>
      <w:r w:rsidRPr="4D694C64" w:rsidR="6FA517D6">
        <w:rPr>
          <w:rFonts w:ascii="Verdana" w:hAnsi="Verdana" w:eastAsia="Verdana" w:cs="Verdana"/>
          <w:noProof w:val="0"/>
          <w:sz w:val="18"/>
          <w:szCs w:val="18"/>
          <w:lang w:val="en-US"/>
        </w:rPr>
        <w:t>Technical literature highlights a significant “Note2FHIR” gap: while commercial models such as GPT-4o achieve near-perfect scores (0.99 F1) in identifying FHIR resource types from structured data, they struggle to accurately convert unstructured clinical notes into FHIR-compliant resources, with some models scoring as low as 3.8% accuracy in complex conversion tasks (Duong et al., 2025, p. 5). Successful implementations increasingly rely on Multi-Agent Systems (MAS), where specialized agents handle distinct tasks, such as a “Data Integration Agent” to clean FHIR inputs and a “Monitoring Agent” to track real-time physiological deviations, thereby reducing error propagation across the pipeline (Arunasalam et al., 2024, p. 7; HelloNote, 2025, para. 6).</w:t>
      </w:r>
    </w:p>
    <w:p w:rsidR="2C3C5A6C" w:rsidP="4D694C64" w:rsidRDefault="2C3C5A6C" w14:paraId="7C43ACD0" w14:textId="5CB4E79B">
      <w:pPr>
        <w:spacing w:before="240" w:beforeAutospacing="off" w:after="240" w:afterAutospacing="off"/>
        <w:jc w:val="both"/>
      </w:pPr>
      <w:r w:rsidRPr="4D694C64" w:rsidR="6FA517D6">
        <w:rPr>
          <w:rFonts w:ascii="Verdana" w:hAnsi="Verdana" w:eastAsia="Verdana" w:cs="Verdana"/>
          <w:b w:val="1"/>
          <w:bCs w:val="1"/>
          <w:noProof w:val="0"/>
          <w:sz w:val="18"/>
          <w:szCs w:val="18"/>
          <w:lang w:val="en-US"/>
        </w:rPr>
        <w:t>3.1.4 Clinician Burnout and the Economic Impact of Automation</w:t>
      </w:r>
    </w:p>
    <w:p w:rsidR="2C3C5A6C" w:rsidP="4D694C64" w:rsidRDefault="2C3C5A6C" w14:paraId="7604AAED" w14:textId="329E3971">
      <w:pPr>
        <w:spacing w:before="0" w:beforeAutospacing="off" w:after="220" w:afterAutospacing="off"/>
        <w:jc w:val="both"/>
      </w:pPr>
      <w:r w:rsidRPr="4D694C64" w:rsidR="6FA517D6">
        <w:rPr>
          <w:rFonts w:ascii="Verdana" w:hAnsi="Verdana" w:eastAsia="Verdana" w:cs="Verdana"/>
          <w:noProof w:val="0"/>
          <w:sz w:val="18"/>
          <w:szCs w:val="18"/>
          <w:lang w:val="en-US"/>
        </w:rPr>
        <w:t>The administrative burden on clinicians has reached a level that the National Academies of Sciences, Engineering, and Medicine has characterized as a “professional well-being crisis” (National Academies of Sciences, Engineering, and Medicine, 2019, p. 1). Primary care physicians now spend an average of 7.3 hours per 8-hour workday interacting with EHRs, leading to significant “documentation spillover” into personal time, a phenomenon widely referred to as “pajama time” (Wright et al., 2025, p. 2). This imbalance, two hours of administrative work for every one hour of direct patient care, has triggered a burnout crisis that costs the U.S. economy approximately $4.6 billion annually in physician turnover and reduced clinical productivity (National Academies of Sciences, Engineering, and Medicine, 2019, p. 5; Wolters Kluwer, 2023, p. 12; Athenahealth, 2024, para. 4).</w:t>
      </w:r>
    </w:p>
    <w:p w:rsidR="2C3C5A6C" w:rsidP="4D694C64" w:rsidRDefault="2C3C5A6C" w14:paraId="47508D60" w14:textId="62C833E7">
      <w:pPr>
        <w:spacing w:before="240" w:beforeAutospacing="off" w:after="240" w:afterAutospacing="off"/>
        <w:jc w:val="both"/>
      </w:pPr>
      <w:r w:rsidRPr="4D694C64" w:rsidR="6FA517D6">
        <w:rPr>
          <w:rFonts w:ascii="Verdana" w:hAnsi="Verdana" w:eastAsia="Verdana" w:cs="Verdana"/>
          <w:noProof w:val="0"/>
          <w:sz w:val="18"/>
          <w:szCs w:val="18"/>
          <w:lang w:val="en-US"/>
        </w:rPr>
        <w:t>The consequences extend beyond individual clinician well-being. KLAS Research (2025) reports that burnout-driven turnover now represents one of the most significant financial and operational risks facing health systems, with replacement costs for a single physician estimated between $500,000 and $1 million (KLAS Research, 2025, p. 8). Contemporary evidence on AI-powered chronic care platforms, including Notable Health and Commure Engage, demonstrates that ambient care capture and automated task routing can reduce administrative time by up to 70%, directly addressing the documentation burden at scale (Notable Health, 2025, para. 4; Commure, 2025, para. 3). Patient navigation programs have similarly demonstrated measurable downstream clinical benefits, with digital navigation pathways reporting a 54% reduction in no-show rates and a 56% reduction in heart failure readmissions through 24/7 automated symptom triage (Viglione et al., 2018, p. 4).</w:t>
      </w:r>
    </w:p>
    <w:p w:rsidR="2C3C5A6C" w:rsidP="4D694C64" w:rsidRDefault="2C3C5A6C" w14:paraId="3E7CC013" w14:textId="60B7A32E">
      <w:pPr>
        <w:spacing w:before="240" w:beforeAutospacing="off" w:after="240" w:afterAutospacing="off"/>
        <w:jc w:val="both"/>
      </w:pPr>
      <w:r w:rsidRPr="4D694C64" w:rsidR="6FA517D6">
        <w:rPr>
          <w:rFonts w:ascii="Verdana" w:hAnsi="Verdana" w:eastAsia="Verdana" w:cs="Verdana"/>
          <w:b w:val="1"/>
          <w:bCs w:val="1"/>
          <w:noProof w:val="0"/>
          <w:sz w:val="18"/>
          <w:szCs w:val="18"/>
          <w:lang w:val="en-US"/>
        </w:rPr>
        <w:t>3.1.5 Regulatory Shifts: The ACCESS Model and Outcome-Aligned Payments</w:t>
      </w:r>
    </w:p>
    <w:p w:rsidR="2C3C5A6C" w:rsidP="4D694C64" w:rsidRDefault="2C3C5A6C" w14:paraId="10AE24F8" w14:textId="1C7ED07A">
      <w:pPr>
        <w:spacing w:before="0" w:beforeAutospacing="off" w:after="220" w:afterAutospacing="off"/>
        <w:jc w:val="both"/>
      </w:pPr>
      <w:r w:rsidRPr="4D694C64" w:rsidR="6FA517D6">
        <w:rPr>
          <w:rFonts w:ascii="Verdana" w:hAnsi="Verdana" w:eastAsia="Verdana" w:cs="Verdana"/>
          <w:noProof w:val="0"/>
          <w:sz w:val="18"/>
          <w:szCs w:val="18"/>
          <w:lang w:val="en-US"/>
        </w:rPr>
        <w:t>The 2026 regulatory landscape represents the most significant transformation in Medicare’s economic logic in decades. In late 2025, CMS announced the Advancing Chronic Care with Effective, Scalable Solutions (ACCESS) Model, a 10-year voluntary program that replaces traditional fee-for-service billing with Outcome-Aligned Payments (OAPs) (Centers for Medicare &amp; Medicaid Services, 2025, para. 1). Under this framework, care organizations receive recurring payments to manage chronic conditions, but full payment is contingent on achieving measurable health goals, such as a specified reduction in blood pressure or HbA1c levels (Centers for Medicare &amp; Medicaid Services, 2025, para. 3; Khatana et al., 2025, p. 3).</w:t>
      </w:r>
    </w:p>
    <w:p w:rsidR="2C3C5A6C" w:rsidP="4D694C64" w:rsidRDefault="2C3C5A6C" w14:paraId="20B6F5FF" w14:textId="4747BC68">
      <w:pPr>
        <w:spacing w:before="240" w:beforeAutospacing="off" w:after="240" w:afterAutospacing="off"/>
        <w:jc w:val="both"/>
      </w:pPr>
      <w:r w:rsidRPr="4D694C64" w:rsidR="6FA517D6">
        <w:rPr>
          <w:rFonts w:ascii="Verdana" w:hAnsi="Verdana" w:eastAsia="Verdana" w:cs="Verdana"/>
          <w:noProof w:val="0"/>
          <w:sz w:val="18"/>
          <w:szCs w:val="18"/>
          <w:lang w:val="en-US"/>
        </w:rPr>
        <w:t>Commentators have noted both the promise and the uncertainty of this model. Khatana et al. (2025) observe that while the ACCESS model creates the first formal reimbursement pathway for “continuous, technology-supported care,” its success will depend heavily on providers’ ability to operationalize longitudinal monitoring at scale (Khatana et al., 2025, p. 5). The Bipartisan Policy Center further underscores that current Medicare payment structures were not designed to accommodate AI-driven services, creating a regulatory gap that policymakers are only beginning to address (Bipartisan Policy Center, 2025, para. 6). Existing CPT infrastructure, including codes 99490 and 99487 for Chronic Care Management, provides a partial bridge, but requires a minimum of 20 minutes of documented staff time per patient per month that is not scalable without intelligent automation (ChartSpan, 2025, para. 4; ThoroughCare, 2025, para. 3; ASGE, 2025, para. 2; Lara Health, 2025, para. 5).</w:t>
      </w:r>
    </w:p>
    <w:p w:rsidR="2C3C5A6C" w:rsidP="4D694C64" w:rsidRDefault="2C3C5A6C" w14:paraId="19182008" w14:textId="71DA51A1">
      <w:pPr>
        <w:spacing w:before="240" w:beforeAutospacing="off" w:after="240" w:afterAutospacing="off"/>
        <w:jc w:val="both"/>
      </w:pPr>
      <w:r w:rsidRPr="4D694C64" w:rsidR="6FA517D6">
        <w:rPr>
          <w:rFonts w:ascii="Verdana" w:hAnsi="Verdana" w:eastAsia="Verdana" w:cs="Verdana"/>
          <w:b w:val="1"/>
          <w:bCs w:val="1"/>
          <w:noProof w:val="0"/>
          <w:sz w:val="18"/>
          <w:szCs w:val="18"/>
          <w:lang w:val="en-US"/>
        </w:rPr>
        <w:t>3.1.6 Ethical Boundaries and Patient Trust</w:t>
      </w:r>
    </w:p>
    <w:p w:rsidR="2C3C5A6C" w:rsidP="4D694C64" w:rsidRDefault="2C3C5A6C" w14:paraId="37C46377" w14:textId="471840F1">
      <w:pPr>
        <w:spacing w:before="0" w:beforeAutospacing="off" w:after="220" w:afterAutospacing="off"/>
        <w:jc w:val="both"/>
      </w:pPr>
      <w:r w:rsidRPr="4D694C64" w:rsidR="6FA517D6">
        <w:rPr>
          <w:rFonts w:ascii="Verdana" w:hAnsi="Verdana" w:eastAsia="Verdana" w:cs="Verdana"/>
          <w:noProof w:val="0"/>
          <w:sz w:val="18"/>
          <w:szCs w:val="18"/>
          <w:lang w:val="en-US"/>
        </w:rPr>
        <w:t>Despite the technical and economic imperatives driving AI adoption, the “human-in-the-loop” (HITL) principle remains essential to ethical deployment. A 2025 study reported in Patient Care Online found that patients rated physicians significantly lower on empathy and trustworthiness when they openly advertised the use of AI, even for routine administrative tasks (Patient Care Online, 2025, para. 3). These findings suggest that the way AI is introduced into the care relationship is as consequential as the technology itself, with transparency and communication playing a critical mediating role (Patient Care Online, 2025, para. 5; Notable Health, 2025, para. 7).</w:t>
      </w:r>
    </w:p>
    <w:p w:rsidR="2C3C5A6C" w:rsidP="4D694C64" w:rsidRDefault="2C3C5A6C" w14:paraId="787F03B5" w14:textId="6F6FFF06">
      <w:pPr>
        <w:spacing w:before="0" w:beforeAutospacing="off" w:after="220" w:afterAutospacing="off"/>
        <w:jc w:val="both"/>
      </w:pPr>
      <w:r w:rsidRPr="4D694C64" w:rsidR="6FA517D6">
        <w:rPr>
          <w:rFonts w:ascii="Verdana" w:hAnsi="Verdana" w:eastAsia="Verdana" w:cs="Verdana"/>
          <w:noProof w:val="0"/>
          <w:sz w:val="18"/>
          <w:szCs w:val="18"/>
          <w:lang w:val="en-US"/>
        </w:rPr>
        <w:t>The consensus in recent literature favors an “Autopilot” model for routine administrative workflows, such as appointment reminders, lab follow-up tracking, and medication reconciliation summaries, paired with a “Copilot” mode for complex clinical decisions requiring licensed professional review (Arunasalam et al., 2024, p. 9; Notable Health, 2025, para. 6). This architecture ensures that AI-generated summaries and care plans are always subject to clinician approval before being acted upon, preserving accountability while maximizing the efficiency gains of automation. The broader literature on patient navigation reinforces this conclusion: the most effective digital health interventions are those that augment, rather than replace, the human elements of the care relationship (Viglione et al., 2018, p. 6; Patient Care Online, 2025, para. 7).</w:t>
      </w:r>
    </w:p>
    <w:p w:rsidR="2C3C5A6C" w:rsidP="4D694C64" w:rsidRDefault="2C3C5A6C" w14:paraId="392203FC" w14:textId="68EBA70C">
      <w:pPr>
        <w:spacing w:before="240" w:beforeAutospacing="off" w:after="240" w:afterAutospacing="off"/>
        <w:jc w:val="both"/>
      </w:pPr>
      <w:r w:rsidRPr="0B4C0DD6" w:rsidR="6A522729">
        <w:rPr>
          <w:rFonts w:ascii="Verdana" w:hAnsi="Verdana" w:eastAsia="Verdana" w:cs="Verdana"/>
          <w:noProof w:val="0"/>
          <w:sz w:val="18"/>
          <w:szCs w:val="18"/>
          <w:lang w:val="en-US"/>
        </w:rPr>
        <w:t>Collectively, this body of literature establishes a clear convergence: the chronic care crisis is real and quantifiable; the technical building blocks, FHIR interoperability, MCP-AI longitudinal memory, and multi-agent orchestration are mature enough for deployment; regulatory incentives are aligning through the ACCESS model; and the human-in-the-loop framework provides an ethical pathway for responsible implementation. What remains is the integration of these components into a unified, clinically validated care coordination agent.</w:t>
      </w:r>
    </w:p>
    <w:p w:rsidR="2C3C5A6C" w:rsidP="4D694C64" w:rsidRDefault="2C3C5A6C" w14:paraId="2C4CDD80" w14:textId="06127F66">
      <w:pPr>
        <w:spacing w:before="240" w:beforeAutospacing="off" w:after="240" w:afterAutospacing="off"/>
        <w:jc w:val="both"/>
        <w:rPr>
          <w:rFonts w:ascii="Verdana" w:hAnsi="Verdana" w:eastAsia="Verdana" w:cs="Verdana"/>
          <w:b w:val="1"/>
          <w:bCs w:val="1"/>
          <w:noProof w:val="0"/>
          <w:sz w:val="18"/>
          <w:szCs w:val="18"/>
          <w:lang w:val="en-US"/>
        </w:rPr>
      </w:pPr>
      <w:r w:rsidRPr="0B4C0DD6" w:rsidR="049944C2">
        <w:rPr>
          <w:rFonts w:ascii="Verdana" w:hAnsi="Verdana" w:eastAsia="Verdana" w:cs="Verdana"/>
          <w:b w:val="1"/>
          <w:bCs w:val="1"/>
          <w:noProof w:val="0"/>
          <w:sz w:val="18"/>
          <w:szCs w:val="18"/>
          <w:lang w:val="en-US"/>
        </w:rPr>
        <w:t>3.</w:t>
      </w:r>
      <w:r w:rsidRPr="0B4C0DD6" w:rsidR="26C6F09E">
        <w:rPr>
          <w:rFonts w:ascii="Verdana" w:hAnsi="Verdana" w:eastAsia="Verdana" w:cs="Verdana"/>
          <w:b w:val="1"/>
          <w:bCs w:val="1"/>
          <w:noProof w:val="0"/>
          <w:sz w:val="18"/>
          <w:szCs w:val="18"/>
          <w:lang w:val="en-US"/>
        </w:rPr>
        <w:t>2</w:t>
      </w:r>
      <w:r w:rsidRPr="0B4C0DD6" w:rsidR="049944C2">
        <w:rPr>
          <w:rFonts w:ascii="Verdana" w:hAnsi="Verdana" w:eastAsia="Verdana" w:cs="Verdana"/>
          <w:b w:val="1"/>
          <w:bCs w:val="1"/>
          <w:noProof w:val="0"/>
          <w:sz w:val="18"/>
          <w:szCs w:val="18"/>
          <w:lang w:val="en-US"/>
        </w:rPr>
        <w:t xml:space="preserve"> Review Conclusions</w:t>
      </w:r>
    </w:p>
    <w:p w:rsidR="2C3C5A6C" w:rsidP="4D694C64" w:rsidRDefault="2C3C5A6C" w14:paraId="60DFA0AB" w14:textId="57BA166F">
      <w:pPr>
        <w:spacing w:before="240" w:beforeAutospacing="off" w:after="240" w:afterAutospacing="off"/>
        <w:jc w:val="both"/>
        <w:rPr>
          <w:rFonts w:ascii="Verdana" w:hAnsi="Verdana" w:eastAsia="Verdana" w:cs="Verdana"/>
          <w:noProof w:val="0"/>
          <w:sz w:val="18"/>
          <w:szCs w:val="18"/>
          <w:lang w:val="en-US"/>
        </w:rPr>
      </w:pPr>
      <w:r w:rsidRPr="4D694C64" w:rsidR="3F2ECF84">
        <w:rPr>
          <w:rFonts w:ascii="Verdana" w:hAnsi="Verdana" w:eastAsia="Verdana" w:cs="Verdana"/>
          <w:noProof w:val="0"/>
          <w:sz w:val="18"/>
          <w:szCs w:val="18"/>
          <w:lang w:val="en-US"/>
        </w:rPr>
        <w:t>The comprehensive review of current literature and emerging technological frameworks reveals that while the U.S. healthcare system has achieved "digitization" through the widespread adoption of Electronic Health Records (EHR), it has failed to achieve "transformation" in care coordination. The following key conclusions have been drawn from the research, providing the foundational requirements for the development of the AI-Powered Care Coordination Agent:</w:t>
      </w:r>
    </w:p>
    <w:p w:rsidR="2C3C5A6C" w:rsidP="4D694C64" w:rsidRDefault="2C3C5A6C" w14:paraId="066DAF89" w14:textId="73EEA15E">
      <w:pPr>
        <w:pStyle w:val="Normal"/>
        <w:spacing w:before="240" w:beforeAutospacing="off" w:after="240" w:afterAutospacing="off"/>
        <w:ind w:left="0"/>
        <w:jc w:val="both"/>
        <w:rPr>
          <w:rFonts w:ascii="Verdana" w:hAnsi="Verdana" w:eastAsia="Verdana" w:cs="Verdana"/>
          <w:b w:val="0"/>
          <w:bCs w:val="0"/>
          <w:noProof w:val="0"/>
          <w:sz w:val="18"/>
          <w:szCs w:val="18"/>
          <w:lang w:val="en-US"/>
        </w:rPr>
      </w:pPr>
      <w:r w:rsidRPr="4D694C64" w:rsidR="3F2ECF84">
        <w:rPr>
          <w:rFonts w:ascii="Verdana" w:hAnsi="Verdana" w:eastAsia="Verdana" w:cs="Verdana"/>
          <w:b w:val="1"/>
          <w:bCs w:val="1"/>
          <w:noProof w:val="0"/>
          <w:sz w:val="18"/>
          <w:szCs w:val="18"/>
          <w:lang w:val="en-US"/>
        </w:rPr>
        <w:t>The Technical Necessity of Agentic Orchestration:</w:t>
      </w:r>
      <w:r w:rsidRPr="4D694C64" w:rsidR="3F2ECF84">
        <w:rPr>
          <w:rFonts w:ascii="Verdana" w:hAnsi="Verdana" w:eastAsia="Verdana" w:cs="Verdana"/>
          <w:noProof w:val="0"/>
          <w:sz w:val="18"/>
          <w:szCs w:val="18"/>
          <w:lang w:val="en-US"/>
        </w:rPr>
        <w:t xml:space="preserve"> </w:t>
      </w:r>
      <w:r w:rsidRPr="4D694C64" w:rsidR="3F2ECF84">
        <w:rPr>
          <w:rFonts w:ascii="Verdana" w:hAnsi="Verdana" w:eastAsia="Verdana" w:cs="Verdana"/>
          <w:b w:val="0"/>
          <w:bCs w:val="0"/>
          <w:noProof w:val="0"/>
          <w:sz w:val="18"/>
          <w:szCs w:val="18"/>
          <w:lang w:val="en-US"/>
        </w:rPr>
        <w:t xml:space="preserve">Research from Mount Sinai (March 2026) provides empirical evidence that monolithic AI models are insufficient for clinical-scale workloads. When a single agent is tasked with simultaneous multi-modal demands, performance drops to as low as 16% accuracy. By contrast, an orchestrated </w:t>
      </w:r>
      <w:r w:rsidRPr="4D694C64" w:rsidR="3F2ECF84">
        <w:rPr>
          <w:rFonts w:ascii="Verdana" w:hAnsi="Verdana" w:eastAsia="Verdana" w:cs="Verdana"/>
          <w:b w:val="0"/>
          <w:bCs w:val="0"/>
          <w:noProof w:val="0"/>
          <w:sz w:val="18"/>
          <w:szCs w:val="18"/>
          <w:lang w:val="en-US"/>
        </w:rPr>
        <w:t>Multi-Agent System (MAS)</w:t>
      </w:r>
      <w:r w:rsidRPr="4D694C64" w:rsidR="024EEC49">
        <w:rPr>
          <w:rFonts w:ascii="Verdana" w:hAnsi="Verdana" w:eastAsia="Verdana" w:cs="Verdana"/>
          <w:b w:val="0"/>
          <w:bCs w:val="0"/>
          <w:noProof w:val="0"/>
          <w:sz w:val="18"/>
          <w:szCs w:val="18"/>
          <w:lang w:val="en-US"/>
        </w:rPr>
        <w:t xml:space="preserve"> </w:t>
      </w:r>
      <w:r w:rsidRPr="4D694C64" w:rsidR="3F2ECF84">
        <w:rPr>
          <w:rFonts w:ascii="Verdana" w:hAnsi="Verdana" w:eastAsia="Verdana" w:cs="Verdana"/>
          <w:b w:val="0"/>
          <w:bCs w:val="0"/>
          <w:noProof w:val="0"/>
          <w:sz w:val="18"/>
          <w:szCs w:val="18"/>
          <w:lang w:val="en-US"/>
        </w:rPr>
        <w:t>where a central "orchestrator" assigns tasks to specialized agents</w:t>
      </w:r>
      <w:r w:rsidRPr="4D694C64" w:rsidR="1C4DDE85">
        <w:rPr>
          <w:rFonts w:ascii="Verdana" w:hAnsi="Verdana" w:eastAsia="Verdana" w:cs="Verdana"/>
          <w:b w:val="0"/>
          <w:bCs w:val="0"/>
          <w:noProof w:val="0"/>
          <w:sz w:val="18"/>
          <w:szCs w:val="18"/>
          <w:lang w:val="en-US"/>
        </w:rPr>
        <w:t xml:space="preserve"> </w:t>
      </w:r>
      <w:r w:rsidRPr="4D694C64" w:rsidR="3F2ECF84">
        <w:rPr>
          <w:rFonts w:ascii="Verdana" w:hAnsi="Verdana" w:eastAsia="Verdana" w:cs="Verdana"/>
          <w:b w:val="0"/>
          <w:bCs w:val="0"/>
          <w:noProof w:val="0"/>
          <w:sz w:val="18"/>
          <w:szCs w:val="18"/>
          <w:lang w:val="en-US"/>
        </w:rPr>
        <w:t xml:space="preserve">sustains superior accuracy while </w:t>
      </w:r>
      <w:r w:rsidRPr="4D694C64" w:rsidR="3F2ECF84">
        <w:rPr>
          <w:rFonts w:ascii="Verdana" w:hAnsi="Verdana" w:eastAsia="Verdana" w:cs="Verdana"/>
          <w:b w:val="0"/>
          <w:bCs w:val="0"/>
          <w:noProof w:val="0"/>
          <w:sz w:val="18"/>
          <w:szCs w:val="18"/>
          <w:lang w:val="en-US"/>
        </w:rPr>
        <w:t>utilizing</w:t>
      </w:r>
      <w:r w:rsidRPr="4D694C64" w:rsidR="3F2ECF84">
        <w:rPr>
          <w:rFonts w:ascii="Verdana" w:hAnsi="Verdana" w:eastAsia="Verdana" w:cs="Verdana"/>
          <w:b w:val="0"/>
          <w:bCs w:val="0"/>
          <w:noProof w:val="0"/>
          <w:sz w:val="18"/>
          <w:szCs w:val="18"/>
          <w:lang w:val="en-US"/>
        </w:rPr>
        <w:t xml:space="preserve"> up to </w:t>
      </w:r>
      <w:r w:rsidRPr="4D694C64" w:rsidR="3F2ECF84">
        <w:rPr>
          <w:rFonts w:ascii="Verdana" w:hAnsi="Verdana" w:eastAsia="Verdana" w:cs="Verdana"/>
          <w:b w:val="0"/>
          <w:bCs w:val="0"/>
          <w:noProof w:val="0"/>
          <w:sz w:val="18"/>
          <w:szCs w:val="18"/>
          <w:lang w:val="en-US"/>
        </w:rPr>
        <w:t>65 times fewer computing resources</w:t>
      </w:r>
      <w:r w:rsidRPr="4D694C64" w:rsidR="3F2ECF84">
        <w:rPr>
          <w:rFonts w:ascii="Verdana" w:hAnsi="Verdana" w:eastAsia="Verdana" w:cs="Verdana"/>
          <w:b w:val="0"/>
          <w:bCs w:val="0"/>
          <w:noProof w:val="0"/>
          <w:sz w:val="18"/>
          <w:szCs w:val="18"/>
          <w:lang w:val="en-US"/>
        </w:rPr>
        <w:t xml:space="preserve">. This confirms that the project’s architectural shift toward a coordinated agentic network is the only </w:t>
      </w:r>
      <w:r w:rsidRPr="4D694C64" w:rsidR="3F2ECF84">
        <w:rPr>
          <w:rFonts w:ascii="Verdana" w:hAnsi="Verdana" w:eastAsia="Verdana" w:cs="Verdana"/>
          <w:b w:val="0"/>
          <w:bCs w:val="0"/>
          <w:noProof w:val="0"/>
          <w:sz w:val="18"/>
          <w:szCs w:val="18"/>
          <w:lang w:val="en-US"/>
        </w:rPr>
        <w:t>viable</w:t>
      </w:r>
      <w:r w:rsidRPr="4D694C64" w:rsidR="3F2ECF84">
        <w:rPr>
          <w:rFonts w:ascii="Verdana" w:hAnsi="Verdana" w:eastAsia="Verdana" w:cs="Verdana"/>
          <w:b w:val="0"/>
          <w:bCs w:val="0"/>
          <w:noProof w:val="0"/>
          <w:sz w:val="18"/>
          <w:szCs w:val="18"/>
          <w:lang w:val="en-US"/>
        </w:rPr>
        <w:t xml:space="preserve"> path for real-world hospital operations.</w:t>
      </w:r>
    </w:p>
    <w:p w:rsidR="2C3C5A6C" w:rsidP="4D694C64" w:rsidRDefault="2C3C5A6C" w14:paraId="5500B58B" w14:textId="06E669FB">
      <w:pPr>
        <w:pStyle w:val="Normal"/>
        <w:spacing w:before="240" w:beforeAutospacing="off" w:after="240" w:afterAutospacing="off"/>
        <w:ind w:left="0"/>
        <w:jc w:val="both"/>
        <w:rPr>
          <w:rFonts w:ascii="Verdana" w:hAnsi="Verdana" w:eastAsia="Verdana" w:cs="Verdana"/>
          <w:b w:val="0"/>
          <w:bCs w:val="0"/>
          <w:noProof w:val="0"/>
          <w:sz w:val="18"/>
          <w:szCs w:val="18"/>
          <w:lang w:val="en-US"/>
        </w:rPr>
      </w:pPr>
      <w:r w:rsidRPr="4D694C64" w:rsidR="3F2ECF84">
        <w:rPr>
          <w:rFonts w:ascii="Verdana" w:hAnsi="Verdana" w:eastAsia="Verdana" w:cs="Verdana"/>
          <w:b w:val="1"/>
          <w:bCs w:val="1"/>
          <w:noProof w:val="0"/>
          <w:sz w:val="18"/>
          <w:szCs w:val="18"/>
          <w:lang w:val="en-US"/>
        </w:rPr>
        <w:t>Bridging the "Reasoning Void" via MCP-AI:</w:t>
      </w:r>
      <w:r w:rsidRPr="4D694C64" w:rsidR="3F2ECF84">
        <w:rPr>
          <w:rFonts w:ascii="Verdana" w:hAnsi="Verdana" w:eastAsia="Verdana" w:cs="Verdana"/>
          <w:noProof w:val="0"/>
          <w:sz w:val="18"/>
          <w:szCs w:val="18"/>
          <w:lang w:val="en-US"/>
        </w:rPr>
        <w:t xml:space="preserve"> </w:t>
      </w:r>
      <w:r w:rsidRPr="4D694C64" w:rsidR="3F2ECF84">
        <w:rPr>
          <w:rFonts w:ascii="Verdana" w:hAnsi="Verdana" w:eastAsia="Verdana" w:cs="Verdana"/>
          <w:b w:val="0"/>
          <w:bCs w:val="0"/>
          <w:noProof w:val="0"/>
          <w:sz w:val="18"/>
          <w:szCs w:val="18"/>
          <w:lang w:val="en-US"/>
        </w:rPr>
        <w:t xml:space="preserve">Traditional EHR systems function as passive "digital file cabinets" that require manual querying for every clinical transaction. The literature identifies a critical "reasoning void" during patient transitions and specialist handoffs. The </w:t>
      </w:r>
      <w:r w:rsidRPr="4D694C64" w:rsidR="3F2ECF84">
        <w:rPr>
          <w:rFonts w:ascii="Verdana" w:hAnsi="Verdana" w:eastAsia="Verdana" w:cs="Verdana"/>
          <w:b w:val="0"/>
          <w:bCs w:val="0"/>
          <w:noProof w:val="0"/>
          <w:sz w:val="18"/>
          <w:szCs w:val="18"/>
          <w:lang w:val="en-US"/>
        </w:rPr>
        <w:t>Model Context Protocol (MCP-AI)</w:t>
      </w:r>
      <w:r w:rsidRPr="4D694C64" w:rsidR="3F2ECF84">
        <w:rPr>
          <w:rFonts w:ascii="Verdana" w:hAnsi="Verdana" w:eastAsia="Verdana" w:cs="Verdana"/>
          <w:b w:val="0"/>
          <w:bCs w:val="0"/>
          <w:noProof w:val="0"/>
          <w:sz w:val="18"/>
          <w:szCs w:val="18"/>
          <w:lang w:val="en-US"/>
        </w:rPr>
        <w:t xml:space="preserve"> is concluded to be the most effective solution for this gap, as it transforms stateless LLM interactions into state-aware "memory objects" that preserve longitudinal clinical context. This protocol serves as the "connective tissue" required to turn passive data into proactive coordination.</w:t>
      </w:r>
    </w:p>
    <w:p w:rsidR="2C3C5A6C" w:rsidP="4D694C64" w:rsidRDefault="2C3C5A6C" w14:paraId="05B59FC2" w14:textId="3B0D6550">
      <w:pPr>
        <w:pStyle w:val="Normal"/>
        <w:spacing w:before="240" w:beforeAutospacing="off" w:after="240" w:afterAutospacing="off"/>
        <w:ind w:left="0"/>
        <w:jc w:val="both"/>
        <w:rPr>
          <w:rFonts w:ascii="Verdana" w:hAnsi="Verdana" w:eastAsia="Verdana" w:cs="Verdana"/>
          <w:b w:val="0"/>
          <w:bCs w:val="0"/>
          <w:noProof w:val="0"/>
          <w:sz w:val="18"/>
          <w:szCs w:val="18"/>
          <w:lang w:val="en-US"/>
        </w:rPr>
      </w:pPr>
      <w:r w:rsidRPr="4D694C64" w:rsidR="3F2ECF84">
        <w:rPr>
          <w:rFonts w:ascii="Verdana" w:hAnsi="Verdana" w:eastAsia="Verdana" w:cs="Verdana"/>
          <w:b w:val="1"/>
          <w:bCs w:val="1"/>
          <w:noProof w:val="0"/>
          <w:sz w:val="18"/>
          <w:szCs w:val="18"/>
          <w:lang w:val="en-US"/>
        </w:rPr>
        <w:t>The Mandatory Nature of Semantic Depth:</w:t>
      </w:r>
      <w:r w:rsidRPr="4D694C64" w:rsidR="3F2ECF84">
        <w:rPr>
          <w:rFonts w:ascii="Verdana" w:hAnsi="Verdana" w:eastAsia="Verdana" w:cs="Verdana"/>
          <w:noProof w:val="0"/>
          <w:sz w:val="18"/>
          <w:szCs w:val="18"/>
          <w:lang w:val="en-US"/>
        </w:rPr>
        <w:t xml:space="preserve"> </w:t>
      </w:r>
      <w:r w:rsidRPr="4D694C64" w:rsidR="3F2ECF84">
        <w:rPr>
          <w:rFonts w:ascii="Verdana" w:hAnsi="Verdana" w:eastAsia="Verdana" w:cs="Verdana"/>
          <w:b w:val="0"/>
          <w:bCs w:val="0"/>
          <w:noProof w:val="0"/>
          <w:sz w:val="18"/>
          <w:szCs w:val="18"/>
          <w:lang w:val="en-US"/>
        </w:rPr>
        <w:t xml:space="preserve">Data exchange alone is insufficient for chronic care. While </w:t>
      </w:r>
      <w:r w:rsidRPr="4D694C64" w:rsidR="3F2ECF84">
        <w:rPr>
          <w:rFonts w:ascii="Verdana" w:hAnsi="Verdana" w:eastAsia="Verdana" w:cs="Verdana"/>
          <w:b w:val="0"/>
          <w:bCs w:val="0"/>
          <w:noProof w:val="0"/>
          <w:sz w:val="18"/>
          <w:szCs w:val="18"/>
          <w:lang w:val="en-US"/>
        </w:rPr>
        <w:t>FHIR</w:t>
      </w:r>
      <w:r w:rsidRPr="4D694C64" w:rsidR="3F2ECF84">
        <w:rPr>
          <w:rFonts w:ascii="Verdana" w:hAnsi="Verdana" w:eastAsia="Verdana" w:cs="Verdana"/>
          <w:b w:val="0"/>
          <w:bCs w:val="0"/>
          <w:noProof w:val="0"/>
          <w:sz w:val="18"/>
          <w:szCs w:val="18"/>
          <w:lang w:val="en-US"/>
        </w:rPr>
        <w:t xml:space="preserve"> provides structural interoperability (the format), it does not guarantee semantic understanding (the meaning). The review concludes that true care coordination requires the integration of </w:t>
      </w:r>
      <w:r w:rsidRPr="4D694C64" w:rsidR="3F2ECF84">
        <w:rPr>
          <w:rFonts w:ascii="Verdana" w:hAnsi="Verdana" w:eastAsia="Verdana" w:cs="Verdana"/>
          <w:b w:val="0"/>
          <w:bCs w:val="0"/>
          <w:noProof w:val="0"/>
          <w:sz w:val="18"/>
          <w:szCs w:val="18"/>
          <w:lang w:val="en-US"/>
        </w:rPr>
        <w:t>Semantic Web</w:t>
      </w:r>
      <w:r w:rsidRPr="4D694C64" w:rsidR="3F2ECF84">
        <w:rPr>
          <w:rFonts w:ascii="Verdana" w:hAnsi="Verdana" w:eastAsia="Verdana" w:cs="Verdana"/>
          <w:b w:val="0"/>
          <w:bCs w:val="0"/>
          <w:noProof w:val="0"/>
          <w:sz w:val="18"/>
          <w:szCs w:val="18"/>
          <w:lang w:val="en-US"/>
        </w:rPr>
        <w:t xml:space="preserve"> technologies, specifically </w:t>
      </w:r>
      <w:r w:rsidRPr="4D694C64" w:rsidR="3F2ECF84">
        <w:rPr>
          <w:rFonts w:ascii="Verdana" w:hAnsi="Verdana" w:eastAsia="Verdana" w:cs="Verdana"/>
          <w:b w:val="0"/>
          <w:bCs w:val="0"/>
          <w:noProof w:val="0"/>
          <w:sz w:val="18"/>
          <w:szCs w:val="18"/>
          <w:lang w:val="en-US"/>
        </w:rPr>
        <w:t>OWL 2.0</w:t>
      </w:r>
      <w:r w:rsidRPr="4D694C64" w:rsidR="3F2ECF84">
        <w:rPr>
          <w:rFonts w:ascii="Verdana" w:hAnsi="Verdana" w:eastAsia="Verdana" w:cs="Verdana"/>
          <w:b w:val="0"/>
          <w:bCs w:val="0"/>
          <w:noProof w:val="0"/>
          <w:sz w:val="18"/>
          <w:szCs w:val="18"/>
          <w:lang w:val="en-US"/>
        </w:rPr>
        <w:t xml:space="preserve"> and the </w:t>
      </w:r>
      <w:r w:rsidRPr="4D694C64" w:rsidR="3F2ECF84">
        <w:rPr>
          <w:rFonts w:ascii="Verdana" w:hAnsi="Verdana" w:eastAsia="Verdana" w:cs="Verdana"/>
          <w:b w:val="0"/>
          <w:bCs w:val="0"/>
          <w:noProof w:val="0"/>
          <w:sz w:val="18"/>
          <w:szCs w:val="18"/>
          <w:lang w:val="en-US"/>
        </w:rPr>
        <w:t>Basic Formal Ontology (BFO)</w:t>
      </w:r>
      <w:r w:rsidRPr="4D694C64" w:rsidR="3F2ECF84">
        <w:rPr>
          <w:rFonts w:ascii="Verdana" w:hAnsi="Verdana" w:eastAsia="Verdana" w:cs="Verdana"/>
          <w:b w:val="0"/>
          <w:bCs w:val="0"/>
          <w:noProof w:val="0"/>
          <w:sz w:val="18"/>
          <w:szCs w:val="18"/>
          <w:lang w:val="en-US"/>
        </w:rPr>
        <w:t xml:space="preserve">. Implementing these frameworks through a </w:t>
      </w:r>
      <w:r w:rsidRPr="4D694C64" w:rsidR="3F2ECF84">
        <w:rPr>
          <w:rFonts w:ascii="Verdana" w:hAnsi="Verdana" w:eastAsia="Verdana" w:cs="Verdana"/>
          <w:b w:val="0"/>
          <w:bCs w:val="0"/>
          <w:noProof w:val="0"/>
          <w:sz w:val="18"/>
          <w:szCs w:val="18"/>
          <w:lang w:val="en-US"/>
        </w:rPr>
        <w:t>Patient Medical Digital Twin (PMDT)</w:t>
      </w:r>
      <w:r w:rsidRPr="4D694C64" w:rsidR="3F2ECF84">
        <w:rPr>
          <w:rFonts w:ascii="Verdana" w:hAnsi="Verdana" w:eastAsia="Verdana" w:cs="Verdana"/>
          <w:b w:val="0"/>
          <w:bCs w:val="0"/>
          <w:noProof w:val="0"/>
          <w:sz w:val="18"/>
          <w:szCs w:val="18"/>
          <w:lang w:val="en-US"/>
        </w:rPr>
        <w:t xml:space="preserve"> is essential for automating complex tasks like medication reconciliation and clinical gap detection across heterogeneous data sources.</w:t>
      </w:r>
    </w:p>
    <w:p w:rsidR="2C3C5A6C" w:rsidP="4D694C64" w:rsidRDefault="2C3C5A6C" w14:paraId="69A1407B" w14:textId="51F21C5B">
      <w:pPr>
        <w:pStyle w:val="Normal"/>
        <w:spacing w:before="240" w:beforeAutospacing="off" w:after="240" w:afterAutospacing="off"/>
        <w:ind w:left="0"/>
        <w:jc w:val="both"/>
        <w:rPr>
          <w:rFonts w:ascii="Verdana" w:hAnsi="Verdana" w:eastAsia="Verdana" w:cs="Verdana"/>
          <w:b w:val="0"/>
          <w:bCs w:val="0"/>
          <w:noProof w:val="0"/>
          <w:sz w:val="18"/>
          <w:szCs w:val="18"/>
          <w:lang w:val="en-US"/>
        </w:rPr>
      </w:pPr>
      <w:r w:rsidRPr="4D694C64" w:rsidR="3F2ECF84">
        <w:rPr>
          <w:rFonts w:ascii="Verdana" w:hAnsi="Verdana" w:eastAsia="Verdana" w:cs="Verdana"/>
          <w:b w:val="1"/>
          <w:bCs w:val="1"/>
          <w:noProof w:val="0"/>
          <w:sz w:val="18"/>
          <w:szCs w:val="18"/>
          <w:lang w:val="en-US"/>
        </w:rPr>
        <w:t>Alignment with Regulatory Tailwinds:</w:t>
      </w:r>
      <w:r w:rsidRPr="4D694C64" w:rsidR="3F2ECF84">
        <w:rPr>
          <w:rFonts w:ascii="Verdana" w:hAnsi="Verdana" w:eastAsia="Verdana" w:cs="Verdana"/>
          <w:noProof w:val="0"/>
          <w:sz w:val="18"/>
          <w:szCs w:val="18"/>
          <w:lang w:val="en-US"/>
        </w:rPr>
        <w:t xml:space="preserve"> </w:t>
      </w:r>
      <w:r w:rsidRPr="4D694C64" w:rsidR="3F2ECF84">
        <w:rPr>
          <w:rFonts w:ascii="Verdana" w:hAnsi="Verdana" w:eastAsia="Verdana" w:cs="Verdana"/>
          <w:b w:val="0"/>
          <w:bCs w:val="0"/>
          <w:noProof w:val="0"/>
          <w:sz w:val="18"/>
          <w:szCs w:val="18"/>
          <w:lang w:val="en-US"/>
        </w:rPr>
        <w:t xml:space="preserve">The 2026 launch of the </w:t>
      </w:r>
      <w:r w:rsidRPr="4D694C64" w:rsidR="3F2ECF84">
        <w:rPr>
          <w:rFonts w:ascii="Verdana" w:hAnsi="Verdana" w:eastAsia="Verdana" w:cs="Verdana"/>
          <w:b w:val="0"/>
          <w:bCs w:val="0"/>
          <w:noProof w:val="0"/>
          <w:sz w:val="18"/>
          <w:szCs w:val="18"/>
          <w:lang w:val="en-US"/>
        </w:rPr>
        <w:t>CMS ACCESS Model</w:t>
      </w:r>
      <w:r w:rsidRPr="4D694C64" w:rsidR="3F2ECF84">
        <w:rPr>
          <w:rFonts w:ascii="Verdana" w:hAnsi="Verdana" w:eastAsia="Verdana" w:cs="Verdana"/>
          <w:b w:val="0"/>
          <w:bCs w:val="0"/>
          <w:noProof w:val="0"/>
          <w:sz w:val="18"/>
          <w:szCs w:val="18"/>
          <w:lang w:val="en-US"/>
        </w:rPr>
        <w:t xml:space="preserve"> represents a pivotal economic shift. By rewarding </w:t>
      </w:r>
      <w:r w:rsidRPr="4D694C64" w:rsidR="3F2ECF84">
        <w:rPr>
          <w:rFonts w:ascii="Verdana" w:hAnsi="Verdana" w:eastAsia="Verdana" w:cs="Verdana"/>
          <w:b w:val="0"/>
          <w:bCs w:val="0"/>
          <w:noProof w:val="0"/>
          <w:sz w:val="18"/>
          <w:szCs w:val="18"/>
          <w:lang w:val="en-US"/>
        </w:rPr>
        <w:t>Outcome-Aligned Payments (OAPs)</w:t>
      </w:r>
      <w:r w:rsidRPr="4D694C64" w:rsidR="3F2ECF84">
        <w:rPr>
          <w:rFonts w:ascii="Verdana" w:hAnsi="Verdana" w:eastAsia="Verdana" w:cs="Verdana"/>
          <w:b w:val="0"/>
          <w:bCs w:val="0"/>
          <w:noProof w:val="0"/>
          <w:sz w:val="18"/>
          <w:szCs w:val="18"/>
          <w:lang w:val="en-US"/>
        </w:rPr>
        <w:t xml:space="preserve"> rather than volume-based services, the regulatory environment now explicitly favors the proactive, technology-supported management that this project proposes. This shift provides the first sustainable financial pathway for scaling AI agents that can reduce clinician administrative time by a projected 70%.</w:t>
      </w:r>
    </w:p>
    <w:p w:rsidR="2C3C5A6C" w:rsidP="4D694C64" w:rsidRDefault="2C3C5A6C" w14:paraId="5A1F7F2A" w14:textId="3008ECEC">
      <w:pPr>
        <w:pStyle w:val="Normal"/>
        <w:spacing w:before="240" w:beforeAutospacing="off" w:after="240" w:afterAutospacing="off"/>
        <w:ind w:left="0"/>
        <w:jc w:val="both"/>
        <w:rPr>
          <w:rFonts w:ascii="Verdana" w:hAnsi="Verdana" w:eastAsia="Verdana" w:cs="Verdana"/>
          <w:noProof w:val="0"/>
          <w:sz w:val="18"/>
          <w:szCs w:val="18"/>
          <w:lang w:val="en-US"/>
        </w:rPr>
      </w:pPr>
      <w:r w:rsidRPr="295D06E8" w:rsidR="049944C2">
        <w:rPr>
          <w:rFonts w:ascii="Verdana" w:hAnsi="Verdana" w:eastAsia="Verdana" w:cs="Verdana"/>
          <w:b w:val="1"/>
          <w:bCs w:val="1"/>
          <w:noProof w:val="0"/>
          <w:sz w:val="18"/>
          <w:szCs w:val="18"/>
          <w:lang w:val="en-US"/>
        </w:rPr>
        <w:t>Human-on-the-Loop as an Ethical Prerequisite:</w:t>
      </w:r>
      <w:r w:rsidRPr="295D06E8" w:rsidR="049944C2">
        <w:rPr>
          <w:rFonts w:ascii="Verdana" w:hAnsi="Verdana" w:eastAsia="Verdana" w:cs="Verdana"/>
          <w:noProof w:val="0"/>
          <w:sz w:val="18"/>
          <w:szCs w:val="18"/>
          <w:lang w:val="en-US"/>
        </w:rPr>
        <w:t xml:space="preserve"> </w:t>
      </w:r>
      <w:r w:rsidRPr="295D06E8" w:rsidR="049944C2">
        <w:rPr>
          <w:rFonts w:ascii="Verdana" w:hAnsi="Verdana" w:eastAsia="Verdana" w:cs="Verdana"/>
          <w:b w:val="0"/>
          <w:bCs w:val="0"/>
          <w:noProof w:val="0"/>
          <w:sz w:val="18"/>
          <w:szCs w:val="18"/>
          <w:lang w:val="en-US"/>
        </w:rPr>
        <w:t xml:space="preserve">Finally, the literature emphasizes that while "Autopilot" modes are suitable for routine administrative tasks (scheduling, lab tracking), diagnostic and therapeutic decisions must remain under a "Copilot" model of human oversight. Maintaining this </w:t>
      </w:r>
      <w:r w:rsidRPr="295D06E8" w:rsidR="049944C2">
        <w:rPr>
          <w:rFonts w:ascii="Verdana" w:hAnsi="Verdana" w:eastAsia="Verdana" w:cs="Verdana"/>
          <w:b w:val="0"/>
          <w:bCs w:val="0"/>
          <w:noProof w:val="0"/>
          <w:sz w:val="18"/>
          <w:szCs w:val="18"/>
          <w:lang w:val="en-US"/>
        </w:rPr>
        <w:t>Human-on-the-Loop</w:t>
      </w:r>
      <w:r w:rsidRPr="295D06E8" w:rsidR="049944C2">
        <w:rPr>
          <w:rFonts w:ascii="Verdana" w:hAnsi="Verdana" w:eastAsia="Verdana" w:cs="Verdana"/>
          <w:b w:val="0"/>
          <w:bCs w:val="0"/>
          <w:noProof w:val="0"/>
          <w:sz w:val="18"/>
          <w:szCs w:val="18"/>
          <w:lang w:val="en-US"/>
        </w:rPr>
        <w:t xml:space="preserve"> architecture is critical for preserving patient trust, as patients have been shown to rate clinicians significantly lower on empathy when AI use is not transparently managed.</w:t>
      </w:r>
    </w:p>
    <w:p w:rsidR="00F6D39F" w:rsidP="295D06E8" w:rsidRDefault="00F6D39F" w14:paraId="75B57402" w14:textId="7CE9DF67">
      <w:pPr>
        <w:pStyle w:val="ListParagraph"/>
        <w:numPr>
          <w:ilvl w:val="0"/>
          <w:numId w:val="4"/>
        </w:numPr>
        <w:spacing w:before="240" w:beforeAutospacing="off" w:after="240" w:afterAutospacing="off"/>
        <w:jc w:val="both"/>
        <w:rPr>
          <w:rFonts w:ascii="Verdana" w:hAnsi="Verdana" w:eastAsia="Verdana" w:cs="Verdana"/>
          <w:b w:val="1"/>
          <w:bCs w:val="1"/>
          <w:i w:val="0"/>
          <w:iCs w:val="0"/>
          <w:noProof w:val="0"/>
          <w:sz w:val="18"/>
          <w:szCs w:val="18"/>
          <w:lang w:val="en-US"/>
        </w:rPr>
      </w:pPr>
      <w:r w:rsidRPr="295D06E8" w:rsidR="00F6D39F">
        <w:rPr>
          <w:rFonts w:ascii="Verdana" w:hAnsi="Verdana" w:eastAsia="Verdana" w:cs="Verdana"/>
          <w:b w:val="1"/>
          <w:bCs w:val="1"/>
          <w:i w:val="0"/>
          <w:iCs w:val="0"/>
          <w:noProof w:val="0"/>
          <w:sz w:val="18"/>
          <w:szCs w:val="18"/>
          <w:lang w:val="en-US"/>
        </w:rPr>
        <w:t>Feature Roadmap: Current Build vs. Future Enhancements</w:t>
      </w:r>
    </w:p>
    <w:p w:rsidR="0AF0D58D" w:rsidP="295D06E8" w:rsidRDefault="0AF0D58D" w14:paraId="56633453" w14:textId="53965F64">
      <w:pPr>
        <w:pStyle w:val="Normal"/>
        <w:spacing w:before="240" w:beforeAutospacing="off" w:after="240" w:afterAutospacing="off"/>
        <w:ind w:left="0"/>
        <w:jc w:val="both"/>
        <w:rPr>
          <w:rFonts w:ascii="Verdana" w:hAnsi="Verdana" w:eastAsia="Verdana" w:cs="Verdana" w:asciiTheme="minorAscii" w:hAnsiTheme="minorAscii" w:eastAsiaTheme="minorAscii" w:cstheme="minorBidi"/>
          <w:i w:val="0"/>
          <w:iCs w:val="0"/>
          <w:noProof w:val="0"/>
          <w:color w:val="auto"/>
          <w:sz w:val="18"/>
          <w:szCs w:val="18"/>
          <w:lang w:val="en-US" w:eastAsia="en-US" w:bidi="ar-SA"/>
        </w:rPr>
      </w:pPr>
      <w:r w:rsidRPr="295D06E8" w:rsidR="0AF0D58D">
        <w:rPr>
          <w:rFonts w:ascii="Verdana" w:hAnsi="Verdana" w:eastAsia="Verdana" w:cs="Verdana"/>
          <w:i w:val="0"/>
          <w:iCs w:val="0"/>
          <w:noProof w:val="0"/>
          <w:sz w:val="18"/>
          <w:szCs w:val="18"/>
          <w:lang w:val="en-US"/>
        </w:rPr>
        <w:t>The development of the AI-Powered Chronic Care Coordination Agent follows a phased approach, moving from foundational process automation to complex, predictive clinical reasoning. The table below contrasts the limitations of current legacy systems with the features of the proposed capstone and the planned future state.</w:t>
      </w:r>
      <w:r w:rsidRPr="295D06E8" w:rsidR="391095D6">
        <w:rPr>
          <w:rFonts w:ascii="Verdana" w:hAnsi="Verdana" w:eastAsia="Verdana" w:cs="Verdana"/>
          <w:i w:val="0"/>
          <w:iCs w:val="0"/>
          <w:noProof w:val="0"/>
          <w:sz w:val="18"/>
          <w:szCs w:val="18"/>
          <w:lang w:val="en-US"/>
        </w:rPr>
        <w:t xml:space="preserve"> </w:t>
      </w:r>
      <w:r w:rsidRPr="295D06E8" w:rsidR="2B2CF888">
        <w:rPr>
          <w:rFonts w:ascii="Verdana" w:hAnsi="Verdana" w:eastAsia="Verdana" w:cs="Verdana" w:asciiTheme="minorAscii" w:hAnsiTheme="minorAscii" w:eastAsiaTheme="minorAscii" w:cstheme="minorBidi"/>
          <w:i w:val="0"/>
          <w:iCs w:val="0"/>
          <w:noProof w:val="0"/>
          <w:color w:val="auto"/>
          <w:sz w:val="18"/>
          <w:szCs w:val="18"/>
          <w:lang w:val="en-US" w:eastAsia="en-US" w:bidi="ar-SA"/>
        </w:rPr>
        <w:t>(see Appendix, Table 2)</w:t>
      </w:r>
    </w:p>
    <w:p w:rsidR="0AF0D58D" w:rsidP="295D06E8" w:rsidRDefault="0AF0D58D" w14:paraId="6621D2B2" w14:textId="732057A7">
      <w:pPr>
        <w:pStyle w:val="Normal"/>
        <w:suppressLineNumbers w:val="0"/>
        <w:bidi w:val="0"/>
        <w:spacing w:before="240" w:beforeAutospacing="off" w:after="240" w:afterAutospacing="off" w:line="240" w:lineRule="auto"/>
        <w:ind w:left="0" w:right="0"/>
        <w:jc w:val="both"/>
        <w:rPr>
          <w:rFonts w:ascii="Verdana" w:hAnsi="Verdana" w:eastAsia="Verdana" w:cs="Verdana"/>
          <w:b w:val="1"/>
          <w:bCs w:val="1"/>
          <w:i w:val="0"/>
          <w:iCs w:val="0"/>
          <w:noProof w:val="0"/>
          <w:sz w:val="18"/>
          <w:szCs w:val="18"/>
          <w:lang w:val="en-US"/>
        </w:rPr>
      </w:pPr>
      <w:r w:rsidRPr="295D06E8" w:rsidR="0AF0D58D">
        <w:rPr>
          <w:rFonts w:ascii="Verdana" w:hAnsi="Verdana" w:eastAsia="Verdana" w:cs="Verdana"/>
          <w:b w:val="1"/>
          <w:bCs w:val="1"/>
          <w:i w:val="0"/>
          <w:iCs w:val="0"/>
          <w:noProof w:val="0"/>
          <w:sz w:val="18"/>
          <w:szCs w:val="18"/>
          <w:lang w:val="en-US"/>
        </w:rPr>
        <w:t>4.1 Current Functional Focus (The MVP)</w:t>
      </w:r>
    </w:p>
    <w:p w:rsidR="0AF0D58D" w:rsidP="295D06E8" w:rsidRDefault="0AF0D58D" w14:paraId="15903080" w14:textId="1453F5A5">
      <w:pPr>
        <w:spacing w:before="240" w:beforeAutospacing="off" w:after="240" w:afterAutospacing="off"/>
        <w:jc w:val="both"/>
        <w:rPr>
          <w:rFonts w:ascii="Verdana" w:hAnsi="Verdana" w:eastAsia="Verdana" w:cs="Verdana"/>
          <w:i w:val="0"/>
          <w:iCs w:val="0"/>
          <w:noProof w:val="0"/>
          <w:sz w:val="18"/>
          <w:szCs w:val="18"/>
          <w:lang w:val="en-US"/>
        </w:rPr>
      </w:pPr>
      <w:r w:rsidRPr="295D06E8" w:rsidR="0AF0D58D">
        <w:rPr>
          <w:rFonts w:ascii="Verdana" w:hAnsi="Verdana" w:eastAsia="Verdana" w:cs="Verdana"/>
          <w:i w:val="0"/>
          <w:iCs w:val="0"/>
          <w:noProof w:val="0"/>
          <w:sz w:val="18"/>
          <w:szCs w:val="18"/>
          <w:lang w:val="en-US"/>
        </w:rPr>
        <w:t xml:space="preserve">The current version of the agent prioritizes the "Reasoning Engine" and "Ingestion Agent." By utilizing </w:t>
      </w:r>
      <w:r w:rsidRPr="295D06E8" w:rsidR="0AF0D58D">
        <w:rPr>
          <w:rFonts w:ascii="Verdana" w:hAnsi="Verdana" w:eastAsia="Verdana" w:cs="Verdana"/>
          <w:b w:val="1"/>
          <w:bCs w:val="1"/>
          <w:i w:val="0"/>
          <w:iCs w:val="0"/>
          <w:noProof w:val="0"/>
          <w:sz w:val="18"/>
          <w:szCs w:val="18"/>
          <w:lang w:val="en-US"/>
        </w:rPr>
        <w:t>FastAPI</w:t>
      </w:r>
      <w:r w:rsidRPr="295D06E8" w:rsidR="0AF0D58D">
        <w:rPr>
          <w:rFonts w:ascii="Verdana" w:hAnsi="Verdana" w:eastAsia="Verdana" w:cs="Verdana"/>
          <w:i w:val="0"/>
          <w:iCs w:val="0"/>
          <w:noProof w:val="0"/>
          <w:sz w:val="18"/>
          <w:szCs w:val="18"/>
          <w:lang w:val="en-US"/>
        </w:rPr>
        <w:t xml:space="preserve"> and </w:t>
      </w:r>
      <w:r w:rsidRPr="295D06E8" w:rsidR="0AF0D58D">
        <w:rPr>
          <w:rFonts w:ascii="Verdana" w:hAnsi="Verdana" w:eastAsia="Verdana" w:cs="Verdana"/>
          <w:b w:val="1"/>
          <w:bCs w:val="1"/>
          <w:i w:val="0"/>
          <w:iCs w:val="0"/>
          <w:noProof w:val="0"/>
          <w:sz w:val="18"/>
          <w:szCs w:val="18"/>
          <w:lang w:val="en-US"/>
        </w:rPr>
        <w:t>FHIR-based APIs</w:t>
      </w:r>
      <w:r w:rsidRPr="295D06E8" w:rsidR="0AF0D58D">
        <w:rPr>
          <w:rFonts w:ascii="Verdana" w:hAnsi="Verdana" w:eastAsia="Verdana" w:cs="Verdana"/>
          <w:i w:val="0"/>
          <w:iCs w:val="0"/>
          <w:noProof w:val="0"/>
          <w:sz w:val="18"/>
          <w:szCs w:val="18"/>
          <w:lang w:val="en-US"/>
        </w:rPr>
        <w:t xml:space="preserve">, the agent can pull real-time data from disparate hospital systems to </w:t>
      </w:r>
      <w:r w:rsidRPr="295D06E8" w:rsidR="0AF0D58D">
        <w:rPr>
          <w:rFonts w:ascii="Verdana" w:hAnsi="Verdana" w:eastAsia="Verdana" w:cs="Verdana"/>
          <w:i w:val="0"/>
          <w:iCs w:val="0"/>
          <w:noProof w:val="0"/>
          <w:sz w:val="18"/>
          <w:szCs w:val="18"/>
          <w:lang w:val="en-US"/>
        </w:rPr>
        <w:t>identify</w:t>
      </w:r>
      <w:r w:rsidRPr="295D06E8" w:rsidR="0AF0D58D">
        <w:rPr>
          <w:rFonts w:ascii="Verdana" w:hAnsi="Verdana" w:eastAsia="Verdana" w:cs="Verdana"/>
          <w:i w:val="0"/>
          <w:iCs w:val="0"/>
          <w:noProof w:val="0"/>
          <w:sz w:val="18"/>
          <w:szCs w:val="18"/>
          <w:lang w:val="en-US"/>
        </w:rPr>
        <w:t xml:space="preserve"> immediate care gaps, such as a diabetic patient missing an annual eye exam or a hypertensive patient whose medication reconciliation is overdue. The core innovation in this build is the use of Generation-Assisted Vector Search (GAVS), which significantly reduces "hallucinations" when mapping unstructured clinical notes to FHIR-compliant resources.</w:t>
      </w:r>
    </w:p>
    <w:p w:rsidR="0AF0D58D" w:rsidP="295D06E8" w:rsidRDefault="0AF0D58D" w14:paraId="705A4AF5" w14:textId="0DC8FECB">
      <w:pPr>
        <w:pStyle w:val="Normal"/>
        <w:suppressLineNumbers w:val="0"/>
        <w:bidi w:val="0"/>
        <w:spacing w:before="240" w:beforeAutospacing="off" w:after="240" w:afterAutospacing="off" w:line="240" w:lineRule="auto"/>
        <w:ind w:left="0" w:right="0"/>
        <w:jc w:val="both"/>
        <w:rPr>
          <w:rFonts w:ascii="Verdana" w:hAnsi="Verdana" w:eastAsia="Verdana" w:cs="Verdana"/>
          <w:b w:val="1"/>
          <w:bCs w:val="1"/>
          <w:i w:val="0"/>
          <w:iCs w:val="0"/>
          <w:noProof w:val="0"/>
          <w:sz w:val="18"/>
          <w:szCs w:val="18"/>
          <w:lang w:val="en-US"/>
        </w:rPr>
      </w:pPr>
      <w:r w:rsidRPr="295D06E8" w:rsidR="0AF0D58D">
        <w:rPr>
          <w:rFonts w:ascii="Verdana" w:hAnsi="Verdana" w:eastAsia="Verdana" w:cs="Verdana"/>
          <w:b w:val="1"/>
          <w:bCs w:val="1"/>
          <w:i w:val="0"/>
          <w:iCs w:val="0"/>
          <w:noProof w:val="0"/>
          <w:sz w:val="18"/>
          <w:szCs w:val="18"/>
          <w:lang w:val="en-US"/>
        </w:rPr>
        <w:t>4.2 Future Technical Horizons</w:t>
      </w:r>
    </w:p>
    <w:p w:rsidR="0AF0D58D" w:rsidP="295D06E8" w:rsidRDefault="0AF0D58D" w14:paraId="32ECD93A" w14:textId="087B9584">
      <w:pPr>
        <w:spacing w:before="240" w:beforeAutospacing="off" w:after="240" w:afterAutospacing="off"/>
        <w:jc w:val="both"/>
        <w:rPr>
          <w:rFonts w:ascii="Verdana" w:hAnsi="Verdana" w:eastAsia="Verdana" w:cs="Verdana"/>
          <w:i w:val="0"/>
          <w:iCs w:val="0"/>
          <w:noProof w:val="0"/>
          <w:sz w:val="18"/>
          <w:szCs w:val="18"/>
          <w:lang w:val="en-US"/>
        </w:rPr>
      </w:pPr>
      <w:r w:rsidRPr="3471A06A" w:rsidR="0AF0D58D">
        <w:rPr>
          <w:rFonts w:ascii="Verdana" w:hAnsi="Verdana" w:eastAsia="Verdana" w:cs="Verdana"/>
          <w:i w:val="0"/>
          <w:iCs w:val="0"/>
          <w:noProof w:val="0"/>
          <w:sz w:val="18"/>
          <w:szCs w:val="18"/>
          <w:lang w:val="en-US"/>
        </w:rPr>
        <w:t xml:space="preserve">Future iterations will focus on the transition from process management to biological modeling. The integration of </w:t>
      </w:r>
      <w:r w:rsidRPr="3471A06A" w:rsidR="0AF0D58D">
        <w:rPr>
          <w:rFonts w:ascii="Verdana" w:hAnsi="Verdana" w:eastAsia="Verdana" w:cs="Verdana"/>
          <w:b w:val="1"/>
          <w:bCs w:val="1"/>
          <w:i w:val="0"/>
          <w:iCs w:val="0"/>
          <w:noProof w:val="0"/>
          <w:sz w:val="18"/>
          <w:szCs w:val="18"/>
          <w:lang w:val="en-US"/>
        </w:rPr>
        <w:t>Patient Medical Digital Twins (PMDT)</w:t>
      </w:r>
      <w:r w:rsidRPr="3471A06A" w:rsidR="0AF0D58D">
        <w:rPr>
          <w:rFonts w:ascii="Verdana" w:hAnsi="Verdana" w:eastAsia="Verdana" w:cs="Verdana"/>
          <w:i w:val="0"/>
          <w:iCs w:val="0"/>
          <w:noProof w:val="0"/>
          <w:sz w:val="18"/>
          <w:szCs w:val="18"/>
          <w:lang w:val="en-US"/>
        </w:rPr>
        <w:t xml:space="preserve"> will allow the agent to move beyond tracking if a lab was done to </w:t>
      </w:r>
      <w:r w:rsidRPr="3471A06A" w:rsidR="0AF0D58D">
        <w:rPr>
          <w:rFonts w:ascii="Verdana" w:hAnsi="Verdana" w:eastAsia="Verdana" w:cs="Verdana"/>
          <w:i w:val="0"/>
          <w:iCs w:val="0"/>
          <w:noProof w:val="0"/>
          <w:sz w:val="18"/>
          <w:szCs w:val="18"/>
          <w:lang w:val="en-US"/>
        </w:rPr>
        <w:t>predicting</w:t>
      </w:r>
      <w:r w:rsidRPr="3471A06A" w:rsidR="0AF0D58D">
        <w:rPr>
          <w:rFonts w:ascii="Verdana" w:hAnsi="Verdana" w:eastAsia="Verdana" w:cs="Verdana"/>
          <w:i w:val="0"/>
          <w:iCs w:val="0"/>
          <w:noProof w:val="0"/>
          <w:sz w:val="18"/>
          <w:szCs w:val="18"/>
          <w:lang w:val="en-US"/>
        </w:rPr>
        <w:t xml:space="preserve"> how a patient will respond to a specific dosage change based on their unique genomic and behavioral profile. Additionally, the roadmap includes the integration of Continuous Remote Monitoring (RPM) data from wearable sensors, allowing the agent to detect early physiological "deviations" (e.g., sudden glucose spikes or irregular heart rhythms) before they escalate into hospitalizations.</w:t>
      </w:r>
    </w:p>
    <w:p w:rsidR="39C0A71A" w:rsidP="3471A06A" w:rsidRDefault="39C0A71A" w14:paraId="5483BBD4" w14:textId="3990184A">
      <w:pPr>
        <w:pStyle w:val="ListParagraph"/>
        <w:numPr>
          <w:ilvl w:val="0"/>
          <w:numId w:val="4"/>
        </w:numPr>
        <w:spacing w:beforeAutospacing="on" w:afterAutospacing="on"/>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3471A06A" w:rsidR="39C0A71A">
        <w:rPr>
          <w:rFonts w:ascii="Verdana" w:hAnsi="Verdana" w:eastAsia="Verdana" w:cs="Verdana"/>
          <w:b w:val="1"/>
          <w:bCs w:val="1"/>
          <w:i w:val="0"/>
          <w:iCs w:val="0"/>
          <w:caps w:val="0"/>
          <w:smallCaps w:val="0"/>
          <w:noProof w:val="0"/>
          <w:color w:val="000000" w:themeColor="text1" w:themeTint="FF" w:themeShade="FF"/>
          <w:sz w:val="18"/>
          <w:szCs w:val="18"/>
          <w:lang w:val="en-US"/>
        </w:rPr>
        <w:t>A</w:t>
      </w:r>
      <w:r w:rsidRPr="3471A06A" w:rsidR="39C0A71A">
        <w:rPr>
          <w:rFonts w:ascii="Verdana" w:hAnsi="Verdana" w:eastAsia="Verdana" w:cs="Verdana"/>
          <w:b w:val="1"/>
          <w:bCs w:val="1"/>
          <w:i w:val="0"/>
          <w:iCs w:val="0"/>
          <w:caps w:val="0"/>
          <w:smallCaps w:val="0"/>
          <w:noProof w:val="0"/>
          <w:color w:val="000000" w:themeColor="text1" w:themeTint="FF" w:themeShade="FF"/>
          <w:sz w:val="18"/>
          <w:szCs w:val="18"/>
          <w:lang w:val="en-US"/>
        </w:rPr>
        <w:t>p</w:t>
      </w:r>
      <w:r w:rsidRPr="3471A06A" w:rsidR="39C0A71A">
        <w:rPr>
          <w:rFonts w:ascii="Verdana" w:hAnsi="Verdana" w:eastAsia="Verdana" w:cs="Verdana"/>
          <w:b w:val="1"/>
          <w:bCs w:val="1"/>
          <w:i w:val="0"/>
          <w:iCs w:val="0"/>
          <w:caps w:val="0"/>
          <w:smallCaps w:val="0"/>
          <w:noProof w:val="0"/>
          <w:color w:val="000000" w:themeColor="text1" w:themeTint="FF" w:themeShade="FF"/>
          <w:sz w:val="18"/>
          <w:szCs w:val="18"/>
          <w:lang w:val="en-US"/>
        </w:rPr>
        <w:t>p</w:t>
      </w:r>
      <w:r w:rsidRPr="3471A06A" w:rsidR="39C0A71A">
        <w:rPr>
          <w:rFonts w:ascii="Verdana" w:hAnsi="Verdana" w:eastAsia="Verdana" w:cs="Verdana"/>
          <w:b w:val="1"/>
          <w:bCs w:val="1"/>
          <w:i w:val="0"/>
          <w:iCs w:val="0"/>
          <w:caps w:val="0"/>
          <w:smallCaps w:val="0"/>
          <w:noProof w:val="0"/>
          <w:color w:val="000000" w:themeColor="text1" w:themeTint="FF" w:themeShade="FF"/>
          <w:sz w:val="18"/>
          <w:szCs w:val="18"/>
          <w:lang w:val="en-US"/>
        </w:rPr>
        <w:t>r</w:t>
      </w:r>
      <w:r w:rsidRPr="3471A06A" w:rsidR="39C0A71A">
        <w:rPr>
          <w:rFonts w:ascii="Verdana" w:hAnsi="Verdana" w:eastAsia="Verdana" w:cs="Verdana"/>
          <w:b w:val="1"/>
          <w:bCs w:val="1"/>
          <w:i w:val="0"/>
          <w:iCs w:val="0"/>
          <w:caps w:val="0"/>
          <w:smallCaps w:val="0"/>
          <w:noProof w:val="0"/>
          <w:color w:val="000000" w:themeColor="text1" w:themeTint="FF" w:themeShade="FF"/>
          <w:sz w:val="18"/>
          <w:szCs w:val="18"/>
          <w:lang w:val="en-US"/>
        </w:rPr>
        <w:t>o</w:t>
      </w:r>
      <w:r w:rsidRPr="3471A06A" w:rsidR="39C0A71A">
        <w:rPr>
          <w:rFonts w:ascii="Verdana" w:hAnsi="Verdana" w:eastAsia="Verdana" w:cs="Verdana"/>
          <w:b w:val="1"/>
          <w:bCs w:val="1"/>
          <w:i w:val="0"/>
          <w:iCs w:val="0"/>
          <w:caps w:val="0"/>
          <w:smallCaps w:val="0"/>
          <w:noProof w:val="0"/>
          <w:color w:val="000000" w:themeColor="text1" w:themeTint="FF" w:themeShade="FF"/>
          <w:sz w:val="18"/>
          <w:szCs w:val="18"/>
          <w:lang w:val="en-US"/>
        </w:rPr>
        <w:t>a</w:t>
      </w:r>
      <w:r w:rsidRPr="3471A06A" w:rsidR="39C0A71A">
        <w:rPr>
          <w:rFonts w:ascii="Verdana" w:hAnsi="Verdana" w:eastAsia="Verdana" w:cs="Verdana"/>
          <w:b w:val="1"/>
          <w:bCs w:val="1"/>
          <w:i w:val="0"/>
          <w:iCs w:val="0"/>
          <w:caps w:val="0"/>
          <w:smallCaps w:val="0"/>
          <w:noProof w:val="0"/>
          <w:color w:val="000000" w:themeColor="text1" w:themeTint="FF" w:themeShade="FF"/>
          <w:sz w:val="18"/>
          <w:szCs w:val="18"/>
          <w:lang w:val="en-US"/>
        </w:rPr>
        <w:t>c</w:t>
      </w:r>
      <w:r w:rsidRPr="3471A06A" w:rsidR="39C0A71A">
        <w:rPr>
          <w:rFonts w:ascii="Verdana" w:hAnsi="Verdana" w:eastAsia="Verdana" w:cs="Verdana"/>
          <w:b w:val="1"/>
          <w:bCs w:val="1"/>
          <w:i w:val="0"/>
          <w:iCs w:val="0"/>
          <w:caps w:val="0"/>
          <w:smallCaps w:val="0"/>
          <w:noProof w:val="0"/>
          <w:color w:val="000000" w:themeColor="text1" w:themeTint="FF" w:themeShade="FF"/>
          <w:sz w:val="18"/>
          <w:szCs w:val="18"/>
          <w:lang w:val="en-US"/>
        </w:rPr>
        <w:t>h</w:t>
      </w:r>
    </w:p>
    <w:p w:rsidR="438050ED" w:rsidP="3471A06A" w:rsidRDefault="438050ED" w14:paraId="4E3C6FF8" w14:textId="5ECD9D77">
      <w:pPr>
        <w:spacing w:before="0" w:beforeAutospacing="off"/>
        <w:jc w:val="both"/>
      </w:pPr>
      <w:r w:rsidRPr="3471A06A" w:rsidR="438050ED">
        <w:rPr>
          <w:rFonts w:ascii="Verdana" w:hAnsi="Verdana" w:eastAsia="Verdana" w:cs="Verdana"/>
          <w:noProof w:val="0"/>
          <w:sz w:val="18"/>
          <w:szCs w:val="18"/>
          <w:lang w:val="en-US"/>
        </w:rPr>
        <w:t xml:space="preserve">This project adopts a </w:t>
      </w:r>
      <w:r w:rsidRPr="3471A06A" w:rsidR="438050ED">
        <w:rPr>
          <w:rFonts w:ascii="Verdana" w:hAnsi="Verdana" w:eastAsia="Verdana" w:cs="Verdana"/>
          <w:b w:val="1"/>
          <w:bCs w:val="1"/>
          <w:noProof w:val="0"/>
          <w:sz w:val="18"/>
          <w:szCs w:val="18"/>
          <w:lang w:val="en-US"/>
        </w:rPr>
        <w:t>Protocol-First Software Engineering Strategy</w:t>
      </w:r>
      <w:r w:rsidRPr="3471A06A" w:rsidR="438050ED">
        <w:rPr>
          <w:rFonts w:ascii="Verdana" w:hAnsi="Verdana" w:eastAsia="Verdana" w:cs="Verdana"/>
          <w:noProof w:val="0"/>
          <w:sz w:val="18"/>
          <w:szCs w:val="18"/>
          <w:lang w:val="en-US"/>
        </w:rPr>
        <w:t xml:space="preserve">, utilizing the </w:t>
      </w:r>
      <w:r w:rsidRPr="3471A06A" w:rsidR="438050ED">
        <w:rPr>
          <w:rFonts w:ascii="Verdana" w:hAnsi="Verdana" w:eastAsia="Verdana" w:cs="Verdana"/>
          <w:b w:val="1"/>
          <w:bCs w:val="1"/>
          <w:noProof w:val="0"/>
          <w:sz w:val="18"/>
          <w:szCs w:val="18"/>
          <w:lang w:val="en-US"/>
        </w:rPr>
        <w:t>Model Context Protocol (MCP-AI)</w:t>
      </w:r>
      <w:r w:rsidRPr="3471A06A" w:rsidR="438050ED">
        <w:rPr>
          <w:rFonts w:ascii="Verdana" w:hAnsi="Verdana" w:eastAsia="Verdana" w:cs="Verdana"/>
          <w:noProof w:val="0"/>
          <w:sz w:val="18"/>
          <w:szCs w:val="18"/>
          <w:lang w:val="en-US"/>
        </w:rPr>
        <w:t xml:space="preserve"> to bridge the gap between generative AI and legacy healthcare data. The approach transitions from traditional, reactive clinical decision support to </w:t>
      </w:r>
      <w:r w:rsidRPr="3471A06A" w:rsidR="438050ED">
        <w:rPr>
          <w:rFonts w:ascii="Verdana" w:hAnsi="Verdana" w:eastAsia="Verdana" w:cs="Verdana"/>
          <w:b w:val="1"/>
          <w:bCs w:val="1"/>
          <w:noProof w:val="0"/>
          <w:sz w:val="18"/>
          <w:szCs w:val="18"/>
          <w:lang w:val="en-US"/>
        </w:rPr>
        <w:t>Agentic AI</w:t>
      </w:r>
      <w:r w:rsidRPr="3471A06A" w:rsidR="438050ED">
        <w:rPr>
          <w:rFonts w:ascii="Verdana" w:hAnsi="Verdana" w:eastAsia="Verdana" w:cs="Verdana"/>
          <w:noProof w:val="0"/>
          <w:sz w:val="18"/>
          <w:szCs w:val="18"/>
          <w:lang w:val="en-US"/>
        </w:rPr>
        <w:t>, characterized by goal-directed behavior and autonomous task decomposition.</w:t>
      </w:r>
    </w:p>
    <w:p w:rsidR="438050ED" w:rsidP="3471A06A" w:rsidRDefault="438050ED" w14:paraId="2F592C63" w14:textId="048BE71E">
      <w:pPr>
        <w:spacing w:before="0" w:beforeAutospacing="off"/>
        <w:jc w:val="both"/>
      </w:pPr>
      <w:r w:rsidRPr="3471A06A" w:rsidR="438050ED">
        <w:rPr>
          <w:rFonts w:ascii="Verdana" w:hAnsi="Verdana" w:eastAsia="Verdana" w:cs="Verdana"/>
          <w:noProof w:val="0"/>
          <w:sz w:val="18"/>
          <w:szCs w:val="18"/>
          <w:lang w:val="en-US"/>
        </w:rPr>
        <w:t>The methodology follows three primary phases:</w:t>
      </w:r>
    </w:p>
    <w:p w:rsidR="3471A06A" w:rsidP="3471A06A" w:rsidRDefault="3471A06A" w14:paraId="279C62D7" w14:textId="2DE51219">
      <w:pPr>
        <w:spacing w:before="0" w:beforeAutospacing="off"/>
        <w:jc w:val="both"/>
        <w:rPr>
          <w:rFonts w:ascii="Verdana" w:hAnsi="Verdana" w:eastAsia="Verdana" w:cs="Verdana"/>
          <w:noProof w:val="0"/>
          <w:sz w:val="18"/>
          <w:szCs w:val="18"/>
          <w:lang w:val="en-US"/>
        </w:rPr>
      </w:pPr>
    </w:p>
    <w:p w:rsidR="438050ED" w:rsidP="3471A06A" w:rsidRDefault="438050ED" w14:paraId="1C06AEFF" w14:textId="7FD93A6E">
      <w:pPr>
        <w:pStyle w:val="Normal"/>
        <w:spacing w:before="0" w:beforeAutospacing="off"/>
        <w:ind w:left="0"/>
        <w:jc w:val="both"/>
        <w:rPr>
          <w:rFonts w:ascii="Verdana" w:hAnsi="Verdana" w:eastAsia="Verdana" w:cs="Verdana"/>
          <w:noProof w:val="0"/>
          <w:sz w:val="18"/>
          <w:szCs w:val="18"/>
          <w:lang w:val="en-US"/>
        </w:rPr>
      </w:pPr>
      <w:r w:rsidRPr="3471A06A" w:rsidR="438050ED">
        <w:rPr>
          <w:rFonts w:ascii="Verdana" w:hAnsi="Verdana" w:eastAsia="Verdana" w:cs="Verdana"/>
          <w:b w:val="1"/>
          <w:bCs w:val="1"/>
          <w:noProof w:val="0"/>
          <w:sz w:val="18"/>
          <w:szCs w:val="18"/>
          <w:lang w:val="en-US"/>
        </w:rPr>
        <w:t>Multi-Agent Logic:</w:t>
      </w:r>
      <w:r w:rsidRPr="3471A06A" w:rsidR="438050ED">
        <w:rPr>
          <w:rFonts w:ascii="Verdana" w:hAnsi="Verdana" w:eastAsia="Verdana" w:cs="Verdana"/>
          <w:noProof w:val="0"/>
          <w:sz w:val="18"/>
          <w:szCs w:val="18"/>
          <w:lang w:val="en-US"/>
        </w:rPr>
        <w:t xml:space="preserve"> Rather than a monolithic system, the workload is distributed across specialized agents. This design is rooted in 2026 research from Mount Sinai, which </w:t>
      </w:r>
      <w:r w:rsidRPr="3471A06A" w:rsidR="438050ED">
        <w:rPr>
          <w:rFonts w:ascii="Verdana" w:hAnsi="Verdana" w:eastAsia="Verdana" w:cs="Verdana"/>
          <w:noProof w:val="0"/>
          <w:sz w:val="18"/>
          <w:szCs w:val="18"/>
          <w:lang w:val="en-US"/>
        </w:rPr>
        <w:t>demonstrated</w:t>
      </w:r>
      <w:r w:rsidRPr="3471A06A" w:rsidR="438050ED">
        <w:rPr>
          <w:rFonts w:ascii="Verdana" w:hAnsi="Verdana" w:eastAsia="Verdana" w:cs="Verdana"/>
          <w:noProof w:val="0"/>
          <w:sz w:val="18"/>
          <w:szCs w:val="18"/>
          <w:lang w:val="en-US"/>
        </w:rPr>
        <w:t xml:space="preserve"> that orchestrated multi-agent systems </w:t>
      </w:r>
      <w:r w:rsidRPr="3471A06A" w:rsidR="438050ED">
        <w:rPr>
          <w:rFonts w:ascii="Verdana" w:hAnsi="Verdana" w:eastAsia="Verdana" w:cs="Verdana"/>
          <w:noProof w:val="0"/>
          <w:sz w:val="18"/>
          <w:szCs w:val="18"/>
          <w:lang w:val="en-US"/>
        </w:rPr>
        <w:t>maintain</w:t>
      </w:r>
      <w:r w:rsidRPr="3471A06A" w:rsidR="438050ED">
        <w:rPr>
          <w:rFonts w:ascii="Verdana" w:hAnsi="Verdana" w:eastAsia="Verdana" w:cs="Verdana"/>
          <w:noProof w:val="0"/>
          <w:sz w:val="18"/>
          <w:szCs w:val="18"/>
          <w:lang w:val="en-US"/>
        </w:rPr>
        <w:t xml:space="preserve"> high accuracy under clinical-scale workloads while </w:t>
      </w:r>
      <w:r w:rsidRPr="3471A06A" w:rsidR="438050ED">
        <w:rPr>
          <w:rFonts w:ascii="Verdana" w:hAnsi="Verdana" w:eastAsia="Verdana" w:cs="Verdana"/>
          <w:noProof w:val="0"/>
          <w:sz w:val="18"/>
          <w:szCs w:val="18"/>
          <w:lang w:val="en-US"/>
        </w:rPr>
        <w:t>utilizing</w:t>
      </w:r>
      <w:r w:rsidRPr="3471A06A" w:rsidR="438050ED">
        <w:rPr>
          <w:rFonts w:ascii="Verdana" w:hAnsi="Verdana" w:eastAsia="Verdana" w:cs="Verdana"/>
          <w:noProof w:val="0"/>
          <w:sz w:val="18"/>
          <w:szCs w:val="18"/>
          <w:lang w:val="en-US"/>
        </w:rPr>
        <w:t xml:space="preserve"> up to $65$ times fewer compute resources than single-agent models.</w:t>
      </w:r>
    </w:p>
    <w:p w:rsidR="3471A06A" w:rsidP="3471A06A" w:rsidRDefault="3471A06A" w14:paraId="4A45CC0A" w14:textId="340222EC">
      <w:pPr>
        <w:pStyle w:val="Normal"/>
        <w:spacing w:before="0" w:beforeAutospacing="off"/>
        <w:ind w:left="0"/>
        <w:jc w:val="both"/>
        <w:rPr>
          <w:rFonts w:ascii="Verdana" w:hAnsi="Verdana" w:eastAsia="Verdana" w:cs="Verdana"/>
          <w:b w:val="1"/>
          <w:bCs w:val="1"/>
          <w:noProof w:val="0"/>
          <w:sz w:val="18"/>
          <w:szCs w:val="18"/>
          <w:lang w:val="en-US"/>
        </w:rPr>
      </w:pPr>
    </w:p>
    <w:p w:rsidR="438050ED" w:rsidP="3471A06A" w:rsidRDefault="438050ED" w14:paraId="167FA231" w14:textId="08EB687D">
      <w:pPr>
        <w:pStyle w:val="Normal"/>
        <w:spacing w:before="0" w:beforeAutospacing="off"/>
        <w:ind w:left="0"/>
        <w:jc w:val="both"/>
        <w:rPr>
          <w:rFonts w:ascii="Verdana" w:hAnsi="Verdana" w:eastAsia="Verdana" w:cs="Verdana"/>
          <w:noProof w:val="0"/>
          <w:sz w:val="18"/>
          <w:szCs w:val="18"/>
          <w:lang w:val="en-US"/>
        </w:rPr>
      </w:pPr>
      <w:r w:rsidRPr="3471A06A" w:rsidR="438050ED">
        <w:rPr>
          <w:rFonts w:ascii="Verdana" w:hAnsi="Verdana" w:eastAsia="Verdana" w:cs="Verdana"/>
          <w:b w:val="1"/>
          <w:bCs w:val="1"/>
          <w:noProof w:val="0"/>
          <w:sz w:val="18"/>
          <w:szCs w:val="18"/>
          <w:lang w:val="en-US"/>
        </w:rPr>
        <w:t>Vertical Slice Prototyping:</w:t>
      </w:r>
      <w:r w:rsidRPr="3471A06A" w:rsidR="438050ED">
        <w:rPr>
          <w:rFonts w:ascii="Verdana" w:hAnsi="Verdana" w:eastAsia="Verdana" w:cs="Verdana"/>
          <w:noProof w:val="0"/>
          <w:sz w:val="18"/>
          <w:szCs w:val="18"/>
          <w:lang w:val="en-US"/>
        </w:rPr>
        <w:t xml:space="preserve"> The implementation focuses on hypertension care as a representative use case for chronic care. This allows for deep testing of specific data paths, from blood pressure (BP) ingestion to care-gap reasoning within a controlled "slice" of the broader clinical ecosystem.</w:t>
      </w:r>
    </w:p>
    <w:p w:rsidR="3471A06A" w:rsidP="3471A06A" w:rsidRDefault="3471A06A" w14:paraId="156C6C8B" w14:textId="0887AE4A">
      <w:pPr>
        <w:pStyle w:val="Normal"/>
        <w:spacing w:before="0" w:beforeAutospacing="off"/>
        <w:ind w:left="0"/>
        <w:jc w:val="both"/>
        <w:rPr>
          <w:rFonts w:ascii="Verdana" w:hAnsi="Verdana" w:eastAsia="Verdana" w:cs="Verdana"/>
          <w:b w:val="1"/>
          <w:bCs w:val="1"/>
          <w:noProof w:val="0"/>
          <w:sz w:val="18"/>
          <w:szCs w:val="18"/>
          <w:lang w:val="en-US"/>
        </w:rPr>
      </w:pPr>
    </w:p>
    <w:p w:rsidR="438050ED" w:rsidP="3471A06A" w:rsidRDefault="438050ED" w14:paraId="736068FB" w14:textId="10D18A82">
      <w:pPr>
        <w:pStyle w:val="Normal"/>
        <w:spacing w:before="0" w:beforeAutospacing="off"/>
        <w:ind w:left="0"/>
        <w:jc w:val="both"/>
        <w:rPr>
          <w:rFonts w:ascii="Verdana" w:hAnsi="Verdana" w:eastAsia="Verdana" w:cs="Verdana"/>
          <w:noProof w:val="0"/>
          <w:sz w:val="18"/>
          <w:szCs w:val="18"/>
          <w:lang w:val="en-US"/>
        </w:rPr>
      </w:pPr>
      <w:r w:rsidRPr="3471A06A" w:rsidR="438050ED">
        <w:rPr>
          <w:rFonts w:ascii="Verdana" w:hAnsi="Verdana" w:eastAsia="Verdana" w:cs="Verdana"/>
          <w:b w:val="1"/>
          <w:bCs w:val="1"/>
          <w:noProof w:val="0"/>
          <w:sz w:val="18"/>
          <w:szCs w:val="18"/>
          <w:lang w:val="en-US"/>
        </w:rPr>
        <w:t>Human-on-the-Loop Governance:</w:t>
      </w:r>
      <w:r w:rsidRPr="3471A06A" w:rsidR="438050ED">
        <w:rPr>
          <w:rFonts w:ascii="Verdana" w:hAnsi="Verdana" w:eastAsia="Verdana" w:cs="Verdana"/>
          <w:noProof w:val="0"/>
          <w:sz w:val="18"/>
          <w:szCs w:val="18"/>
          <w:lang w:val="en-US"/>
        </w:rPr>
        <w:t xml:space="preserve"> The system is engineered to handle "Autopilot" administrative sequencing (e.g., </w:t>
      </w:r>
      <w:r w:rsidRPr="3471A06A" w:rsidR="438050ED">
        <w:rPr>
          <w:rFonts w:ascii="Verdana" w:hAnsi="Verdana" w:eastAsia="Verdana" w:cs="Verdana"/>
          <w:noProof w:val="0"/>
          <w:sz w:val="18"/>
          <w:szCs w:val="18"/>
          <w:lang w:val="en-US"/>
        </w:rPr>
        <w:t>monitoring</w:t>
      </w:r>
      <w:r w:rsidRPr="3471A06A" w:rsidR="438050ED">
        <w:rPr>
          <w:rFonts w:ascii="Verdana" w:hAnsi="Verdana" w:eastAsia="Verdana" w:cs="Verdana"/>
          <w:noProof w:val="0"/>
          <w:sz w:val="18"/>
          <w:szCs w:val="18"/>
          <w:lang w:val="en-US"/>
        </w:rPr>
        <w:t xml:space="preserve"> trends and generating alerts) while </w:t>
      </w:r>
      <w:r w:rsidRPr="3471A06A" w:rsidR="438050ED">
        <w:rPr>
          <w:rFonts w:ascii="Verdana" w:hAnsi="Verdana" w:eastAsia="Verdana" w:cs="Verdana"/>
          <w:noProof w:val="0"/>
          <w:sz w:val="18"/>
          <w:szCs w:val="18"/>
          <w:lang w:val="en-US"/>
        </w:rPr>
        <w:t>maintaining</w:t>
      </w:r>
      <w:r w:rsidRPr="3471A06A" w:rsidR="438050ED">
        <w:rPr>
          <w:rFonts w:ascii="Verdana" w:hAnsi="Verdana" w:eastAsia="Verdana" w:cs="Verdana"/>
          <w:noProof w:val="0"/>
          <w:sz w:val="18"/>
          <w:szCs w:val="18"/>
          <w:lang w:val="en-US"/>
        </w:rPr>
        <w:t xml:space="preserve"> a "Copilot" mode for clinical decisions, ensuring that every reasoning summary is subject to clinician approval before action.</w:t>
      </w:r>
    </w:p>
    <w:p w:rsidR="39C0A71A" w:rsidP="3471A06A" w:rsidRDefault="39C0A71A" w14:paraId="316E9A0F" w14:textId="36BE5F96">
      <w:pPr>
        <w:pStyle w:val="ListParagraph"/>
        <w:numPr>
          <w:ilvl w:val="0"/>
          <w:numId w:val="4"/>
        </w:numPr>
        <w:spacing w:beforeAutospacing="on" w:afterAutospacing="on"/>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3471A06A" w:rsidR="39C0A71A">
        <w:rPr>
          <w:rFonts w:ascii="Verdana" w:hAnsi="Verdana" w:eastAsia="Verdana" w:cs="Verdana"/>
          <w:b w:val="1"/>
          <w:bCs w:val="1"/>
          <w:i w:val="0"/>
          <w:iCs w:val="0"/>
          <w:caps w:val="0"/>
          <w:smallCaps w:val="0"/>
          <w:noProof w:val="0"/>
          <w:color w:val="000000" w:themeColor="text1" w:themeTint="FF" w:themeShade="FF"/>
          <w:sz w:val="18"/>
          <w:szCs w:val="18"/>
          <w:lang w:val="en-US"/>
        </w:rPr>
        <w:t>Design</w:t>
      </w:r>
    </w:p>
    <w:p w:rsidR="58BA1C21" w:rsidP="3471A06A" w:rsidRDefault="58BA1C21" w14:paraId="0F70A48F" w14:textId="5AFCF312">
      <w:pPr>
        <w:pStyle w:val="Normal"/>
        <w:spacing w:beforeAutospacing="on" w:afterAutospacing="on"/>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3471A06A" w:rsidR="58BA1C21">
        <w:rPr>
          <w:rFonts w:ascii="Verdana" w:hAnsi="Verdana" w:eastAsia="Verdana" w:cs="Verdana"/>
          <w:b w:val="1"/>
          <w:bCs w:val="1"/>
          <w:i w:val="0"/>
          <w:iCs w:val="0"/>
          <w:caps w:val="0"/>
          <w:smallCaps w:val="0"/>
          <w:noProof w:val="0"/>
          <w:color w:val="000000" w:themeColor="text1" w:themeTint="FF" w:themeShade="FF"/>
          <w:sz w:val="18"/>
          <w:szCs w:val="18"/>
          <w:lang w:val="en-US"/>
        </w:rPr>
        <w:t>6.1 Solution Architecture</w:t>
      </w:r>
    </w:p>
    <w:p w:rsidR="58BA1C21" w:rsidP="3471A06A" w:rsidRDefault="58BA1C21" w14:paraId="589366D9" w14:textId="4EE10456">
      <w:pPr>
        <w:spacing w:before="0" w:beforeAutospacing="off"/>
        <w:jc w:val="both"/>
      </w:pPr>
      <w:r w:rsidRPr="3471A06A" w:rsidR="58BA1C21">
        <w:rPr>
          <w:rFonts w:ascii="Verdana" w:hAnsi="Verdana" w:eastAsia="Verdana" w:cs="Verdana"/>
          <w:noProof w:val="0"/>
          <w:sz w:val="18"/>
          <w:szCs w:val="18"/>
          <w:lang w:val="en-US"/>
        </w:rPr>
        <w:t>The architecture is built on a four-tiered stack designed for high availability and semantic consistency:</w:t>
      </w:r>
    </w:p>
    <w:p w:rsidR="58BA1C21" w:rsidP="3471A06A" w:rsidRDefault="58BA1C21" w14:paraId="0E830A8D" w14:textId="78235FD0">
      <w:pPr>
        <w:pStyle w:val="Normal"/>
        <w:spacing w:before="0" w:beforeAutospacing="off"/>
        <w:ind w:left="0"/>
        <w:jc w:val="both"/>
        <w:rPr>
          <w:rFonts w:ascii="Verdana" w:hAnsi="Verdana" w:eastAsia="Verdana" w:cs="Verdana"/>
          <w:noProof w:val="0"/>
          <w:sz w:val="18"/>
          <w:szCs w:val="18"/>
          <w:lang w:val="en-US"/>
        </w:rPr>
      </w:pPr>
      <w:r w:rsidRPr="3471A06A" w:rsidR="58BA1C21">
        <w:rPr>
          <w:rFonts w:ascii="Verdana" w:hAnsi="Verdana" w:eastAsia="Verdana" w:cs="Verdana"/>
          <w:b w:val="1"/>
          <w:bCs w:val="1"/>
          <w:noProof w:val="0"/>
          <w:sz w:val="18"/>
          <w:szCs w:val="18"/>
          <w:lang w:val="en-US"/>
        </w:rPr>
        <w:t>User Experience Tier (React):</w:t>
      </w:r>
      <w:r w:rsidRPr="3471A06A" w:rsidR="58BA1C21">
        <w:rPr>
          <w:rFonts w:ascii="Verdana" w:hAnsi="Verdana" w:eastAsia="Verdana" w:cs="Verdana"/>
          <w:noProof w:val="0"/>
          <w:sz w:val="18"/>
          <w:szCs w:val="18"/>
          <w:lang w:val="en-US"/>
        </w:rPr>
        <w:t xml:space="preserve"> A role-based frontend designed for the "90-second clinician scan," prioritizing signal over noise.</w:t>
      </w:r>
    </w:p>
    <w:p w:rsidR="3471A06A" w:rsidP="3471A06A" w:rsidRDefault="3471A06A" w14:paraId="7C16A0CC" w14:textId="7DB11AD1">
      <w:pPr>
        <w:pStyle w:val="Normal"/>
        <w:spacing w:before="0" w:beforeAutospacing="off"/>
        <w:ind w:left="0"/>
        <w:jc w:val="both"/>
        <w:rPr>
          <w:rFonts w:ascii="Verdana" w:hAnsi="Verdana" w:eastAsia="Verdana" w:cs="Verdana"/>
          <w:noProof w:val="0"/>
          <w:sz w:val="18"/>
          <w:szCs w:val="18"/>
          <w:lang w:val="en-US"/>
        </w:rPr>
      </w:pPr>
    </w:p>
    <w:p w:rsidR="58BA1C21" w:rsidP="3471A06A" w:rsidRDefault="58BA1C21" w14:paraId="4D691763" w14:textId="7DFEB17F">
      <w:pPr>
        <w:pStyle w:val="Normal"/>
        <w:spacing w:before="0" w:beforeAutospacing="off"/>
        <w:ind w:left="0"/>
        <w:jc w:val="both"/>
        <w:rPr>
          <w:rFonts w:ascii="Verdana" w:hAnsi="Verdana" w:eastAsia="Verdana" w:cs="Verdana"/>
          <w:noProof w:val="0"/>
          <w:sz w:val="18"/>
          <w:szCs w:val="18"/>
          <w:lang w:val="en-US"/>
        </w:rPr>
      </w:pPr>
      <w:r w:rsidRPr="3471A06A" w:rsidR="58BA1C21">
        <w:rPr>
          <w:rFonts w:ascii="Verdana" w:hAnsi="Verdana" w:eastAsia="Verdana" w:cs="Verdana"/>
          <w:b w:val="1"/>
          <w:bCs w:val="1"/>
          <w:noProof w:val="0"/>
          <w:sz w:val="18"/>
          <w:szCs w:val="18"/>
          <w:lang w:val="en-US"/>
        </w:rPr>
        <w:t>Application Tier (FastAPI):</w:t>
      </w:r>
      <w:r w:rsidRPr="3471A06A" w:rsidR="58BA1C21">
        <w:rPr>
          <w:rFonts w:ascii="Verdana" w:hAnsi="Verdana" w:eastAsia="Verdana" w:cs="Verdana"/>
          <w:noProof w:val="0"/>
          <w:sz w:val="18"/>
          <w:szCs w:val="18"/>
          <w:lang w:val="en-US"/>
        </w:rPr>
        <w:t xml:space="preserve"> A high-performance asynchronous gateway that routes requests between the UI and the agentic layer.</w:t>
      </w:r>
    </w:p>
    <w:p w:rsidR="3471A06A" w:rsidP="3471A06A" w:rsidRDefault="3471A06A" w14:paraId="1E179AC5" w14:textId="68DDB220">
      <w:pPr>
        <w:pStyle w:val="Normal"/>
        <w:spacing w:before="0" w:beforeAutospacing="off"/>
        <w:ind w:left="0"/>
        <w:jc w:val="both"/>
        <w:rPr>
          <w:rFonts w:ascii="Verdana" w:hAnsi="Verdana" w:eastAsia="Verdana" w:cs="Verdana"/>
          <w:noProof w:val="0"/>
          <w:sz w:val="18"/>
          <w:szCs w:val="18"/>
          <w:lang w:val="en-US"/>
        </w:rPr>
      </w:pPr>
    </w:p>
    <w:p w:rsidR="58BA1C21" w:rsidP="3471A06A" w:rsidRDefault="58BA1C21" w14:paraId="3687EB88" w14:textId="26F383C8">
      <w:pPr>
        <w:pStyle w:val="Normal"/>
        <w:spacing w:before="0" w:beforeAutospacing="off"/>
        <w:ind w:left="0"/>
        <w:jc w:val="both"/>
        <w:rPr>
          <w:rFonts w:ascii="Verdana" w:hAnsi="Verdana" w:eastAsia="Verdana" w:cs="Verdana"/>
          <w:b w:val="1"/>
          <w:bCs w:val="1"/>
          <w:noProof w:val="0"/>
          <w:sz w:val="18"/>
          <w:szCs w:val="18"/>
          <w:lang w:val="en-US"/>
        </w:rPr>
      </w:pPr>
      <w:r w:rsidRPr="3471A06A" w:rsidR="58BA1C21">
        <w:rPr>
          <w:rFonts w:ascii="Verdana" w:hAnsi="Verdana" w:eastAsia="Verdana" w:cs="Verdana"/>
          <w:b w:val="1"/>
          <w:bCs w:val="1"/>
          <w:noProof w:val="0"/>
          <w:sz w:val="18"/>
          <w:szCs w:val="18"/>
          <w:lang w:val="en-US"/>
        </w:rPr>
        <w:t>Agentic Orchestration Tier (MAS):</w:t>
      </w:r>
    </w:p>
    <w:p w:rsidR="58BA1C21" w:rsidP="3471A06A" w:rsidRDefault="58BA1C21" w14:paraId="5954D562" w14:textId="67009466">
      <w:pPr>
        <w:pStyle w:val="ListParagraph"/>
        <w:numPr>
          <w:ilvl w:val="0"/>
          <w:numId w:val="11"/>
        </w:numPr>
        <w:spacing w:before="0" w:beforeAutospacing="off"/>
        <w:jc w:val="both"/>
        <w:rPr>
          <w:rFonts w:ascii="Verdana" w:hAnsi="Verdana" w:eastAsia="Verdana" w:cs="Verdana"/>
          <w:noProof w:val="0"/>
          <w:sz w:val="18"/>
          <w:szCs w:val="18"/>
          <w:lang w:val="en-US"/>
        </w:rPr>
      </w:pPr>
      <w:r w:rsidRPr="3471A06A" w:rsidR="58BA1C21">
        <w:rPr>
          <w:rFonts w:ascii="Verdana" w:hAnsi="Verdana" w:eastAsia="Verdana" w:cs="Verdana"/>
          <w:b w:val="1"/>
          <w:bCs w:val="1"/>
          <w:noProof w:val="0"/>
          <w:sz w:val="18"/>
          <w:szCs w:val="18"/>
          <w:lang w:val="en-US"/>
        </w:rPr>
        <w:t>Ingestion Agent:</w:t>
      </w:r>
      <w:r w:rsidRPr="3471A06A" w:rsidR="58BA1C21">
        <w:rPr>
          <w:rFonts w:ascii="Verdana" w:hAnsi="Verdana" w:eastAsia="Verdana" w:cs="Verdana"/>
          <w:noProof w:val="0"/>
          <w:sz w:val="18"/>
          <w:szCs w:val="18"/>
          <w:lang w:val="en-US"/>
        </w:rPr>
        <w:t xml:space="preserve"> Normalizes incoming FHIR-like payloads into a unified clinical schema.</w:t>
      </w:r>
    </w:p>
    <w:p w:rsidR="58BA1C21" w:rsidP="3471A06A" w:rsidRDefault="58BA1C21" w14:paraId="0B330863" w14:textId="1C1E9AEE">
      <w:pPr>
        <w:pStyle w:val="ListParagraph"/>
        <w:numPr>
          <w:ilvl w:val="0"/>
          <w:numId w:val="11"/>
        </w:numPr>
        <w:spacing w:before="0" w:beforeAutospacing="off"/>
        <w:jc w:val="both"/>
        <w:rPr>
          <w:rFonts w:ascii="Verdana" w:hAnsi="Verdana" w:eastAsia="Verdana" w:cs="Verdana"/>
          <w:noProof w:val="0"/>
          <w:sz w:val="18"/>
          <w:szCs w:val="18"/>
          <w:lang w:val="en-US"/>
        </w:rPr>
      </w:pPr>
      <w:r w:rsidRPr="3471A06A" w:rsidR="58BA1C21">
        <w:rPr>
          <w:rFonts w:ascii="Verdana" w:hAnsi="Verdana" w:eastAsia="Verdana" w:cs="Verdana"/>
          <w:b w:val="1"/>
          <w:bCs w:val="1"/>
          <w:noProof w:val="0"/>
          <w:sz w:val="18"/>
          <w:szCs w:val="18"/>
          <w:lang w:val="en-US"/>
        </w:rPr>
        <w:t>Monitoring Agent:</w:t>
      </w:r>
      <w:r w:rsidRPr="3471A06A" w:rsidR="58BA1C21">
        <w:rPr>
          <w:rFonts w:ascii="Verdana" w:hAnsi="Verdana" w:eastAsia="Verdana" w:cs="Verdana"/>
          <w:noProof w:val="0"/>
          <w:sz w:val="18"/>
          <w:szCs w:val="18"/>
          <w:lang w:val="en-US"/>
        </w:rPr>
        <w:t xml:space="preserve"> Performs longitudinal trend analysis on BP observations, identifying "Improving," "Worsening," or "Stable" statuses.</w:t>
      </w:r>
    </w:p>
    <w:p w:rsidR="58BA1C21" w:rsidP="3471A06A" w:rsidRDefault="58BA1C21" w14:paraId="3762B2A8" w14:textId="6D5FF18C">
      <w:pPr>
        <w:pStyle w:val="ListParagraph"/>
        <w:numPr>
          <w:ilvl w:val="0"/>
          <w:numId w:val="11"/>
        </w:numPr>
        <w:spacing w:before="0" w:beforeAutospacing="off"/>
        <w:jc w:val="both"/>
        <w:rPr>
          <w:rFonts w:ascii="Verdana" w:hAnsi="Verdana" w:eastAsia="Verdana" w:cs="Verdana"/>
          <w:noProof w:val="0"/>
          <w:sz w:val="18"/>
          <w:szCs w:val="18"/>
          <w:lang w:val="en-US"/>
        </w:rPr>
      </w:pPr>
      <w:r w:rsidRPr="3471A06A" w:rsidR="58BA1C21">
        <w:rPr>
          <w:rFonts w:ascii="Verdana" w:hAnsi="Verdana" w:eastAsia="Verdana" w:cs="Verdana"/>
          <w:b w:val="1"/>
          <w:bCs w:val="1"/>
          <w:noProof w:val="0"/>
          <w:sz w:val="18"/>
          <w:szCs w:val="18"/>
          <w:lang w:val="en-US"/>
        </w:rPr>
        <w:t>Reasoning Agent:</w:t>
      </w:r>
      <w:r w:rsidRPr="3471A06A" w:rsidR="58BA1C21">
        <w:rPr>
          <w:rFonts w:ascii="Verdana" w:hAnsi="Verdana" w:eastAsia="Verdana" w:cs="Verdana"/>
          <w:noProof w:val="0"/>
          <w:sz w:val="18"/>
          <w:szCs w:val="18"/>
          <w:lang w:val="en-US"/>
        </w:rPr>
        <w:t xml:space="preserve"> Detects care gaps (e.g., readings exceeding the $140/90$ mmHg threshold) and correlates them with active medications and guidelines.</w:t>
      </w:r>
    </w:p>
    <w:p w:rsidR="3471A06A" w:rsidP="3471A06A" w:rsidRDefault="3471A06A" w14:paraId="7B86102C" w14:textId="7872A9CA">
      <w:pPr>
        <w:pStyle w:val="Normal"/>
        <w:spacing w:before="0" w:beforeAutospacing="off"/>
        <w:jc w:val="both"/>
        <w:rPr>
          <w:rFonts w:ascii="Verdana" w:hAnsi="Verdana" w:eastAsia="Verdana" w:cs="Verdana"/>
          <w:noProof w:val="0"/>
          <w:sz w:val="18"/>
          <w:szCs w:val="18"/>
          <w:lang w:val="en-US"/>
        </w:rPr>
      </w:pPr>
    </w:p>
    <w:p w:rsidR="58BA1C21" w:rsidP="3471A06A" w:rsidRDefault="58BA1C21" w14:paraId="3C7C1FED" w14:textId="17EEB99B">
      <w:pPr>
        <w:pStyle w:val="Normal"/>
        <w:spacing w:before="0" w:beforeAutospacing="off"/>
        <w:ind w:left="0"/>
        <w:jc w:val="both"/>
        <w:rPr>
          <w:rFonts w:ascii="Verdana" w:hAnsi="Verdana" w:eastAsia="Verdana" w:cs="Verdana"/>
          <w:noProof w:val="0"/>
          <w:sz w:val="18"/>
          <w:szCs w:val="18"/>
          <w:lang w:val="en-US"/>
        </w:rPr>
      </w:pPr>
      <w:r w:rsidRPr="3471A06A" w:rsidR="58BA1C21">
        <w:rPr>
          <w:rFonts w:ascii="Verdana" w:hAnsi="Verdana" w:eastAsia="Verdana" w:cs="Verdana"/>
          <w:b w:val="1"/>
          <w:bCs w:val="1"/>
          <w:noProof w:val="0"/>
          <w:sz w:val="18"/>
          <w:szCs w:val="18"/>
          <w:lang w:val="en-US"/>
        </w:rPr>
        <w:t xml:space="preserve">Persistence Tier (PostgreSQL + </w:t>
      </w:r>
      <w:r w:rsidRPr="3471A06A" w:rsidR="58BA1C21">
        <w:rPr>
          <w:rFonts w:ascii="Verdana" w:hAnsi="Verdana" w:eastAsia="Verdana" w:cs="Verdana"/>
          <w:b w:val="1"/>
          <w:bCs w:val="1"/>
          <w:noProof w:val="0"/>
          <w:sz w:val="18"/>
          <w:szCs w:val="18"/>
          <w:lang w:val="en-US"/>
        </w:rPr>
        <w:t>SQLAlchemy</w:t>
      </w:r>
      <w:r w:rsidRPr="3471A06A" w:rsidR="58BA1C21">
        <w:rPr>
          <w:rFonts w:ascii="Verdana" w:hAnsi="Verdana" w:eastAsia="Verdana" w:cs="Verdana"/>
          <w:b w:val="1"/>
          <w:bCs w:val="1"/>
          <w:noProof w:val="0"/>
          <w:sz w:val="18"/>
          <w:szCs w:val="18"/>
          <w:lang w:val="en-US"/>
        </w:rPr>
        <w:t>):</w:t>
      </w:r>
      <w:r w:rsidRPr="3471A06A" w:rsidR="58BA1C21">
        <w:rPr>
          <w:rFonts w:ascii="Verdana" w:hAnsi="Verdana" w:eastAsia="Verdana" w:cs="Verdana"/>
          <w:noProof w:val="0"/>
          <w:sz w:val="18"/>
          <w:szCs w:val="18"/>
          <w:lang w:val="en-US"/>
        </w:rPr>
        <w:t xml:space="preserve"> Ensures robust data durability and supports complex relational queries for population-level dashboards.</w:t>
      </w:r>
    </w:p>
    <w:p w:rsidR="3471A06A" w:rsidP="3471A06A" w:rsidRDefault="3471A06A" w14:paraId="6493B543" w14:textId="53983067">
      <w:pPr>
        <w:pStyle w:val="Normal"/>
        <w:spacing w:before="0" w:beforeAutospacing="off"/>
        <w:ind w:left="0"/>
        <w:jc w:val="both"/>
        <w:rPr>
          <w:rFonts w:ascii="Verdana" w:hAnsi="Verdana" w:eastAsia="Verdana" w:cs="Verdana"/>
          <w:noProof w:val="0"/>
          <w:sz w:val="18"/>
          <w:szCs w:val="18"/>
          <w:lang w:val="en-US"/>
        </w:rPr>
      </w:pPr>
    </w:p>
    <w:p w:rsidR="5D530F60" w:rsidP="29FAB35B" w:rsidRDefault="5D530F60" w14:paraId="5EE0564F" w14:textId="20BACCEA">
      <w:pPr>
        <w:pStyle w:val="Normal"/>
        <w:spacing w:before="0" w:beforeAutospacing="off"/>
        <w:ind w:left="0"/>
        <w:jc w:val="both"/>
      </w:pPr>
      <w:r w:rsidR="5D530F60">
        <w:drawing>
          <wp:inline wp14:editId="51EA49ED" wp14:anchorId="6E33489C">
            <wp:extent cx="2743200" cy="1495425"/>
            <wp:effectExtent l="0" t="0" r="0" b="0"/>
            <wp:docPr id="1703174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174173" name="Picture 1703174173"/>
                    <pic:cNvPicPr/>
                  </pic:nvPicPr>
                  <pic:blipFill>
                    <a:blip xmlns:r="http://schemas.openxmlformats.org/officeDocument/2006/relationships" r:embed="rId1716402009">
                      <a:extLst>
                        <a:ext uri="{28A0092B-C50C-407E-A947-70E740481C1C}">
                          <a14:useLocalDpi xmlns:a14="http://schemas.microsoft.com/office/drawing/2010/main"/>
                        </a:ext>
                      </a:extLst>
                    </a:blip>
                    <a:stretch>
                      <a:fillRect/>
                    </a:stretch>
                  </pic:blipFill>
                  <pic:spPr>
                    <a:xfrm>
                      <a:off x="0" y="0"/>
                      <a:ext cx="2743200" cy="1495425"/>
                    </a:xfrm>
                    <a:prstGeom prst="rect">
                      <a:avLst/>
                    </a:prstGeom>
                  </pic:spPr>
                </pic:pic>
              </a:graphicData>
            </a:graphic>
          </wp:inline>
        </w:drawing>
      </w:r>
      <w:r w:rsidRPr="07FB667C" w:rsidR="3E32AF6D">
        <w:rPr>
          <w:rFonts w:ascii="Verdana" w:hAnsi="Verdana" w:eastAsia="Verdana" w:cs="Verdana"/>
          <w:sz w:val="18"/>
          <w:szCs w:val="18"/>
        </w:rPr>
        <w:t>Figure 6.1: Architecture Diagram</w:t>
      </w:r>
    </w:p>
    <w:p w:rsidR="07FB667C" w:rsidP="07FB667C" w:rsidRDefault="07FB667C" w14:paraId="538D1C58" w14:textId="118CE20C">
      <w:pPr>
        <w:pStyle w:val="Normal"/>
        <w:spacing w:before="0" w:beforeAutospacing="off"/>
        <w:ind w:left="0"/>
        <w:jc w:val="both"/>
        <w:rPr>
          <w:rFonts w:ascii="Verdana" w:hAnsi="Verdana" w:eastAsia="Verdana" w:cs="Verdana"/>
          <w:noProof w:val="0"/>
          <w:sz w:val="18"/>
          <w:szCs w:val="18"/>
          <w:lang w:val="en-US"/>
        </w:rPr>
      </w:pPr>
    </w:p>
    <w:p w:rsidR="204A8802" w:rsidP="3471A06A" w:rsidRDefault="204A8802" w14:paraId="5B24C17C" w14:textId="20C90400">
      <w:pPr>
        <w:pStyle w:val="Normal"/>
        <w:spacing w:before="0" w:beforeAutospacing="off"/>
        <w:ind w:left="0"/>
        <w:jc w:val="both"/>
        <w:rPr>
          <w:rFonts w:ascii="Verdana" w:hAnsi="Verdana" w:eastAsia="Verdana" w:cs="Verdana"/>
          <w:noProof w:val="0"/>
          <w:sz w:val="18"/>
          <w:szCs w:val="18"/>
          <w:lang w:val="en-US"/>
        </w:rPr>
      </w:pPr>
      <w:r w:rsidRPr="3471A06A" w:rsidR="204A8802">
        <w:rPr>
          <w:rFonts w:ascii="Verdana" w:hAnsi="Verdana" w:eastAsia="Verdana" w:cs="Verdana"/>
          <w:noProof w:val="0"/>
          <w:sz w:val="18"/>
          <w:szCs w:val="18"/>
          <w:lang w:val="en-US"/>
        </w:rPr>
        <w:t>6.2 UI Design</w:t>
      </w:r>
    </w:p>
    <w:p w:rsidR="3471A06A" w:rsidP="3471A06A" w:rsidRDefault="3471A06A" w14:paraId="6E2778E3" w14:textId="2673E7D8">
      <w:pPr>
        <w:pStyle w:val="Normal"/>
        <w:spacing w:before="0" w:beforeAutospacing="off"/>
        <w:ind w:left="0"/>
        <w:jc w:val="both"/>
        <w:rPr>
          <w:rFonts w:ascii="Verdana" w:hAnsi="Verdana" w:eastAsia="Verdana" w:cs="Verdana"/>
          <w:noProof w:val="0"/>
          <w:sz w:val="18"/>
          <w:szCs w:val="18"/>
          <w:lang w:val="en-US"/>
        </w:rPr>
      </w:pPr>
    </w:p>
    <w:p w:rsidR="204A8802" w:rsidP="3471A06A" w:rsidRDefault="204A8802" w14:paraId="549B186F" w14:textId="14F627F3">
      <w:pPr>
        <w:spacing w:before="0" w:beforeAutospacing="off"/>
        <w:jc w:val="both"/>
      </w:pPr>
      <w:r w:rsidRPr="3471A06A" w:rsidR="204A8802">
        <w:rPr>
          <w:rFonts w:ascii="Verdana" w:hAnsi="Verdana" w:eastAsia="Verdana" w:cs="Verdana"/>
          <w:noProof w:val="0"/>
          <w:sz w:val="18"/>
          <w:szCs w:val="18"/>
          <w:lang w:val="en-US"/>
        </w:rPr>
        <w:t>The Clinician Dashboard is engineered to reduce cognitive load during high-stress encounters. Key components include:</w:t>
      </w:r>
    </w:p>
    <w:p w:rsidR="3471A06A" w:rsidP="3471A06A" w:rsidRDefault="3471A06A" w14:paraId="3256C383" w14:textId="4367FCBE">
      <w:pPr>
        <w:pStyle w:val="Normal"/>
        <w:spacing w:before="0" w:beforeAutospacing="off"/>
        <w:ind w:left="0"/>
        <w:jc w:val="both"/>
        <w:rPr>
          <w:rFonts w:ascii="Verdana" w:hAnsi="Verdana" w:eastAsia="Verdana" w:cs="Verdana"/>
          <w:b w:val="1"/>
          <w:bCs w:val="1"/>
          <w:noProof w:val="0"/>
          <w:sz w:val="18"/>
          <w:szCs w:val="18"/>
          <w:lang w:val="en-US"/>
        </w:rPr>
      </w:pPr>
    </w:p>
    <w:p w:rsidR="204A8802" w:rsidP="3471A06A" w:rsidRDefault="204A8802" w14:paraId="37E320E5" w14:textId="449B6CA8">
      <w:pPr>
        <w:pStyle w:val="Normal"/>
        <w:spacing w:before="0" w:beforeAutospacing="off"/>
        <w:ind w:left="0"/>
        <w:jc w:val="both"/>
        <w:rPr>
          <w:rFonts w:ascii="Verdana" w:hAnsi="Verdana" w:eastAsia="Verdana" w:cs="Verdana"/>
          <w:noProof w:val="0"/>
          <w:sz w:val="18"/>
          <w:szCs w:val="18"/>
          <w:lang w:val="en-US"/>
        </w:rPr>
      </w:pPr>
      <w:r w:rsidRPr="3471A06A" w:rsidR="204A8802">
        <w:rPr>
          <w:rFonts w:ascii="Verdana" w:hAnsi="Verdana" w:eastAsia="Verdana" w:cs="Verdana"/>
          <w:b w:val="1"/>
          <w:bCs w:val="1"/>
          <w:noProof w:val="0"/>
          <w:sz w:val="18"/>
          <w:szCs w:val="18"/>
          <w:lang w:val="en-US"/>
        </w:rPr>
        <w:t>Risk Distribution Cards:</w:t>
      </w:r>
      <w:r w:rsidRPr="3471A06A" w:rsidR="204A8802">
        <w:rPr>
          <w:rFonts w:ascii="Verdana" w:hAnsi="Verdana" w:eastAsia="Verdana" w:cs="Verdana"/>
          <w:noProof w:val="0"/>
          <w:sz w:val="18"/>
          <w:szCs w:val="18"/>
          <w:lang w:val="en-US"/>
        </w:rPr>
        <w:t xml:space="preserve"> Real-time metrics reflecting the hypertension status across the patient panel.</w:t>
      </w:r>
    </w:p>
    <w:p w:rsidR="3471A06A" w:rsidP="3471A06A" w:rsidRDefault="3471A06A" w14:paraId="723E98BB" w14:textId="184A5632">
      <w:pPr>
        <w:pStyle w:val="Normal"/>
        <w:spacing w:before="0" w:beforeAutospacing="off"/>
        <w:ind w:left="0"/>
        <w:jc w:val="both"/>
        <w:rPr>
          <w:rFonts w:ascii="Verdana" w:hAnsi="Verdana" w:eastAsia="Verdana" w:cs="Verdana"/>
          <w:b w:val="1"/>
          <w:bCs w:val="1"/>
          <w:noProof w:val="0"/>
          <w:sz w:val="18"/>
          <w:szCs w:val="18"/>
          <w:lang w:val="en-US"/>
        </w:rPr>
      </w:pPr>
    </w:p>
    <w:p w:rsidR="204A8802" w:rsidP="3471A06A" w:rsidRDefault="204A8802" w14:paraId="0985CFF0" w14:textId="07B7C739">
      <w:pPr>
        <w:pStyle w:val="Normal"/>
        <w:spacing w:before="0" w:beforeAutospacing="off"/>
        <w:ind w:left="0"/>
        <w:jc w:val="both"/>
        <w:rPr>
          <w:rFonts w:ascii="Verdana" w:hAnsi="Verdana" w:eastAsia="Verdana" w:cs="Verdana"/>
          <w:noProof w:val="0"/>
          <w:sz w:val="18"/>
          <w:szCs w:val="18"/>
          <w:lang w:val="en-US"/>
        </w:rPr>
      </w:pPr>
      <w:r w:rsidRPr="3471A06A" w:rsidR="204A8802">
        <w:rPr>
          <w:rFonts w:ascii="Verdana" w:hAnsi="Verdana" w:eastAsia="Verdana" w:cs="Verdana"/>
          <w:b w:val="1"/>
          <w:bCs w:val="1"/>
          <w:noProof w:val="0"/>
          <w:sz w:val="18"/>
          <w:szCs w:val="18"/>
          <w:lang w:val="en-US"/>
        </w:rPr>
        <w:t>Interactive BP Trend Charts:</w:t>
      </w:r>
      <w:r w:rsidRPr="3471A06A" w:rsidR="204A8802">
        <w:rPr>
          <w:rFonts w:ascii="Verdana" w:hAnsi="Verdana" w:eastAsia="Verdana" w:cs="Verdana"/>
          <w:noProof w:val="0"/>
          <w:sz w:val="18"/>
          <w:szCs w:val="18"/>
          <w:lang w:val="en-US"/>
        </w:rPr>
        <w:t xml:space="preserve"> Visualizations include guideline threshold overlays ($140/90$) and highlight readings that exceed clinical targets.</w:t>
      </w:r>
    </w:p>
    <w:p w:rsidR="3471A06A" w:rsidP="3471A06A" w:rsidRDefault="3471A06A" w14:paraId="7AA8ACD8" w14:textId="30C41D1E">
      <w:pPr>
        <w:pStyle w:val="Normal"/>
        <w:spacing w:before="0" w:beforeAutospacing="off"/>
        <w:ind w:left="0"/>
        <w:jc w:val="both"/>
        <w:rPr>
          <w:rFonts w:ascii="Verdana" w:hAnsi="Verdana" w:eastAsia="Verdana" w:cs="Verdana"/>
          <w:b w:val="1"/>
          <w:bCs w:val="1"/>
          <w:noProof w:val="0"/>
          <w:sz w:val="18"/>
          <w:szCs w:val="18"/>
          <w:lang w:val="en-US"/>
        </w:rPr>
      </w:pPr>
    </w:p>
    <w:p w:rsidR="204A8802" w:rsidP="3471A06A" w:rsidRDefault="204A8802" w14:paraId="1BD3818D" w14:textId="674EB000">
      <w:pPr>
        <w:pStyle w:val="Normal"/>
        <w:spacing w:before="0" w:beforeAutospacing="off"/>
        <w:ind w:left="0"/>
        <w:jc w:val="both"/>
        <w:rPr>
          <w:rFonts w:ascii="Verdana" w:hAnsi="Verdana" w:eastAsia="Verdana" w:cs="Verdana"/>
          <w:noProof w:val="0"/>
          <w:sz w:val="18"/>
          <w:szCs w:val="18"/>
          <w:lang w:val="en-US"/>
        </w:rPr>
      </w:pPr>
      <w:r w:rsidRPr="29FAB35B" w:rsidR="204A8802">
        <w:rPr>
          <w:rFonts w:ascii="Verdana" w:hAnsi="Verdana" w:eastAsia="Verdana" w:cs="Verdana"/>
          <w:b w:val="1"/>
          <w:bCs w:val="1"/>
          <w:noProof w:val="0"/>
          <w:sz w:val="18"/>
          <w:szCs w:val="18"/>
          <w:lang w:val="en-US"/>
        </w:rPr>
        <w:t>Patient Summary Panels:</w:t>
      </w:r>
      <w:r w:rsidRPr="29FAB35B" w:rsidR="204A8802">
        <w:rPr>
          <w:rFonts w:ascii="Verdana" w:hAnsi="Verdana" w:eastAsia="Verdana" w:cs="Verdana"/>
          <w:noProof w:val="0"/>
          <w:sz w:val="18"/>
          <w:szCs w:val="18"/>
          <w:lang w:val="en-US"/>
        </w:rPr>
        <w:t xml:space="preserve"> Backed by agentic reasoning, these panels provide a natural-language summary of the patient's current care status and active alerts.</w:t>
      </w:r>
    </w:p>
    <w:p w:rsidR="29FAB35B" w:rsidP="29FAB35B" w:rsidRDefault="29FAB35B" w14:paraId="16048AEA" w14:textId="7D2C4AB3">
      <w:pPr>
        <w:pStyle w:val="Normal"/>
        <w:spacing w:before="0" w:beforeAutospacing="off"/>
        <w:ind w:left="0"/>
        <w:jc w:val="both"/>
        <w:rPr>
          <w:rFonts w:ascii="Verdana" w:hAnsi="Verdana" w:eastAsia="Verdana" w:cs="Verdana"/>
          <w:noProof w:val="0"/>
          <w:sz w:val="18"/>
          <w:szCs w:val="18"/>
          <w:lang w:val="en-US"/>
        </w:rPr>
      </w:pPr>
    </w:p>
    <w:p w:rsidR="3471A06A" w:rsidP="3471A06A" w:rsidRDefault="3471A06A" w14:paraId="3FC26238" w14:textId="652E5560">
      <w:pPr>
        <w:pStyle w:val="Normal"/>
        <w:spacing w:before="0" w:beforeAutospacing="off"/>
        <w:ind w:left="0"/>
        <w:jc w:val="both"/>
        <w:rPr>
          <w:rFonts w:ascii="Verdana" w:hAnsi="Verdana" w:eastAsia="Verdana" w:cs="Verdana"/>
          <w:noProof w:val="0"/>
          <w:sz w:val="18"/>
          <w:szCs w:val="18"/>
          <w:lang w:val="en-US"/>
        </w:rPr>
      </w:pPr>
      <w:r w:rsidR="709D5650">
        <w:drawing>
          <wp:inline wp14:editId="7D5CBBC7" wp14:anchorId="455EC3E5">
            <wp:extent cx="2743200" cy="1657350"/>
            <wp:effectExtent l="0" t="0" r="0" b="0"/>
            <wp:docPr id="1891780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780809" name="Picture 1891780809"/>
                    <pic:cNvPicPr/>
                  </pic:nvPicPr>
                  <pic:blipFill>
                    <a:blip xmlns:r="http://schemas.openxmlformats.org/officeDocument/2006/relationships" r:embed="rId204627553">
                      <a:extLst>
                        <a:ext uri="{28A0092B-C50C-407E-A947-70E740481C1C}">
                          <a14:useLocalDpi xmlns:a14="http://schemas.microsoft.com/office/drawing/2010/main"/>
                        </a:ext>
                      </a:extLst>
                    </a:blip>
                    <a:stretch>
                      <a:fillRect/>
                    </a:stretch>
                  </pic:blipFill>
                  <pic:spPr>
                    <a:xfrm>
                      <a:off x="0" y="0"/>
                      <a:ext cx="2743200" cy="1657350"/>
                    </a:xfrm>
                    <a:prstGeom prst="rect">
                      <a:avLst/>
                    </a:prstGeom>
                  </pic:spPr>
                </pic:pic>
              </a:graphicData>
            </a:graphic>
          </wp:inline>
        </w:drawing>
      </w:r>
      <w:r w:rsidRPr="07FB667C" w:rsidR="4D8F9985">
        <w:rPr>
          <w:rFonts w:ascii="Verdana" w:hAnsi="Verdana" w:eastAsia="Verdana" w:cs="Verdana"/>
          <w:sz w:val="18"/>
          <w:szCs w:val="18"/>
        </w:rPr>
        <w:t>Figure 6.2: UI Design</w:t>
      </w:r>
    </w:p>
    <w:p w:rsidR="29FAB35B" w:rsidP="29FAB35B" w:rsidRDefault="29FAB35B" w14:paraId="1D083830" w14:textId="46F68DF7">
      <w:pPr>
        <w:pStyle w:val="Normal"/>
        <w:spacing w:before="0" w:beforeAutospacing="off"/>
        <w:ind w:left="0"/>
        <w:jc w:val="both"/>
        <w:rPr>
          <w:rFonts w:ascii="Verdana" w:hAnsi="Verdana" w:eastAsia="Verdana" w:cs="Verdana"/>
          <w:noProof w:val="0"/>
          <w:sz w:val="18"/>
          <w:szCs w:val="18"/>
          <w:lang w:val="en-US"/>
        </w:rPr>
      </w:pPr>
    </w:p>
    <w:p w:rsidR="204A8802" w:rsidP="3471A06A" w:rsidRDefault="204A8802" w14:paraId="099FE4B2" w14:textId="3D0B71C6">
      <w:pPr>
        <w:pStyle w:val="Normal"/>
        <w:spacing w:before="0" w:beforeAutospacing="off"/>
        <w:ind w:left="0"/>
        <w:jc w:val="both"/>
        <w:rPr>
          <w:rFonts w:ascii="Verdana" w:hAnsi="Verdana" w:eastAsia="Verdana" w:cs="Verdana"/>
          <w:noProof w:val="0"/>
          <w:sz w:val="18"/>
          <w:szCs w:val="18"/>
          <w:lang w:val="en-US"/>
        </w:rPr>
      </w:pPr>
      <w:r w:rsidRPr="3471A06A" w:rsidR="204A8802">
        <w:rPr>
          <w:rFonts w:ascii="Verdana" w:hAnsi="Verdana" w:eastAsia="Verdana" w:cs="Verdana"/>
          <w:noProof w:val="0"/>
          <w:sz w:val="18"/>
          <w:szCs w:val="18"/>
          <w:lang w:val="en-US"/>
        </w:rPr>
        <w:t>6.3 API Design</w:t>
      </w:r>
    </w:p>
    <w:p w:rsidR="3471A06A" w:rsidP="3471A06A" w:rsidRDefault="3471A06A" w14:paraId="227715E2" w14:textId="185910F1">
      <w:pPr>
        <w:pStyle w:val="Normal"/>
        <w:spacing w:before="0" w:beforeAutospacing="off"/>
        <w:ind w:left="0"/>
        <w:jc w:val="both"/>
        <w:rPr>
          <w:rFonts w:ascii="Verdana" w:hAnsi="Verdana" w:eastAsia="Verdana" w:cs="Verdana"/>
          <w:noProof w:val="0"/>
          <w:sz w:val="18"/>
          <w:szCs w:val="18"/>
          <w:lang w:val="en-US"/>
        </w:rPr>
      </w:pPr>
    </w:p>
    <w:p w:rsidR="204A8802" w:rsidP="3471A06A" w:rsidRDefault="204A8802" w14:paraId="277847DB" w14:textId="0834DECF">
      <w:pPr>
        <w:jc w:val="both"/>
      </w:pPr>
      <w:r w:rsidRPr="3471A06A" w:rsidR="204A8802">
        <w:rPr>
          <w:rFonts w:ascii="Verdana" w:hAnsi="Verdana" w:eastAsia="Verdana" w:cs="Verdana"/>
          <w:noProof w:val="0"/>
          <w:sz w:val="18"/>
          <w:szCs w:val="18"/>
          <w:lang w:val="en-US"/>
        </w:rPr>
        <w:t xml:space="preserve">The system exposes a RESTful API layer built with </w:t>
      </w:r>
      <w:r w:rsidRPr="3471A06A" w:rsidR="204A8802">
        <w:rPr>
          <w:rFonts w:ascii="Verdana" w:hAnsi="Verdana" w:eastAsia="Verdana" w:cs="Verdana"/>
          <w:b w:val="1"/>
          <w:bCs w:val="1"/>
          <w:noProof w:val="0"/>
          <w:sz w:val="18"/>
          <w:szCs w:val="18"/>
          <w:lang w:val="en-US"/>
        </w:rPr>
        <w:t>FastAPI</w:t>
      </w:r>
      <w:r w:rsidRPr="3471A06A" w:rsidR="204A8802">
        <w:rPr>
          <w:rFonts w:ascii="Verdana" w:hAnsi="Verdana" w:eastAsia="Verdana" w:cs="Verdana"/>
          <w:noProof w:val="0"/>
          <w:sz w:val="18"/>
          <w:szCs w:val="18"/>
          <w:lang w:val="en-US"/>
        </w:rPr>
        <w:t>, enabling seamless integration for mobile and web interfaces:</w:t>
      </w:r>
    </w:p>
    <w:p w:rsidR="204A8802" w:rsidP="3471A06A" w:rsidRDefault="204A8802" w14:paraId="3E906B59" w14:textId="4F92F694">
      <w:pPr>
        <w:pStyle w:val="ListParagraph"/>
        <w:numPr>
          <w:ilvl w:val="0"/>
          <w:numId w:val="13"/>
        </w:numPr>
        <w:spacing w:before="0" w:beforeAutospacing="off" w:after="0" w:afterAutospacing="off"/>
        <w:jc w:val="both"/>
        <w:rPr>
          <w:rFonts w:ascii="Verdana" w:hAnsi="Verdana" w:eastAsia="Verdana" w:cs="Verdana"/>
          <w:noProof w:val="0"/>
          <w:sz w:val="18"/>
          <w:szCs w:val="18"/>
          <w:lang w:val="en-US"/>
        </w:rPr>
      </w:pPr>
      <w:r w:rsidRPr="3471A06A" w:rsidR="204A8802">
        <w:rPr>
          <w:rFonts w:ascii="Verdana" w:hAnsi="Verdana" w:eastAsia="Verdana" w:cs="Verdana"/>
          <w:noProof w:val="0"/>
          <w:sz w:val="18"/>
          <w:szCs w:val="18"/>
          <w:lang w:val="en-US"/>
        </w:rPr>
        <w:t>GET /patients: Retrieves the population registry.</w:t>
      </w:r>
    </w:p>
    <w:p w:rsidR="204A8802" w:rsidP="3471A06A" w:rsidRDefault="204A8802" w14:paraId="0EFE03EF" w14:textId="11FC97EE">
      <w:pPr>
        <w:pStyle w:val="ListParagraph"/>
        <w:numPr>
          <w:ilvl w:val="0"/>
          <w:numId w:val="13"/>
        </w:numPr>
        <w:spacing w:before="0" w:beforeAutospacing="off" w:after="0" w:afterAutospacing="off"/>
        <w:jc w:val="both"/>
        <w:rPr>
          <w:rFonts w:ascii="Verdana" w:hAnsi="Verdana" w:eastAsia="Verdana" w:cs="Verdana"/>
          <w:noProof w:val="0"/>
          <w:sz w:val="18"/>
          <w:szCs w:val="18"/>
          <w:lang w:val="en-US"/>
        </w:rPr>
      </w:pPr>
      <w:r w:rsidRPr="3471A06A" w:rsidR="204A8802">
        <w:rPr>
          <w:rFonts w:ascii="Verdana" w:hAnsi="Verdana" w:eastAsia="Verdana" w:cs="Verdana"/>
          <w:noProof w:val="0"/>
          <w:sz w:val="18"/>
          <w:szCs w:val="18"/>
          <w:lang w:val="en-US"/>
        </w:rPr>
        <w:t>GET /patients/{id}/summary: Fetches a context-aware clinical summary generated by the reasoning agent.</w:t>
      </w:r>
    </w:p>
    <w:p w:rsidR="204A8802" w:rsidP="3471A06A" w:rsidRDefault="204A8802" w14:paraId="48E8620A" w14:textId="1850B76D">
      <w:pPr>
        <w:pStyle w:val="ListParagraph"/>
        <w:numPr>
          <w:ilvl w:val="0"/>
          <w:numId w:val="13"/>
        </w:numPr>
        <w:spacing w:before="0" w:beforeAutospacing="off" w:after="0" w:afterAutospacing="off"/>
        <w:jc w:val="both"/>
        <w:rPr>
          <w:rFonts w:ascii="Verdana" w:hAnsi="Verdana" w:eastAsia="Verdana" w:cs="Verdana"/>
          <w:noProof w:val="0"/>
          <w:sz w:val="18"/>
          <w:szCs w:val="18"/>
          <w:lang w:val="en-US"/>
        </w:rPr>
      </w:pPr>
      <w:r w:rsidRPr="3471A06A" w:rsidR="204A8802">
        <w:rPr>
          <w:rFonts w:ascii="Verdana" w:hAnsi="Verdana" w:eastAsia="Verdana" w:cs="Verdana"/>
          <w:noProof w:val="0"/>
          <w:sz w:val="18"/>
          <w:szCs w:val="18"/>
          <w:lang w:val="en-US"/>
        </w:rPr>
        <w:t>GET /patients/{id}/bp-trend: Provides structured time-series data for visualization.</w:t>
      </w:r>
    </w:p>
    <w:p w:rsidR="204A8802" w:rsidP="3471A06A" w:rsidRDefault="204A8802" w14:paraId="0FEC254D" w14:textId="6D45C29F">
      <w:pPr>
        <w:pStyle w:val="ListParagraph"/>
        <w:numPr>
          <w:ilvl w:val="0"/>
          <w:numId w:val="13"/>
        </w:numPr>
        <w:spacing w:before="0" w:beforeAutospacing="off" w:after="0" w:afterAutospacing="off"/>
        <w:jc w:val="both"/>
        <w:rPr>
          <w:rFonts w:ascii="Verdana" w:hAnsi="Verdana" w:eastAsia="Verdana" w:cs="Verdana"/>
          <w:noProof w:val="0"/>
          <w:sz w:val="18"/>
          <w:szCs w:val="18"/>
          <w:lang w:val="en-US"/>
        </w:rPr>
      </w:pPr>
      <w:r w:rsidRPr="3471A06A" w:rsidR="204A8802">
        <w:rPr>
          <w:rFonts w:ascii="Verdana" w:hAnsi="Verdana" w:eastAsia="Verdana" w:cs="Verdana"/>
          <w:noProof w:val="0"/>
          <w:sz w:val="18"/>
          <w:szCs w:val="18"/>
          <w:lang w:val="en-US"/>
        </w:rPr>
        <w:t xml:space="preserve">POST /ingestion/demo-seed: </w:t>
      </w:r>
      <w:r w:rsidRPr="3471A06A" w:rsidR="204A8802">
        <w:rPr>
          <w:rFonts w:ascii="Verdana" w:hAnsi="Verdana" w:eastAsia="Verdana" w:cs="Verdana"/>
          <w:noProof w:val="0"/>
          <w:sz w:val="18"/>
          <w:szCs w:val="18"/>
          <w:lang w:val="en-US"/>
        </w:rPr>
        <w:t>Facilitates</w:t>
      </w:r>
      <w:r w:rsidRPr="3471A06A" w:rsidR="204A8802">
        <w:rPr>
          <w:rFonts w:ascii="Verdana" w:hAnsi="Verdana" w:eastAsia="Verdana" w:cs="Verdana"/>
          <w:noProof w:val="0"/>
          <w:sz w:val="18"/>
          <w:szCs w:val="18"/>
          <w:lang w:val="en-US"/>
        </w:rPr>
        <w:t xml:space="preserve"> rapid deployment of synthetic hypertensive datasets for evaluation.</w:t>
      </w:r>
    </w:p>
    <w:p w:rsidR="3471A06A" w:rsidP="3471A06A" w:rsidRDefault="3471A06A" w14:paraId="3F96F29D" w14:textId="30EB6E75">
      <w:pPr>
        <w:pStyle w:val="Normal"/>
        <w:spacing w:before="0" w:beforeAutospacing="off" w:after="0" w:afterAutospacing="off"/>
        <w:jc w:val="both"/>
        <w:rPr>
          <w:rFonts w:ascii="Verdana" w:hAnsi="Verdana" w:eastAsia="Verdana" w:cs="Verdana"/>
          <w:noProof w:val="0"/>
          <w:sz w:val="18"/>
          <w:szCs w:val="18"/>
          <w:lang w:val="en-US"/>
        </w:rPr>
      </w:pPr>
    </w:p>
    <w:p w:rsidR="39C0A71A" w:rsidP="3471A06A" w:rsidRDefault="39C0A71A" w14:paraId="234B1318" w14:textId="0D326DA9">
      <w:pPr>
        <w:pStyle w:val="ListParagraph"/>
        <w:numPr>
          <w:ilvl w:val="0"/>
          <w:numId w:val="4"/>
        </w:numPr>
        <w:spacing w:beforeAutospacing="on" w:afterAutospacing="on"/>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3471A06A" w:rsidR="39C0A71A">
        <w:rPr>
          <w:rFonts w:ascii="Verdana" w:hAnsi="Verdana" w:eastAsia="Verdana" w:cs="Verdana"/>
          <w:b w:val="1"/>
          <w:bCs w:val="1"/>
          <w:i w:val="0"/>
          <w:iCs w:val="0"/>
          <w:caps w:val="0"/>
          <w:smallCaps w:val="0"/>
          <w:noProof w:val="0"/>
          <w:color w:val="000000" w:themeColor="text1" w:themeTint="FF" w:themeShade="FF"/>
          <w:sz w:val="18"/>
          <w:szCs w:val="18"/>
          <w:lang w:val="en-US"/>
        </w:rPr>
        <w:t>Implementation</w:t>
      </w:r>
    </w:p>
    <w:p w:rsidR="12FD60D9" w:rsidP="3471A06A" w:rsidRDefault="12FD60D9" w14:paraId="07BE1F9B" w14:textId="1D487117">
      <w:pPr>
        <w:jc w:val="both"/>
      </w:pPr>
      <w:r w:rsidRPr="3471A06A" w:rsidR="12FD60D9">
        <w:rPr>
          <w:rFonts w:ascii="Verdana" w:hAnsi="Verdana" w:eastAsia="Verdana" w:cs="Verdana"/>
          <w:noProof w:val="0"/>
          <w:sz w:val="18"/>
          <w:szCs w:val="18"/>
          <w:lang w:val="en-US"/>
        </w:rPr>
        <w:t xml:space="preserve">The implementation utilizes </w:t>
      </w:r>
      <w:r w:rsidRPr="3471A06A" w:rsidR="12FD60D9">
        <w:rPr>
          <w:rFonts w:ascii="Verdana" w:hAnsi="Verdana" w:eastAsia="Verdana" w:cs="Verdana"/>
          <w:b w:val="1"/>
          <w:bCs w:val="1"/>
          <w:noProof w:val="0"/>
          <w:sz w:val="18"/>
          <w:szCs w:val="18"/>
          <w:lang w:val="en-US"/>
        </w:rPr>
        <w:t>Python</w:t>
      </w:r>
      <w:r w:rsidRPr="3471A06A" w:rsidR="12FD60D9">
        <w:rPr>
          <w:rFonts w:ascii="Verdana" w:hAnsi="Verdana" w:eastAsia="Verdana" w:cs="Verdana"/>
          <w:noProof w:val="0"/>
          <w:sz w:val="18"/>
          <w:szCs w:val="18"/>
          <w:lang w:val="en-US"/>
        </w:rPr>
        <w:t xml:space="preserve"> and </w:t>
      </w:r>
      <w:r w:rsidRPr="3471A06A" w:rsidR="12FD60D9">
        <w:rPr>
          <w:rFonts w:ascii="Verdana" w:hAnsi="Verdana" w:eastAsia="Verdana" w:cs="Verdana"/>
          <w:b w:val="1"/>
          <w:bCs w:val="1"/>
          <w:noProof w:val="0"/>
          <w:sz w:val="18"/>
          <w:szCs w:val="18"/>
          <w:lang w:val="en-US"/>
        </w:rPr>
        <w:t>FastAPI</w:t>
      </w:r>
      <w:r w:rsidRPr="3471A06A" w:rsidR="12FD60D9">
        <w:rPr>
          <w:rFonts w:ascii="Verdana" w:hAnsi="Verdana" w:eastAsia="Verdana" w:cs="Verdana"/>
          <w:noProof w:val="0"/>
          <w:sz w:val="18"/>
          <w:szCs w:val="18"/>
          <w:lang w:val="en-US"/>
        </w:rPr>
        <w:t xml:space="preserve"> for the backend, with </w:t>
      </w:r>
      <w:r w:rsidRPr="3471A06A" w:rsidR="12FD60D9">
        <w:rPr>
          <w:rFonts w:ascii="Verdana" w:hAnsi="Verdana" w:eastAsia="Verdana" w:cs="Verdana"/>
          <w:b w:val="1"/>
          <w:bCs w:val="1"/>
          <w:noProof w:val="0"/>
          <w:sz w:val="18"/>
          <w:szCs w:val="18"/>
          <w:lang w:val="en-US"/>
        </w:rPr>
        <w:t>SQLAlchemy</w:t>
      </w:r>
      <w:r w:rsidRPr="3471A06A" w:rsidR="12FD60D9">
        <w:rPr>
          <w:rFonts w:ascii="Verdana" w:hAnsi="Verdana" w:eastAsia="Verdana" w:cs="Verdana"/>
          <w:noProof w:val="0"/>
          <w:sz w:val="18"/>
          <w:szCs w:val="18"/>
          <w:lang w:val="en-US"/>
        </w:rPr>
        <w:t xml:space="preserve"> providing an ORM layer for </w:t>
      </w:r>
      <w:r w:rsidRPr="3471A06A" w:rsidR="12FD60D9">
        <w:rPr>
          <w:rFonts w:ascii="Verdana" w:hAnsi="Verdana" w:eastAsia="Verdana" w:cs="Verdana"/>
          <w:b w:val="1"/>
          <w:bCs w:val="1"/>
          <w:noProof w:val="0"/>
          <w:sz w:val="18"/>
          <w:szCs w:val="18"/>
          <w:lang w:val="en-US"/>
        </w:rPr>
        <w:t>PostgreSQL</w:t>
      </w:r>
      <w:r w:rsidRPr="3471A06A" w:rsidR="12FD60D9">
        <w:rPr>
          <w:rFonts w:ascii="Verdana" w:hAnsi="Verdana" w:eastAsia="Verdana" w:cs="Verdana"/>
          <w:noProof w:val="0"/>
          <w:sz w:val="18"/>
          <w:szCs w:val="18"/>
          <w:lang w:val="en-US"/>
        </w:rPr>
        <w:t>.</w:t>
      </w:r>
    </w:p>
    <w:p w:rsidR="3471A06A" w:rsidP="3471A06A" w:rsidRDefault="3471A06A" w14:paraId="6AA8592D" w14:textId="2621B581">
      <w:pPr>
        <w:jc w:val="both"/>
        <w:rPr>
          <w:rFonts w:ascii="Verdana" w:hAnsi="Verdana" w:eastAsia="Verdana" w:cs="Verdana"/>
          <w:noProof w:val="0"/>
          <w:sz w:val="18"/>
          <w:szCs w:val="18"/>
          <w:lang w:val="en-US"/>
        </w:rPr>
      </w:pPr>
    </w:p>
    <w:p w:rsidR="12FD60D9" w:rsidP="3471A06A" w:rsidRDefault="12FD60D9" w14:paraId="53B3E42E" w14:textId="162A9F40">
      <w:pPr>
        <w:pStyle w:val="Normal"/>
        <w:spacing w:before="0" w:beforeAutospacing="off" w:after="0" w:afterAutospacing="off"/>
        <w:ind w:left="0"/>
        <w:jc w:val="both"/>
        <w:rPr>
          <w:rFonts w:ascii="Verdana" w:hAnsi="Verdana" w:eastAsia="Verdana" w:cs="Verdana"/>
          <w:noProof w:val="0"/>
          <w:sz w:val="18"/>
          <w:szCs w:val="18"/>
          <w:lang w:val="en-US"/>
        </w:rPr>
      </w:pPr>
      <w:r w:rsidRPr="3471A06A" w:rsidR="12FD60D9">
        <w:rPr>
          <w:rFonts w:ascii="Verdana" w:hAnsi="Verdana" w:eastAsia="Verdana" w:cs="Verdana"/>
          <w:b w:val="1"/>
          <w:bCs w:val="1"/>
          <w:noProof w:val="0"/>
          <w:sz w:val="18"/>
          <w:szCs w:val="18"/>
          <w:lang w:val="en-US"/>
        </w:rPr>
        <w:t>Agent Workflows:</w:t>
      </w:r>
      <w:r w:rsidRPr="3471A06A" w:rsidR="12FD60D9">
        <w:rPr>
          <w:rFonts w:ascii="Verdana" w:hAnsi="Verdana" w:eastAsia="Verdana" w:cs="Verdana"/>
          <w:noProof w:val="0"/>
          <w:sz w:val="18"/>
          <w:szCs w:val="18"/>
          <w:lang w:val="en-US"/>
        </w:rPr>
        <w:t xml:space="preserve"> The agents communicate through a shared state managed by the FastAPI backend. The Monitoring Agent periodically scans the Observation table to update patient trend statuses, while the Reasoning Agent is triggered during summary requests to identify clinical alerts.</w:t>
      </w:r>
    </w:p>
    <w:p w:rsidR="3471A06A" w:rsidP="3471A06A" w:rsidRDefault="3471A06A" w14:paraId="6617EA8E" w14:textId="4FD1D874">
      <w:pPr>
        <w:pStyle w:val="Normal"/>
        <w:spacing w:before="0" w:beforeAutospacing="off" w:after="0" w:afterAutospacing="off"/>
        <w:ind w:left="0"/>
        <w:jc w:val="both"/>
        <w:rPr>
          <w:rFonts w:ascii="Verdana" w:hAnsi="Verdana" w:eastAsia="Verdana" w:cs="Verdana"/>
          <w:b w:val="1"/>
          <w:bCs w:val="1"/>
          <w:noProof w:val="0"/>
          <w:sz w:val="18"/>
          <w:szCs w:val="18"/>
          <w:lang w:val="en-US"/>
        </w:rPr>
      </w:pPr>
    </w:p>
    <w:p w:rsidR="12FD60D9" w:rsidP="3471A06A" w:rsidRDefault="12FD60D9" w14:paraId="78E66437" w14:textId="19B5D3A8">
      <w:pPr>
        <w:pStyle w:val="Normal"/>
        <w:spacing w:before="0" w:beforeAutospacing="off" w:after="0" w:afterAutospacing="off"/>
        <w:ind w:left="0"/>
        <w:jc w:val="both"/>
        <w:rPr>
          <w:rFonts w:ascii="Verdana" w:hAnsi="Verdana" w:eastAsia="Verdana" w:cs="Verdana"/>
          <w:noProof w:val="0"/>
          <w:sz w:val="18"/>
          <w:szCs w:val="18"/>
          <w:lang w:val="en-US"/>
        </w:rPr>
      </w:pPr>
      <w:r w:rsidRPr="3471A06A" w:rsidR="12FD60D9">
        <w:rPr>
          <w:rFonts w:ascii="Verdana" w:hAnsi="Verdana" w:eastAsia="Verdana" w:cs="Verdana"/>
          <w:b w:val="1"/>
          <w:bCs w:val="1"/>
          <w:noProof w:val="0"/>
          <w:sz w:val="18"/>
          <w:szCs w:val="18"/>
          <w:lang w:val="en-US"/>
        </w:rPr>
        <w:t>Note2FHIR Mapping:</w:t>
      </w:r>
      <w:r w:rsidRPr="3471A06A" w:rsidR="12FD60D9">
        <w:rPr>
          <w:rFonts w:ascii="Verdana" w:hAnsi="Verdana" w:eastAsia="Verdana" w:cs="Verdana"/>
          <w:noProof w:val="0"/>
          <w:sz w:val="18"/>
          <w:szCs w:val="18"/>
          <w:lang w:val="en-US"/>
        </w:rPr>
        <w:t xml:space="preserve"> To address the accuracy gap in converting unstructured notes to medical codes, the system supports a </w:t>
      </w:r>
      <w:r w:rsidRPr="3471A06A" w:rsidR="12FD60D9">
        <w:rPr>
          <w:rFonts w:ascii="Verdana" w:hAnsi="Verdana" w:eastAsia="Verdana" w:cs="Verdana"/>
          <w:b w:val="1"/>
          <w:bCs w:val="1"/>
          <w:noProof w:val="0"/>
          <w:sz w:val="18"/>
          <w:szCs w:val="18"/>
          <w:lang w:val="en-US"/>
        </w:rPr>
        <w:t>Generation-Assisted Vector Search (GAVS)</w:t>
      </w:r>
      <w:r w:rsidRPr="3471A06A" w:rsidR="12FD60D9">
        <w:rPr>
          <w:rFonts w:ascii="Verdana" w:hAnsi="Verdana" w:eastAsia="Verdana" w:cs="Verdana"/>
          <w:noProof w:val="0"/>
          <w:sz w:val="18"/>
          <w:szCs w:val="18"/>
          <w:lang w:val="en-US"/>
        </w:rPr>
        <w:t xml:space="preserve"> workflow, mapping extracted clinical entities to validated terminologies like SNOMED CT and LOINC.</w:t>
      </w:r>
    </w:p>
    <w:p w:rsidR="12FD60D9" w:rsidP="3471A06A" w:rsidRDefault="12FD60D9" w14:paraId="3269AD92" w14:textId="289E022E">
      <w:pPr>
        <w:pStyle w:val="Normal"/>
        <w:spacing w:before="0" w:beforeAutospacing="off" w:after="0" w:afterAutospacing="off"/>
        <w:ind w:left="0"/>
        <w:jc w:val="both"/>
        <w:rPr>
          <w:rFonts w:ascii="Verdana" w:hAnsi="Verdana" w:eastAsia="Verdana" w:cs="Verdana"/>
          <w:noProof w:val="0"/>
          <w:sz w:val="18"/>
          <w:szCs w:val="18"/>
          <w:lang w:val="en-US"/>
        </w:rPr>
      </w:pPr>
      <w:r w:rsidRPr="3471A06A" w:rsidR="12FD60D9">
        <w:rPr>
          <w:rFonts w:ascii="Verdana" w:hAnsi="Verdana" w:eastAsia="Verdana" w:cs="Verdana"/>
          <w:b w:val="1"/>
          <w:bCs w:val="1"/>
          <w:noProof w:val="0"/>
          <w:sz w:val="18"/>
          <w:szCs w:val="18"/>
          <w:lang w:val="en-US"/>
        </w:rPr>
        <w:t>Asynchronous Processing:</w:t>
      </w:r>
      <w:r w:rsidRPr="3471A06A" w:rsidR="12FD60D9">
        <w:rPr>
          <w:rFonts w:ascii="Verdana" w:hAnsi="Verdana" w:eastAsia="Verdana" w:cs="Verdana"/>
          <w:noProof w:val="0"/>
          <w:sz w:val="18"/>
          <w:szCs w:val="18"/>
          <w:lang w:val="en-US"/>
        </w:rPr>
        <w:t xml:space="preserve"> The stack supports real-time updates for risk distribution, ensuring that as new BP data is ingested, the </w:t>
      </w:r>
      <w:r w:rsidRPr="3471A06A" w:rsidR="12FD60D9">
        <w:rPr>
          <w:rFonts w:ascii="Verdana" w:hAnsi="Verdana" w:eastAsia="Verdana" w:cs="Verdana"/>
          <w:noProof w:val="0"/>
          <w:sz w:val="18"/>
          <w:szCs w:val="18"/>
          <w:lang w:val="en-US"/>
        </w:rPr>
        <w:t>clinician</w:t>
      </w:r>
      <w:r w:rsidRPr="3471A06A" w:rsidR="12FD60D9">
        <w:rPr>
          <w:rFonts w:ascii="Verdana" w:hAnsi="Verdana" w:eastAsia="Verdana" w:cs="Verdana"/>
          <w:noProof w:val="0"/>
          <w:sz w:val="18"/>
          <w:szCs w:val="18"/>
          <w:lang w:val="en-US"/>
        </w:rPr>
        <w:t xml:space="preserve"> dashboard reflects the new clinical state without page refreshes.</w:t>
      </w:r>
    </w:p>
    <w:p w:rsidR="39C0A71A" w:rsidP="3471A06A" w:rsidRDefault="39C0A71A" w14:paraId="5E673C0C" w14:textId="780FCB4B">
      <w:pPr>
        <w:pStyle w:val="ListParagraph"/>
        <w:numPr>
          <w:ilvl w:val="0"/>
          <w:numId w:val="4"/>
        </w:numPr>
        <w:spacing w:beforeAutospacing="on" w:afterAutospacing="on"/>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3471A06A" w:rsidR="39C0A71A">
        <w:rPr>
          <w:rFonts w:ascii="Verdana" w:hAnsi="Verdana" w:eastAsia="Verdana" w:cs="Verdana"/>
          <w:b w:val="1"/>
          <w:bCs w:val="1"/>
          <w:i w:val="0"/>
          <w:iCs w:val="0"/>
          <w:caps w:val="0"/>
          <w:smallCaps w:val="0"/>
          <w:noProof w:val="0"/>
          <w:color w:val="000000" w:themeColor="text1" w:themeTint="FF" w:themeShade="FF"/>
          <w:sz w:val="18"/>
          <w:szCs w:val="18"/>
          <w:lang w:val="en-US"/>
        </w:rPr>
        <w:t>Data Collection</w:t>
      </w:r>
    </w:p>
    <w:p w:rsidR="486808F4" w:rsidP="3471A06A" w:rsidRDefault="486808F4" w14:paraId="6D77EFB2" w14:textId="09A2991C">
      <w:pPr>
        <w:spacing w:before="0" w:beforeAutospacing="off"/>
        <w:jc w:val="both"/>
      </w:pPr>
      <w:r w:rsidRPr="3471A06A" w:rsidR="486808F4">
        <w:rPr>
          <w:rFonts w:ascii="Verdana" w:hAnsi="Verdana" w:eastAsia="Verdana" w:cs="Verdana"/>
          <w:noProof w:val="0"/>
          <w:sz w:val="18"/>
          <w:szCs w:val="18"/>
          <w:lang w:val="en-US"/>
        </w:rPr>
        <w:t>To ensure the agent is clinically grounded without compromising privacy, a dual-data strategy is employed:</w:t>
      </w:r>
    </w:p>
    <w:p w:rsidR="3471A06A" w:rsidP="3471A06A" w:rsidRDefault="3471A06A" w14:paraId="51C2CD6D" w14:textId="16B76063">
      <w:pPr>
        <w:spacing w:before="0" w:beforeAutospacing="off"/>
        <w:jc w:val="both"/>
        <w:rPr>
          <w:rFonts w:ascii="Verdana" w:hAnsi="Verdana" w:eastAsia="Verdana" w:cs="Verdana"/>
          <w:noProof w:val="0"/>
          <w:sz w:val="18"/>
          <w:szCs w:val="18"/>
          <w:lang w:val="en-US"/>
        </w:rPr>
      </w:pPr>
    </w:p>
    <w:p w:rsidR="486808F4" w:rsidP="3471A06A" w:rsidRDefault="486808F4" w14:paraId="53A0BCA0" w14:textId="63EFAEA9">
      <w:pPr>
        <w:pStyle w:val="Normal"/>
        <w:spacing w:before="0" w:beforeAutospacing="off"/>
        <w:ind w:left="0"/>
        <w:jc w:val="both"/>
        <w:rPr>
          <w:rFonts w:ascii="Verdana" w:hAnsi="Verdana" w:eastAsia="Verdana" w:cs="Verdana"/>
          <w:noProof w:val="0"/>
          <w:sz w:val="18"/>
          <w:szCs w:val="18"/>
          <w:lang w:val="en-US"/>
        </w:rPr>
      </w:pPr>
      <w:r w:rsidRPr="3471A06A" w:rsidR="486808F4">
        <w:rPr>
          <w:rFonts w:ascii="Verdana" w:hAnsi="Verdana" w:eastAsia="Verdana" w:cs="Verdana"/>
          <w:b w:val="1"/>
          <w:bCs w:val="1"/>
          <w:noProof w:val="0"/>
          <w:sz w:val="18"/>
          <w:szCs w:val="18"/>
          <w:lang w:val="en-US"/>
        </w:rPr>
        <w:t>Synthetic Data Generation (Synthea):</w:t>
      </w:r>
      <w:r w:rsidRPr="3471A06A" w:rsidR="486808F4">
        <w:rPr>
          <w:rFonts w:ascii="Verdana" w:hAnsi="Verdana" w:eastAsia="Verdana" w:cs="Verdana"/>
          <w:noProof w:val="0"/>
          <w:sz w:val="18"/>
          <w:szCs w:val="18"/>
          <w:lang w:val="en-US"/>
        </w:rPr>
        <w:t xml:space="preserve"> The primary training and testing dataset consists of approximately $18,000$ synthetic patient trajectories generated via </w:t>
      </w:r>
      <w:r w:rsidRPr="3471A06A" w:rsidR="486808F4">
        <w:rPr>
          <w:rFonts w:ascii="Verdana" w:hAnsi="Verdana" w:eastAsia="Verdana" w:cs="Verdana"/>
          <w:b w:val="1"/>
          <w:bCs w:val="1"/>
          <w:noProof w:val="0"/>
          <w:sz w:val="18"/>
          <w:szCs w:val="18"/>
          <w:lang w:val="en-US"/>
        </w:rPr>
        <w:t>Synthea</w:t>
      </w:r>
      <w:r w:rsidRPr="3471A06A" w:rsidR="486808F4">
        <w:rPr>
          <w:rFonts w:ascii="Verdana" w:hAnsi="Verdana" w:eastAsia="Verdana" w:cs="Verdana"/>
          <w:noProof w:val="0"/>
          <w:sz w:val="18"/>
          <w:szCs w:val="18"/>
          <w:lang w:val="en-US"/>
        </w:rPr>
        <w:t>. These FHIR-compliant records (including Patient, Condition, MedicationRequest, and Observation resources) simulate realistic disease progression and comorbidities.</w:t>
      </w:r>
    </w:p>
    <w:p w:rsidR="3471A06A" w:rsidP="3471A06A" w:rsidRDefault="3471A06A" w14:paraId="03CCCE6A" w14:textId="5CE3A011">
      <w:pPr>
        <w:pStyle w:val="Normal"/>
        <w:spacing w:before="0" w:beforeAutospacing="off"/>
        <w:ind w:left="0"/>
        <w:jc w:val="both"/>
        <w:rPr>
          <w:rFonts w:ascii="Verdana" w:hAnsi="Verdana" w:eastAsia="Verdana" w:cs="Verdana"/>
          <w:noProof w:val="0"/>
          <w:sz w:val="18"/>
          <w:szCs w:val="18"/>
          <w:lang w:val="en-US"/>
        </w:rPr>
      </w:pPr>
    </w:p>
    <w:p w:rsidR="486808F4" w:rsidP="3471A06A" w:rsidRDefault="486808F4" w14:paraId="6FFAE324" w14:textId="113B2A96">
      <w:pPr>
        <w:pStyle w:val="Normal"/>
        <w:spacing w:before="0" w:beforeAutospacing="off"/>
        <w:ind w:left="0"/>
        <w:jc w:val="both"/>
        <w:rPr>
          <w:rFonts w:ascii="Verdana" w:hAnsi="Verdana" w:eastAsia="Verdana" w:cs="Verdana"/>
          <w:noProof w:val="0"/>
          <w:sz w:val="18"/>
          <w:szCs w:val="18"/>
          <w:lang w:val="en-US"/>
        </w:rPr>
      </w:pPr>
      <w:r w:rsidRPr="3471A06A" w:rsidR="486808F4">
        <w:rPr>
          <w:rFonts w:ascii="Verdana" w:hAnsi="Verdana" w:eastAsia="Verdana" w:cs="Verdana"/>
          <w:b w:val="1"/>
          <w:bCs w:val="1"/>
          <w:noProof w:val="0"/>
          <w:sz w:val="18"/>
          <w:szCs w:val="18"/>
          <w:lang w:val="en-US"/>
        </w:rPr>
        <w:t>Hybrid Validation:</w:t>
      </w:r>
      <w:r w:rsidRPr="3471A06A" w:rsidR="486808F4">
        <w:rPr>
          <w:rFonts w:ascii="Verdana" w:hAnsi="Verdana" w:eastAsia="Verdana" w:cs="Verdana"/>
          <w:noProof w:val="0"/>
          <w:sz w:val="18"/>
          <w:szCs w:val="18"/>
          <w:lang w:val="en-US"/>
        </w:rPr>
        <w:t xml:space="preserve"> The system supports bulk NDJSON (Newline Delimited JSON) imports from local Synthea exports, allowing the agent to reason over massive longitudinal histories to detect subtle changes in patient condition over time.</w:t>
      </w:r>
    </w:p>
    <w:p w:rsidR="3471A06A" w:rsidP="3471A06A" w:rsidRDefault="3471A06A" w14:paraId="176C04EE" w14:textId="4ABBE022">
      <w:pPr>
        <w:pStyle w:val="Normal"/>
        <w:spacing w:before="0" w:beforeAutospacing="off"/>
        <w:ind w:left="0"/>
        <w:jc w:val="both"/>
        <w:rPr>
          <w:rFonts w:ascii="Verdana" w:hAnsi="Verdana" w:eastAsia="Verdana" w:cs="Verdana"/>
          <w:noProof w:val="0"/>
          <w:sz w:val="18"/>
          <w:szCs w:val="18"/>
          <w:lang w:val="en-US"/>
        </w:rPr>
      </w:pPr>
    </w:p>
    <w:p w:rsidR="486808F4" w:rsidP="3471A06A" w:rsidRDefault="486808F4" w14:paraId="64AB0BD4" w14:textId="640B4FC0">
      <w:pPr>
        <w:pStyle w:val="Normal"/>
        <w:spacing w:before="0" w:beforeAutospacing="off"/>
        <w:ind w:left="0"/>
        <w:jc w:val="both"/>
        <w:rPr>
          <w:rFonts w:ascii="Verdana" w:hAnsi="Verdana" w:eastAsia="Verdana" w:cs="Verdana"/>
          <w:noProof w:val="0"/>
          <w:sz w:val="18"/>
          <w:szCs w:val="18"/>
          <w:lang w:val="en-US"/>
        </w:rPr>
      </w:pPr>
      <w:r w:rsidRPr="3471A06A" w:rsidR="486808F4">
        <w:rPr>
          <w:rFonts w:ascii="Verdana" w:hAnsi="Verdana" w:eastAsia="Verdana" w:cs="Verdana"/>
          <w:b w:val="1"/>
          <w:bCs w:val="1"/>
          <w:noProof w:val="0"/>
          <w:sz w:val="18"/>
          <w:szCs w:val="18"/>
          <w:lang w:val="en-US"/>
        </w:rPr>
        <w:t>On-Demand Seeding:</w:t>
      </w:r>
      <w:r w:rsidRPr="3471A06A" w:rsidR="486808F4">
        <w:rPr>
          <w:rFonts w:ascii="Verdana" w:hAnsi="Verdana" w:eastAsia="Verdana" w:cs="Verdana"/>
          <w:noProof w:val="0"/>
          <w:sz w:val="18"/>
          <w:szCs w:val="18"/>
          <w:lang w:val="en-US"/>
        </w:rPr>
        <w:t xml:space="preserve"> For demonstration and pilot purposes, the system includes scripts to seed targeted "Hypertension cohorts," providing demo-ready data that includes specific adoption barriers and realistic medication adherence patterns.</w:t>
      </w:r>
    </w:p>
    <w:p w:rsidR="3471A06A" w:rsidP="3471A06A" w:rsidRDefault="3471A06A" w14:paraId="15CECD6B" w14:textId="1DB6F3A1">
      <w:pPr>
        <w:pStyle w:val="Normal"/>
        <w:spacing w:before="0" w:beforeAutospacing="off"/>
        <w:jc w:val="both"/>
        <w:rPr>
          <w:rFonts w:ascii="Verdana" w:hAnsi="Verdana" w:eastAsia="Verdana" w:cs="Verdana"/>
          <w:noProof w:val="0"/>
          <w:sz w:val="18"/>
          <w:szCs w:val="18"/>
          <w:lang w:val="en-US"/>
        </w:rPr>
      </w:pPr>
    </w:p>
    <w:p w:rsidR="76E94A0C" w:rsidP="0203AADA" w:rsidRDefault="76E94A0C" w14:paraId="5B860F52" w14:textId="08F70429">
      <w:pPr>
        <w:pStyle w:val="ListParagraph"/>
        <w:numPr>
          <w:ilvl w:val="0"/>
          <w:numId w:val="4"/>
        </w:numPr>
        <w:spacing w:before="0" w:beforeAutospacing="off" w:after="0" w:afterAutospacing="off"/>
        <w:jc w:val="both"/>
        <w:rPr>
          <w:rFonts w:ascii="Verdana" w:hAnsi="Verdana" w:eastAsia="Verdana" w:cs="Verdana"/>
          <w:b w:val="1"/>
          <w:bCs w:val="1"/>
          <w:noProof w:val="0"/>
          <w:color w:val="000000" w:themeColor="text1" w:themeTint="FF" w:themeShade="FF"/>
          <w:sz w:val="18"/>
          <w:szCs w:val="18"/>
          <w:lang w:val="en-US"/>
        </w:rPr>
      </w:pPr>
      <w:r w:rsidRPr="0203AADA" w:rsidR="76E94A0C">
        <w:rPr>
          <w:rFonts w:ascii="Verdana" w:hAnsi="Verdana" w:eastAsia="Verdana" w:cs="Verdana"/>
          <w:b w:val="1"/>
          <w:bCs w:val="1"/>
          <w:noProof w:val="0"/>
          <w:color w:val="000000" w:themeColor="text1" w:themeTint="FF" w:themeShade="FF"/>
          <w:sz w:val="18"/>
          <w:szCs w:val="18"/>
          <w:lang w:val="en-US"/>
        </w:rPr>
        <w:t>Data Analysis</w:t>
      </w:r>
    </w:p>
    <w:p w:rsidR="0203AADA" w:rsidP="0203AADA" w:rsidRDefault="0203AADA" w14:paraId="78802856" w14:textId="6D589B9C">
      <w:pPr>
        <w:pStyle w:val="Normal"/>
        <w:spacing w:before="0" w:beforeAutospacing="off" w:after="0" w:afterAutospacing="off"/>
        <w:jc w:val="both"/>
        <w:rPr>
          <w:rFonts w:ascii="Verdana" w:hAnsi="Verdana" w:eastAsia="Verdana" w:cs="Verdana"/>
          <w:b w:val="1"/>
          <w:bCs w:val="1"/>
          <w:noProof w:val="0"/>
          <w:color w:val="000000" w:themeColor="text1" w:themeTint="FF" w:themeShade="FF"/>
          <w:sz w:val="18"/>
          <w:szCs w:val="18"/>
          <w:lang w:val="en-US"/>
        </w:rPr>
      </w:pPr>
    </w:p>
    <w:p w:rsidR="76E94A0C" w:rsidP="0203AADA" w:rsidRDefault="76E94A0C" w14:paraId="5DE50A2D" w14:textId="28AC9165">
      <w:pPr>
        <w:jc w:val="both"/>
      </w:pPr>
      <w:r w:rsidRPr="0203AADA" w:rsidR="76E94A0C">
        <w:rPr>
          <w:rFonts w:ascii="Verdana" w:hAnsi="Verdana" w:eastAsia="Verdana" w:cs="Verdana"/>
          <w:noProof w:val="0"/>
          <w:sz w:val="18"/>
          <w:szCs w:val="18"/>
          <w:lang w:val="en-US"/>
        </w:rPr>
        <w:t xml:space="preserve">Following the collection of four FHIR NDJSON files from the Synthea synthetic patient generator, a comprehensive exploratory analysis was conducted to characterize the dataset, </w:t>
      </w:r>
      <w:r w:rsidRPr="0203AADA" w:rsidR="76E94A0C">
        <w:rPr>
          <w:rFonts w:ascii="Verdana" w:hAnsi="Verdana" w:eastAsia="Verdana" w:cs="Verdana"/>
          <w:noProof w:val="0"/>
          <w:sz w:val="18"/>
          <w:szCs w:val="18"/>
          <w:lang w:val="en-US"/>
        </w:rPr>
        <w:t>validate</w:t>
      </w:r>
      <w:r w:rsidRPr="0203AADA" w:rsidR="76E94A0C">
        <w:rPr>
          <w:rFonts w:ascii="Verdana" w:hAnsi="Verdana" w:eastAsia="Verdana" w:cs="Verdana"/>
          <w:noProof w:val="0"/>
          <w:sz w:val="18"/>
          <w:szCs w:val="18"/>
          <w:lang w:val="en-US"/>
        </w:rPr>
        <w:t xml:space="preserve"> its clinical sufficiency, and </w:t>
      </w:r>
      <w:r w:rsidRPr="0203AADA" w:rsidR="76E94A0C">
        <w:rPr>
          <w:rFonts w:ascii="Verdana" w:hAnsi="Verdana" w:eastAsia="Verdana" w:cs="Verdana"/>
          <w:noProof w:val="0"/>
          <w:sz w:val="18"/>
          <w:szCs w:val="18"/>
          <w:lang w:val="en-US"/>
        </w:rPr>
        <w:t>identify</w:t>
      </w:r>
      <w:r w:rsidRPr="0203AADA" w:rsidR="76E94A0C">
        <w:rPr>
          <w:rFonts w:ascii="Verdana" w:hAnsi="Verdana" w:eastAsia="Verdana" w:cs="Verdana"/>
          <w:noProof w:val="0"/>
          <w:sz w:val="18"/>
          <w:szCs w:val="18"/>
          <w:lang w:val="en-US"/>
        </w:rPr>
        <w:t xml:space="preserve"> the specific patient cohorts that would exercise each of the system’s agent workflows. The analysis encompasses 2,263 patients and 1.39 million total records spanning Conditions, Observations, and MedicationRequests</w:t>
      </w:r>
      <w:r w:rsidRPr="0203AADA" w:rsidR="13CB258A">
        <w:rPr>
          <w:rFonts w:ascii="Verdana" w:hAnsi="Verdana" w:eastAsia="Verdana" w:cs="Verdana"/>
          <w:noProof w:val="0"/>
          <w:sz w:val="18"/>
          <w:szCs w:val="18"/>
          <w:lang w:val="en-US"/>
        </w:rPr>
        <w:t xml:space="preserve">, </w:t>
      </w:r>
      <w:r w:rsidRPr="0203AADA" w:rsidR="76E94A0C">
        <w:rPr>
          <w:rFonts w:ascii="Verdana" w:hAnsi="Verdana" w:eastAsia="Verdana" w:cs="Verdana"/>
          <w:noProof w:val="0"/>
          <w:sz w:val="18"/>
          <w:szCs w:val="18"/>
          <w:lang w:val="en-US"/>
        </w:rPr>
        <w:t xml:space="preserve">all generated against a Massachusetts population model for the period 2000–2026. Records predating the year 2000 were excluded from all downstream calculations to </w:t>
      </w:r>
      <w:r w:rsidRPr="0203AADA" w:rsidR="76E94A0C">
        <w:rPr>
          <w:rFonts w:ascii="Verdana" w:hAnsi="Verdana" w:eastAsia="Verdana" w:cs="Verdana"/>
          <w:noProof w:val="0"/>
          <w:sz w:val="18"/>
          <w:szCs w:val="18"/>
          <w:lang w:val="en-US"/>
        </w:rPr>
        <w:t>eliminate</w:t>
      </w:r>
      <w:r w:rsidRPr="0203AADA" w:rsidR="76E94A0C">
        <w:rPr>
          <w:rFonts w:ascii="Verdana" w:hAnsi="Verdana" w:eastAsia="Verdana" w:cs="Verdana"/>
          <w:noProof w:val="0"/>
          <w:sz w:val="18"/>
          <w:szCs w:val="18"/>
          <w:lang w:val="en-US"/>
        </w:rPr>
        <w:t xml:space="preserve"> Synthea’s early-cohort initialization artifacts, consistent with the project’s </w:t>
      </w:r>
      <w:r w:rsidRPr="0203AADA" w:rsidR="76E94A0C">
        <w:rPr>
          <w:rFonts w:ascii="Verdana" w:hAnsi="Verdana" w:eastAsia="Verdana" w:cs="Verdana"/>
          <w:noProof w:val="0"/>
          <w:sz w:val="18"/>
          <w:szCs w:val="18"/>
          <w:lang w:val="en-US"/>
        </w:rPr>
        <w:t>minimum</w:t>
      </w:r>
      <w:r w:rsidRPr="0203AADA" w:rsidR="76E94A0C">
        <w:rPr>
          <w:rFonts w:ascii="Verdana" w:hAnsi="Verdana" w:eastAsia="Verdana" w:cs="Verdana"/>
          <w:noProof w:val="0"/>
          <w:sz w:val="18"/>
          <w:szCs w:val="18"/>
          <w:lang w:val="en-US"/>
        </w:rPr>
        <w:t xml:space="preserve"> </w:t>
      </w:r>
      <w:r w:rsidRPr="0203AADA" w:rsidR="76E94A0C">
        <w:rPr>
          <w:rFonts w:ascii="Verdana" w:hAnsi="Verdana" w:eastAsia="Verdana" w:cs="Verdana"/>
          <w:noProof w:val="0"/>
          <w:sz w:val="18"/>
          <w:szCs w:val="18"/>
          <w:lang w:val="en-US"/>
        </w:rPr>
        <w:t>viable</w:t>
      </w:r>
      <w:r w:rsidRPr="0203AADA" w:rsidR="76E94A0C">
        <w:rPr>
          <w:rFonts w:ascii="Verdana" w:hAnsi="Verdana" w:eastAsia="Verdana" w:cs="Verdana"/>
          <w:noProof w:val="0"/>
          <w:sz w:val="18"/>
          <w:szCs w:val="18"/>
          <w:lang w:val="en-US"/>
        </w:rPr>
        <w:t xml:space="preserve"> product (MVP) scoping guidelines (Walonoski et al., 2018, p. 233).</w:t>
      </w:r>
    </w:p>
    <w:p w:rsidR="76E94A0C" w:rsidP="0203AADA" w:rsidRDefault="76E94A0C" w14:paraId="046FC74F" w14:textId="3979536A">
      <w:pPr>
        <w:jc w:val="both"/>
      </w:pPr>
      <w:r w:rsidRPr="0203AADA" w:rsidR="76E94A0C">
        <w:rPr>
          <w:rFonts w:ascii="Verdana" w:hAnsi="Verdana" w:eastAsia="Verdana" w:cs="Verdana"/>
          <w:b w:val="1"/>
          <w:bCs w:val="1"/>
          <w:noProof w:val="0"/>
          <w:sz w:val="18"/>
          <w:szCs w:val="18"/>
          <w:lang w:val="en-US"/>
        </w:rPr>
        <w:t>Patient Population Profile:</w:t>
      </w:r>
      <w:r w:rsidRPr="0203AADA" w:rsidR="76E94A0C">
        <w:rPr>
          <w:rFonts w:ascii="Verdana" w:hAnsi="Verdana" w:eastAsia="Verdana" w:cs="Verdana"/>
          <w:noProof w:val="0"/>
          <w:sz w:val="18"/>
          <w:szCs w:val="18"/>
          <w:lang w:val="en-US"/>
        </w:rPr>
        <w:t xml:space="preserve"> The cohort of 2,263 patients exhibits a near-equal gender distribution (49.5% female, 50.5% male) and a mean age of 44.6 years, reflecting a broad adult primary care panel. A notable demographic limitation was identified: 81.8% of the cohort is classified as White, which introduces a population homogeneity constraint that will affect the generalizability of any risk model trained on this dataset. This skew is an artifact of Synthea’s default Massachusetts demographic model and is flagged as a known gap requiring augmentation prior to any production deployment. Additionally, 11.6% of patients are marked as deceased, whose longitudinal records remain available for retrospective trend analysis but are excluded from prospective care gap calculations.</w:t>
      </w:r>
    </w:p>
    <w:p w:rsidR="76E94A0C" w:rsidP="0203AADA" w:rsidRDefault="76E94A0C" w14:paraId="20296552" w14:textId="7006844F">
      <w:pPr>
        <w:jc w:val="both"/>
      </w:pPr>
      <w:r w:rsidRPr="0203AADA" w:rsidR="76E94A0C">
        <w:rPr>
          <w:rFonts w:ascii="Verdana" w:hAnsi="Verdana" w:eastAsia="Verdana" w:cs="Verdana"/>
          <w:b w:val="1"/>
          <w:bCs w:val="1"/>
          <w:noProof w:val="0"/>
          <w:sz w:val="18"/>
          <w:szCs w:val="18"/>
          <w:lang w:val="en-US"/>
        </w:rPr>
        <w:t>Hypertension Cohort Construction (MVP Working Set):</w:t>
      </w:r>
      <w:r w:rsidRPr="0203AADA" w:rsidR="76E94A0C">
        <w:rPr>
          <w:rFonts w:ascii="Verdana" w:hAnsi="Verdana" w:eastAsia="Verdana" w:cs="Verdana"/>
          <w:noProof w:val="0"/>
          <w:sz w:val="18"/>
          <w:szCs w:val="18"/>
          <w:lang w:val="en-US"/>
        </w:rPr>
        <w:t xml:space="preserve"> Hypertension was selected as the vertical slice for the MVP because it is the most prevalent chronic condition in the dataset and the most directly supported by the 2026 CMS ACCESS Model’s outcome metrics (Centers for Medicare &amp; Medicaid Services, 2025, para. 3). A patient was classified as a hypertension indicator if they met any one of three operationalized criteria: an active SNOMED CT-coded hypertension diagnosis, at least one antihypertensive MedicationRequest, or a recent average systolic blood pressure (SBP) at or above the AHA/ACC 2017 Stage 1 threshold of 130 mmHg. Applying this inclusive classification, 1,101 patients (48.7% of the full cohort) qualify as the primary working set. Within this group, 536 patients carry an active SNOMED-coded diagnosis (23.7%), 749 have at least one antihypertensive prescription on record (33.1%), and 496 present with an elevated recent average SBP (21.9%). A more conservative sub-cohort of 144 patients (6.4%) satisfies both the diagnostic and pharmacological criteria simultaneously, representing confirmed, treated hypertension cases that serve as a ground-truth validation set for the Monitoring Agent’s trend classification logic.</w:t>
      </w:r>
    </w:p>
    <w:p w:rsidR="76E94A0C" w:rsidP="0203AADA" w:rsidRDefault="76E94A0C" w14:paraId="0BD13F92" w14:textId="40B6F5CB">
      <w:pPr>
        <w:jc w:val="both"/>
      </w:pPr>
      <w:r w:rsidRPr="0203AADA" w:rsidR="76E94A0C">
        <w:rPr>
          <w:rFonts w:ascii="Verdana" w:hAnsi="Verdana" w:eastAsia="Verdana" w:cs="Verdana"/>
          <w:b w:val="1"/>
          <w:bCs w:val="1"/>
          <w:noProof w:val="0"/>
          <w:sz w:val="18"/>
          <w:szCs w:val="18"/>
          <w:lang w:val="en-US"/>
        </w:rPr>
        <w:t>Blood Pressure Observation Analysis:</w:t>
      </w:r>
      <w:r w:rsidRPr="0203AADA" w:rsidR="76E94A0C">
        <w:rPr>
          <w:rFonts w:ascii="Verdana" w:hAnsi="Verdana" w:eastAsia="Verdana" w:cs="Verdana"/>
          <w:noProof w:val="0"/>
          <w:sz w:val="18"/>
          <w:szCs w:val="18"/>
          <w:lang w:val="en-US"/>
        </w:rPr>
        <w:t xml:space="preserve"> The Observation resource table contains 33,177 blood pressure panel readings, all with 100% diastolic completeness—a critical prerequisite for AHA/ACC 2017 stage classification, which requires both systolic and diastolic values. The population-level mean SBP is 116.5 mmHg (median: 118 mmHg), indicating a left-skewed distribution consistent with a general adult panel that includes a substantial normotensive majority. Despite this, 21.4% of all readings fall within AHA/ACC Stage 1 or Stage 2 hypertension thresholds, providing a robust volume of clinically significant observations for the Monitoring Agent’s longitudinal trend engine. The dataset contains no readings at or above the hypertensive crisis threshold (SBP ≥ 180 mmHg), with the maximum observed SBP at 177 mmHg. This absence represents a known gap for demonstrating the Reasoning Agent’s highest-acuity alert pathway; accordingly, the injection of 5–10 synthetic hypertensive crisis cases is planned prior to any live demonstration. The Monitoring Agent benefits from strong longitudinal depth, with a median of 10 BP readings per patient recorded across a 26-year observation window, enabling statistically reliable trend classification into Improving, Worsening, or Stable trajectories.</w:t>
      </w:r>
    </w:p>
    <w:p w:rsidR="76E94A0C" w:rsidP="0203AADA" w:rsidRDefault="76E94A0C" w14:paraId="5132CB4A" w14:textId="0AC9B400">
      <w:pPr>
        <w:jc w:val="both"/>
      </w:pPr>
      <w:r w:rsidRPr="0203AADA" w:rsidR="76E94A0C">
        <w:rPr>
          <w:rFonts w:ascii="Verdana" w:hAnsi="Verdana" w:eastAsia="Verdana" w:cs="Verdana"/>
          <w:b w:val="1"/>
          <w:bCs w:val="1"/>
          <w:noProof w:val="0"/>
          <w:sz w:val="18"/>
          <w:szCs w:val="18"/>
          <w:lang w:val="en-US"/>
        </w:rPr>
        <w:t>Care Gap Signal and Reasoning Agent Target Population:</w:t>
      </w:r>
      <w:r w:rsidRPr="0203AADA" w:rsidR="76E94A0C">
        <w:rPr>
          <w:rFonts w:ascii="Verdana" w:hAnsi="Verdana" w:eastAsia="Verdana" w:cs="Verdana"/>
          <w:noProof w:val="0"/>
          <w:sz w:val="18"/>
          <w:szCs w:val="18"/>
          <w:lang w:val="en-US"/>
        </w:rPr>
        <w:t xml:space="preserve"> The most clinically significant finding of the data analysis phase is the identification of a high-signal care gap population: 352 patients present with a recent average SBP at or above 130 mmHg but have zero antihypertensive MedicationRequests on record, representing a 71% untreated rate within the elevated-BP sub-cohort. This segment constitutes the primary demonstration target for the Reasoning Agent’s “90-Second Clinician Scan,” as each patient in this group represents a direct, actionable care opportunity that the current passive EHR model fails to surface proactively (Wright et al., 2025, p. 3). The identification of this cohort empirically validates the project’s core problem statement: the existence of clinically significant data that, while present in the record system, remains invisible without an active reasoning layer to interrogate it.</w:t>
      </w:r>
    </w:p>
    <w:p w:rsidR="76E94A0C" w:rsidP="0203AADA" w:rsidRDefault="76E94A0C" w14:paraId="51528BE2" w14:textId="32A67EAF">
      <w:pPr>
        <w:jc w:val="both"/>
      </w:pPr>
      <w:r w:rsidRPr="0203AADA" w:rsidR="76E94A0C">
        <w:rPr>
          <w:rFonts w:ascii="Verdana" w:hAnsi="Verdana" w:eastAsia="Verdana" w:cs="Verdana"/>
          <w:b w:val="1"/>
          <w:bCs w:val="1"/>
          <w:noProof w:val="0"/>
          <w:sz w:val="18"/>
          <w:szCs w:val="18"/>
          <w:lang w:val="en-US"/>
        </w:rPr>
        <w:t>Antihypertensive Medication Distribution:</w:t>
      </w:r>
      <w:r w:rsidRPr="0203AADA" w:rsidR="76E94A0C">
        <w:rPr>
          <w:rFonts w:ascii="Verdana" w:hAnsi="Verdana" w:eastAsia="Verdana" w:cs="Verdana"/>
          <w:noProof w:val="0"/>
          <w:sz w:val="18"/>
          <w:szCs w:val="18"/>
          <w:lang w:val="en-US"/>
        </w:rPr>
        <w:t xml:space="preserve"> Analysis of the MedicationRequest resource confirms a clinically realistic drug distribution across the three dominant antihypertensive classes. ACE Inhibitors represent the largest share (38%), led by Lisinopril 10mg with 10,462 prescriptions, consistent with JNC 8 and AHA/ACC 2017 guidelines that position ACE inhibitors as first-line monotherapy for most hypertensive patients. Thiazide Diuretics account for 31% of prescriptions, with Hydrochlorothiazide (HCTZ) 25mg as the second most prescribed agent at 8,153 records. Calcium Channel Blockers (CCBs) represent 28%, led by Amlodipine 2.5mg with 7,505 prescriptions. Critically, 75 patients are identified as carrying prescriptions from four or more distinct drug classes simultaneously, meeting the operational definition of resistant hypertension. This sub-cohort is the primary candidate for the Reasoning Agent’s complex care plan decomposition capability, where multi-step clinical reasoning is required to evaluate drug-drug interaction risk, adherence barriers, and secondary-cause workup necessity.</w:t>
      </w:r>
    </w:p>
    <w:p w:rsidR="76E94A0C" w:rsidP="0203AADA" w:rsidRDefault="76E94A0C" w14:paraId="22A57730" w14:textId="6AD5E4A5">
      <w:pPr>
        <w:jc w:val="both"/>
      </w:pPr>
      <w:r w:rsidRPr="0203AADA" w:rsidR="76E94A0C">
        <w:rPr>
          <w:rFonts w:ascii="Verdana" w:hAnsi="Verdana" w:eastAsia="Verdana" w:cs="Verdana"/>
          <w:b w:val="1"/>
          <w:bCs w:val="1"/>
          <w:noProof w:val="0"/>
          <w:sz w:val="18"/>
          <w:szCs w:val="18"/>
          <w:lang w:val="en-US"/>
        </w:rPr>
        <w:t>Comorbidity Profile and Longitudinal Risk Stratification:</w:t>
      </w:r>
      <w:r w:rsidRPr="0203AADA" w:rsidR="76E94A0C">
        <w:rPr>
          <w:rFonts w:ascii="Verdana" w:hAnsi="Verdana" w:eastAsia="Verdana" w:cs="Verdana"/>
          <w:noProof w:val="0"/>
          <w:sz w:val="18"/>
          <w:szCs w:val="18"/>
          <w:lang w:val="en-US"/>
        </w:rPr>
        <w:t xml:space="preserve"> Within the hypertension cohort, the comorbidity burden is </w:t>
      </w:r>
      <w:r w:rsidRPr="0203AADA" w:rsidR="76E94A0C">
        <w:rPr>
          <w:rFonts w:ascii="Verdana" w:hAnsi="Verdana" w:eastAsia="Verdana" w:cs="Verdana"/>
          <w:noProof w:val="0"/>
          <w:sz w:val="18"/>
          <w:szCs w:val="18"/>
          <w:lang w:val="en-US"/>
        </w:rPr>
        <w:t>substantial</w:t>
      </w:r>
      <w:r w:rsidRPr="0203AADA" w:rsidR="76E94A0C">
        <w:rPr>
          <w:rFonts w:ascii="Verdana" w:hAnsi="Verdana" w:eastAsia="Verdana" w:cs="Verdana"/>
          <w:noProof w:val="0"/>
          <w:sz w:val="18"/>
          <w:szCs w:val="18"/>
          <w:lang w:val="en-US"/>
        </w:rPr>
        <w:t xml:space="preserve"> and clinically realistic. Obesity (BMI ≥ 30) is present in 47.0% of patients, prediabetes in 35.3%, and prior stroke or TIA in 24.6%</w:t>
      </w:r>
      <w:r w:rsidRPr="0203AADA" w:rsidR="061A0528">
        <w:rPr>
          <w:rFonts w:ascii="Verdana" w:hAnsi="Verdana" w:eastAsia="Verdana" w:cs="Verdana"/>
          <w:noProof w:val="0"/>
          <w:sz w:val="18"/>
          <w:szCs w:val="18"/>
          <w:lang w:val="en-US"/>
        </w:rPr>
        <w:t xml:space="preserve"> </w:t>
      </w:r>
      <w:r w:rsidRPr="0203AADA" w:rsidR="76E94A0C">
        <w:rPr>
          <w:rFonts w:ascii="Verdana" w:hAnsi="Verdana" w:eastAsia="Verdana" w:cs="Verdana"/>
          <w:noProof w:val="0"/>
          <w:sz w:val="18"/>
          <w:szCs w:val="18"/>
          <w:lang w:val="en-US"/>
        </w:rPr>
        <w:t xml:space="preserve">all conditions that elevate cardiovascular risk and directly inform the Reasoning Agent’s care gap severity scoring. Type 2 Diabetes (12.7%) and ischemic heart disease (11.5%) are also prevalent, providing a representative multi-morbidity panel that reflects the complexity of patients commonly </w:t>
      </w:r>
      <w:r w:rsidRPr="0203AADA" w:rsidR="76E94A0C">
        <w:rPr>
          <w:rFonts w:ascii="Verdana" w:hAnsi="Verdana" w:eastAsia="Verdana" w:cs="Verdana"/>
          <w:noProof w:val="0"/>
          <w:sz w:val="18"/>
          <w:szCs w:val="18"/>
          <w:lang w:val="en-US"/>
        </w:rPr>
        <w:t>encountered</w:t>
      </w:r>
      <w:r w:rsidRPr="0203AADA" w:rsidR="76E94A0C">
        <w:rPr>
          <w:rFonts w:ascii="Verdana" w:hAnsi="Verdana" w:eastAsia="Verdana" w:cs="Verdana"/>
          <w:noProof w:val="0"/>
          <w:sz w:val="18"/>
          <w:szCs w:val="18"/>
          <w:lang w:val="en-US"/>
        </w:rPr>
        <w:t xml:space="preserve"> in chronic care management programs (</w:t>
      </w:r>
      <w:r w:rsidRPr="0203AADA" w:rsidR="76E94A0C">
        <w:rPr>
          <w:rFonts w:ascii="Verdana" w:hAnsi="Verdana" w:eastAsia="Verdana" w:cs="Verdana"/>
          <w:noProof w:val="0"/>
          <w:sz w:val="18"/>
          <w:szCs w:val="18"/>
          <w:lang w:val="en-US"/>
        </w:rPr>
        <w:t>Arunasalam</w:t>
      </w:r>
      <w:r w:rsidRPr="0203AADA" w:rsidR="76E94A0C">
        <w:rPr>
          <w:rFonts w:ascii="Verdana" w:hAnsi="Verdana" w:eastAsia="Verdana" w:cs="Verdana"/>
          <w:noProof w:val="0"/>
          <w:sz w:val="18"/>
          <w:szCs w:val="18"/>
          <w:lang w:val="en-US"/>
        </w:rPr>
        <w:t xml:space="preserve"> et al., 2024, p. 4).</w:t>
      </w:r>
    </w:p>
    <w:p w:rsidR="76E94A0C" w:rsidP="0203AADA" w:rsidRDefault="76E94A0C" w14:paraId="60C6C124" w14:textId="7C25ACFF">
      <w:pPr>
        <w:jc w:val="both"/>
      </w:pPr>
      <w:r w:rsidRPr="0203AADA" w:rsidR="76E94A0C">
        <w:rPr>
          <w:rFonts w:ascii="Verdana" w:hAnsi="Verdana" w:eastAsia="Verdana" w:cs="Verdana"/>
          <w:noProof w:val="0"/>
          <w:sz w:val="18"/>
          <w:szCs w:val="18"/>
          <w:lang w:val="en-US"/>
        </w:rPr>
        <w:t xml:space="preserve">Longitudinal risk stratification of the hypertension cohort using a minimum of three consecutive BP readings </w:t>
      </w:r>
      <w:r w:rsidRPr="0203AADA" w:rsidR="76E94A0C">
        <w:rPr>
          <w:rFonts w:ascii="Verdana" w:hAnsi="Verdana" w:eastAsia="Verdana" w:cs="Verdana"/>
          <w:noProof w:val="0"/>
          <w:sz w:val="18"/>
          <w:szCs w:val="18"/>
          <w:lang w:val="en-US"/>
        </w:rPr>
        <w:t>identifies</w:t>
      </w:r>
      <w:r w:rsidRPr="0203AADA" w:rsidR="76E94A0C">
        <w:rPr>
          <w:rFonts w:ascii="Verdana" w:hAnsi="Verdana" w:eastAsia="Verdana" w:cs="Verdana"/>
          <w:noProof w:val="0"/>
          <w:sz w:val="18"/>
          <w:szCs w:val="18"/>
          <w:lang w:val="en-US"/>
        </w:rPr>
        <w:t xml:space="preserve"> three actionable patient segments. The high-risk tier</w:t>
      </w:r>
      <w:r w:rsidRPr="0203AADA" w:rsidR="43789284">
        <w:rPr>
          <w:rFonts w:ascii="Verdana" w:hAnsi="Verdana" w:eastAsia="Verdana" w:cs="Verdana"/>
          <w:noProof w:val="0"/>
          <w:sz w:val="18"/>
          <w:szCs w:val="18"/>
          <w:lang w:val="en-US"/>
        </w:rPr>
        <w:t xml:space="preserve"> </w:t>
      </w:r>
      <w:r w:rsidRPr="0203AADA" w:rsidR="76E94A0C">
        <w:rPr>
          <w:rFonts w:ascii="Verdana" w:hAnsi="Verdana" w:eastAsia="Verdana" w:cs="Verdana"/>
          <w:noProof w:val="0"/>
          <w:sz w:val="18"/>
          <w:szCs w:val="18"/>
          <w:lang w:val="en-US"/>
        </w:rPr>
        <w:t>146 patients with a recent average SBP at or above 140 mmHg</w:t>
      </w:r>
      <w:r w:rsidRPr="0203AADA" w:rsidR="3C307DF1">
        <w:rPr>
          <w:rFonts w:ascii="Verdana" w:hAnsi="Verdana" w:eastAsia="Verdana" w:cs="Verdana"/>
          <w:noProof w:val="0"/>
          <w:sz w:val="18"/>
          <w:szCs w:val="18"/>
          <w:lang w:val="en-US"/>
        </w:rPr>
        <w:t xml:space="preserve"> </w:t>
      </w:r>
      <w:r w:rsidRPr="0203AADA" w:rsidR="76E94A0C">
        <w:rPr>
          <w:rFonts w:ascii="Verdana" w:hAnsi="Verdana" w:eastAsia="Verdana" w:cs="Verdana"/>
          <w:noProof w:val="0"/>
          <w:sz w:val="18"/>
          <w:szCs w:val="18"/>
          <w:lang w:val="en-US"/>
        </w:rPr>
        <w:t xml:space="preserve">constitute the immediate priority intervention queue for the Reasoning Agent. A worsening trajectory tier of 189 patients, defined by a sustained SBP increase greater than 5 mmHg over their most recent readings, </w:t>
      </w:r>
      <w:r w:rsidRPr="0203AADA" w:rsidR="76E94A0C">
        <w:rPr>
          <w:rFonts w:ascii="Verdana" w:hAnsi="Verdana" w:eastAsia="Verdana" w:cs="Verdana"/>
          <w:noProof w:val="0"/>
          <w:sz w:val="18"/>
          <w:szCs w:val="18"/>
          <w:lang w:val="en-US"/>
        </w:rPr>
        <w:t>represents</w:t>
      </w:r>
      <w:r w:rsidRPr="0203AADA" w:rsidR="76E94A0C">
        <w:rPr>
          <w:rFonts w:ascii="Verdana" w:hAnsi="Verdana" w:eastAsia="Verdana" w:cs="Verdana"/>
          <w:noProof w:val="0"/>
          <w:sz w:val="18"/>
          <w:szCs w:val="18"/>
          <w:lang w:val="en-US"/>
        </w:rPr>
        <w:t xml:space="preserve"> the proactive PUSH alert candidates that the Monitoring Agent is designed to surface before clinical deterioration escalates. Conversely, 350 patients </w:t>
      </w:r>
      <w:r w:rsidRPr="0203AADA" w:rsidR="76E94A0C">
        <w:rPr>
          <w:rFonts w:ascii="Verdana" w:hAnsi="Verdana" w:eastAsia="Verdana" w:cs="Verdana"/>
          <w:noProof w:val="0"/>
          <w:sz w:val="18"/>
          <w:szCs w:val="18"/>
          <w:lang w:val="en-US"/>
        </w:rPr>
        <w:t>demonstrate</w:t>
      </w:r>
      <w:r w:rsidRPr="0203AADA" w:rsidR="76E94A0C">
        <w:rPr>
          <w:rFonts w:ascii="Verdana" w:hAnsi="Verdana" w:eastAsia="Verdana" w:cs="Verdana"/>
          <w:noProof w:val="0"/>
          <w:sz w:val="18"/>
          <w:szCs w:val="18"/>
          <w:lang w:val="en-US"/>
        </w:rPr>
        <w:t xml:space="preserve"> an improving trajectory, providing a validation cohort for measuring the system’s ability to confirm treatment response</w:t>
      </w:r>
      <w:r w:rsidRPr="0203AADA" w:rsidR="33E5E1A8">
        <w:rPr>
          <w:rFonts w:ascii="Verdana" w:hAnsi="Verdana" w:eastAsia="Verdana" w:cs="Verdana"/>
          <w:noProof w:val="0"/>
          <w:sz w:val="18"/>
          <w:szCs w:val="18"/>
          <w:lang w:val="en-US"/>
        </w:rPr>
        <w:t xml:space="preserve">, </w:t>
      </w:r>
      <w:r w:rsidRPr="0203AADA" w:rsidR="76E94A0C">
        <w:rPr>
          <w:rFonts w:ascii="Verdana" w:hAnsi="Verdana" w:eastAsia="Verdana" w:cs="Verdana"/>
          <w:noProof w:val="0"/>
          <w:sz w:val="18"/>
          <w:szCs w:val="18"/>
          <w:lang w:val="en-US"/>
        </w:rPr>
        <w:t xml:space="preserve">a direct demonstration of the CMS ACCESS Model’s outcome-alignment logic in practice (Centers for Medicare &amp; Medicaid Services, 2025, para. 3; </w:t>
      </w:r>
      <w:r w:rsidRPr="0203AADA" w:rsidR="76E94A0C">
        <w:rPr>
          <w:rFonts w:ascii="Verdana" w:hAnsi="Verdana" w:eastAsia="Verdana" w:cs="Verdana"/>
          <w:noProof w:val="0"/>
          <w:sz w:val="18"/>
          <w:szCs w:val="18"/>
          <w:lang w:val="en-US"/>
        </w:rPr>
        <w:t>Khatana</w:t>
      </w:r>
      <w:r w:rsidRPr="0203AADA" w:rsidR="76E94A0C">
        <w:rPr>
          <w:rFonts w:ascii="Verdana" w:hAnsi="Verdana" w:eastAsia="Verdana" w:cs="Verdana"/>
          <w:noProof w:val="0"/>
          <w:sz w:val="18"/>
          <w:szCs w:val="18"/>
          <w:lang w:val="en-US"/>
        </w:rPr>
        <w:t xml:space="preserve"> et al., 2025, p. 5).</w:t>
      </w:r>
    </w:p>
    <w:p w:rsidR="76E94A0C" w:rsidP="0203AADA" w:rsidRDefault="76E94A0C" w14:paraId="7A5409D8" w14:textId="65CB5445">
      <w:pPr>
        <w:jc w:val="both"/>
      </w:pPr>
      <w:r w:rsidRPr="0203AADA" w:rsidR="76E94A0C">
        <w:rPr>
          <w:rFonts w:ascii="Verdana" w:hAnsi="Verdana" w:eastAsia="Verdana" w:cs="Verdana"/>
          <w:b w:val="1"/>
          <w:bCs w:val="1"/>
          <w:noProof w:val="0"/>
          <w:sz w:val="18"/>
          <w:szCs w:val="18"/>
          <w:lang w:val="en-US"/>
        </w:rPr>
        <w:t>MVP Readiness Assessment and Known Gaps:</w:t>
      </w:r>
      <w:r w:rsidRPr="0203AADA" w:rsidR="76E94A0C">
        <w:rPr>
          <w:rFonts w:ascii="Verdana" w:hAnsi="Verdana" w:eastAsia="Verdana" w:cs="Verdana"/>
          <w:noProof w:val="0"/>
          <w:sz w:val="18"/>
          <w:szCs w:val="18"/>
          <w:lang w:val="en-US"/>
        </w:rPr>
        <w:t xml:space="preserve"> The dataset is assessed as MVP-ready across all four </w:t>
      </w:r>
      <w:r w:rsidRPr="0203AADA" w:rsidR="76E94A0C">
        <w:rPr>
          <w:rFonts w:ascii="Verdana" w:hAnsi="Verdana" w:eastAsia="Verdana" w:cs="Verdana"/>
          <w:noProof w:val="0"/>
          <w:sz w:val="18"/>
          <w:szCs w:val="18"/>
          <w:lang w:val="en-US"/>
        </w:rPr>
        <w:t>FastAPI</w:t>
      </w:r>
      <w:r w:rsidRPr="0203AADA" w:rsidR="76E94A0C">
        <w:rPr>
          <w:rFonts w:ascii="Verdana" w:hAnsi="Verdana" w:eastAsia="Verdana" w:cs="Verdana"/>
          <w:noProof w:val="0"/>
          <w:sz w:val="18"/>
          <w:szCs w:val="18"/>
          <w:lang w:val="en-US"/>
        </w:rPr>
        <w:t xml:space="preserve"> endpoints. The Ingestion Agent’s FHIR NDJSON import pipeline is directly matched to the bulk export format produced by Synthea, requiring no </w:t>
      </w:r>
      <w:r w:rsidRPr="0203AADA" w:rsidR="76E94A0C">
        <w:rPr>
          <w:rFonts w:ascii="Verdana" w:hAnsi="Verdana" w:eastAsia="Verdana" w:cs="Verdana"/>
          <w:noProof w:val="0"/>
          <w:sz w:val="18"/>
          <w:szCs w:val="18"/>
          <w:lang w:val="en-US"/>
        </w:rPr>
        <w:t>additional</w:t>
      </w:r>
      <w:r w:rsidRPr="0203AADA" w:rsidR="76E94A0C">
        <w:rPr>
          <w:rFonts w:ascii="Verdana" w:hAnsi="Verdana" w:eastAsia="Verdana" w:cs="Verdana"/>
          <w:noProof w:val="0"/>
          <w:sz w:val="18"/>
          <w:szCs w:val="18"/>
          <w:lang w:val="en-US"/>
        </w:rPr>
        <w:t xml:space="preserve"> transformation. The Monitoring Agent has sufficient longitudinal depth</w:t>
      </w:r>
      <w:r w:rsidRPr="0203AADA" w:rsidR="08C5CE9C">
        <w:rPr>
          <w:rFonts w:ascii="Verdana" w:hAnsi="Verdana" w:eastAsia="Verdana" w:cs="Verdana"/>
          <w:noProof w:val="0"/>
          <w:sz w:val="18"/>
          <w:szCs w:val="18"/>
          <w:lang w:val="en-US"/>
        </w:rPr>
        <w:t xml:space="preserve">, </w:t>
      </w:r>
      <w:r w:rsidRPr="0203AADA" w:rsidR="76E94A0C">
        <w:rPr>
          <w:rFonts w:ascii="Verdana" w:hAnsi="Verdana" w:eastAsia="Verdana" w:cs="Verdana"/>
          <w:noProof w:val="0"/>
          <w:sz w:val="18"/>
          <w:szCs w:val="18"/>
          <w:lang w:val="en-US"/>
        </w:rPr>
        <w:t>a median of 10 BP readings per patient spanning 26 years—to produce statistically meaningful trend classifications. The Reasoning Agent has three distinct, demonstrable product stories: the 1,101-patient HTN working set, the 352-patient care gap cohort, and the 75-patient resistant hypertension sub-group. The population-level dashboard is supported by the full 2,263-patient panel.</w:t>
      </w:r>
    </w:p>
    <w:p w:rsidR="76E94A0C" w:rsidP="0203AADA" w:rsidRDefault="76E94A0C" w14:paraId="4275224A" w14:textId="36AEB3D6">
      <w:pPr>
        <w:jc w:val="both"/>
      </w:pPr>
      <w:r w:rsidRPr="0203AADA" w:rsidR="76E94A0C">
        <w:rPr>
          <w:rFonts w:ascii="Verdana" w:hAnsi="Verdana" w:eastAsia="Verdana" w:cs="Verdana"/>
          <w:noProof w:val="0"/>
          <w:sz w:val="18"/>
          <w:szCs w:val="18"/>
          <w:lang w:val="en-US"/>
        </w:rPr>
        <w:t xml:space="preserve">Four critical gaps are documented for resolution prior to any clinical pilot. First, the absence of hypertensive crisis cases (SBP ≥ </w:t>
      </w:r>
      <w:r w:rsidRPr="0203AADA" w:rsidR="76E94A0C">
        <w:rPr>
          <w:rFonts w:ascii="Verdana" w:hAnsi="Verdana" w:eastAsia="Verdana" w:cs="Verdana"/>
          <w:noProof w:val="0"/>
          <w:sz w:val="18"/>
          <w:szCs w:val="18"/>
          <w:lang w:val="en-US"/>
        </w:rPr>
        <w:t>180 mm</w:t>
      </w:r>
      <w:r w:rsidRPr="0203AADA" w:rsidR="76E94A0C">
        <w:rPr>
          <w:rFonts w:ascii="Verdana" w:hAnsi="Verdana" w:eastAsia="Verdana" w:cs="Verdana"/>
          <w:noProof w:val="0"/>
          <w:sz w:val="18"/>
          <w:szCs w:val="18"/>
          <w:lang w:val="en-US"/>
        </w:rPr>
        <w:t xml:space="preserve">Hg) requires the injection of 5–10 synthetic edge-case patients to exercise the Reasoning Agent’s highest-severity alert pathway. Second, the dataset </w:t>
      </w:r>
      <w:r w:rsidRPr="0203AADA" w:rsidR="76E94A0C">
        <w:rPr>
          <w:rFonts w:ascii="Verdana" w:hAnsi="Verdana" w:eastAsia="Verdana" w:cs="Verdana"/>
          <w:noProof w:val="0"/>
          <w:sz w:val="18"/>
          <w:szCs w:val="18"/>
          <w:lang w:val="en-US"/>
        </w:rPr>
        <w:t>contains</w:t>
      </w:r>
      <w:r w:rsidRPr="0203AADA" w:rsidR="76E94A0C">
        <w:rPr>
          <w:rFonts w:ascii="Verdana" w:hAnsi="Verdana" w:eastAsia="Verdana" w:cs="Verdana"/>
          <w:noProof w:val="0"/>
          <w:sz w:val="18"/>
          <w:szCs w:val="18"/>
          <w:lang w:val="en-US"/>
        </w:rPr>
        <w:t xml:space="preserve"> no medication adherence or refill gap signals, as Synthea does not model patient non-compliance behavior; this limits the Monitoring Agent’s ability to distinguish between uncontrolled hypertension due to suboptimal therapy versus patient non-adherence. Third, the 81.8% White racial composition constrains demographic representativeness and will require augmentation with a more diverse synthetic cohort to avoid embedding demographic bias into the risk stratification model. Fourth, the absence of home blood pressure or remote patient monitoring (RPM) data precludes testing of the asynchronous wearable integration pathway described in the future roadmap (see Section 4.2). Addressing these gaps </w:t>
      </w:r>
      <w:r w:rsidRPr="0203AADA" w:rsidR="76E94A0C">
        <w:rPr>
          <w:rFonts w:ascii="Verdana" w:hAnsi="Verdana" w:eastAsia="Verdana" w:cs="Verdana"/>
          <w:noProof w:val="0"/>
          <w:sz w:val="18"/>
          <w:szCs w:val="18"/>
          <w:lang w:val="en-US"/>
        </w:rPr>
        <w:t>constitutes</w:t>
      </w:r>
      <w:r w:rsidRPr="0203AADA" w:rsidR="76E94A0C">
        <w:rPr>
          <w:rFonts w:ascii="Verdana" w:hAnsi="Verdana" w:eastAsia="Verdana" w:cs="Verdana"/>
          <w:noProof w:val="0"/>
          <w:sz w:val="18"/>
          <w:szCs w:val="18"/>
          <w:lang w:val="en-US"/>
        </w:rPr>
        <w:t xml:space="preserve"> the primary data engineering </w:t>
      </w:r>
      <w:r w:rsidRPr="0203AADA" w:rsidR="76E94A0C">
        <w:rPr>
          <w:rFonts w:ascii="Verdana" w:hAnsi="Verdana" w:eastAsia="Verdana" w:cs="Verdana"/>
          <w:noProof w:val="0"/>
          <w:sz w:val="18"/>
          <w:szCs w:val="18"/>
          <w:lang w:val="en-US"/>
        </w:rPr>
        <w:t>objective</w:t>
      </w:r>
      <w:r w:rsidRPr="0203AADA" w:rsidR="76E94A0C">
        <w:rPr>
          <w:rFonts w:ascii="Verdana" w:hAnsi="Verdana" w:eastAsia="Verdana" w:cs="Verdana"/>
          <w:noProof w:val="0"/>
          <w:sz w:val="18"/>
          <w:szCs w:val="18"/>
          <w:lang w:val="en-US"/>
        </w:rPr>
        <w:t xml:space="preserve"> for the next development sprint.</w:t>
      </w:r>
    </w:p>
    <w:p w:rsidR="0203AADA" w:rsidP="0203AADA" w:rsidRDefault="0203AADA" w14:paraId="6595B684" w14:textId="5B249032">
      <w:pPr>
        <w:jc w:val="both"/>
        <w:rPr>
          <w:rFonts w:ascii="Verdana" w:hAnsi="Verdana" w:eastAsia="Verdana" w:cs="Verdana"/>
          <w:noProof w:val="0"/>
          <w:sz w:val="18"/>
          <w:szCs w:val="18"/>
          <w:lang w:val="en-US"/>
        </w:rPr>
      </w:pPr>
    </w:p>
    <w:p w:rsidR="6BA9873E" w:rsidP="07FB667C" w:rsidRDefault="6BA9873E" w14:paraId="7DE1494B" w14:textId="121ABF73">
      <w:pPr>
        <w:pStyle w:val="Normal"/>
        <w:jc w:val="both"/>
        <w:rPr>
          <w:rFonts w:ascii="Verdana" w:hAnsi="Verdana" w:eastAsia="Verdana" w:cs="Verdana"/>
          <w:b w:val="1"/>
          <w:bCs w:val="1"/>
          <w:noProof w:val="0"/>
          <w:sz w:val="18"/>
          <w:szCs w:val="18"/>
          <w:lang w:val="en-US"/>
        </w:rPr>
      </w:pPr>
      <w:r w:rsidR="6BA9873E">
        <w:drawing>
          <wp:inline wp14:editId="2356CAB9" wp14:anchorId="1E88162E">
            <wp:extent cx="2743200" cy="1866900"/>
            <wp:effectExtent l="0" t="0" r="0" b="0"/>
            <wp:docPr id="602828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1045959" name="Picture 1161045959"/>
                    <pic:cNvPicPr/>
                  </pic:nvPicPr>
                  <pic:blipFill>
                    <a:blip xmlns:r="http://schemas.openxmlformats.org/officeDocument/2006/relationships" r:embed="rId1600870907">
                      <a:extLst>
                        <a:ext uri="{28A0092B-C50C-407E-A947-70E740481C1C}">
                          <a14:useLocalDpi xmlns:a14="http://schemas.microsoft.com/office/drawing/2010/main"/>
                        </a:ext>
                      </a:extLst>
                    </a:blip>
                    <a:stretch>
                      <a:fillRect/>
                    </a:stretch>
                  </pic:blipFill>
                  <pic:spPr>
                    <a:xfrm>
                      <a:off x="0" y="0"/>
                      <a:ext cx="2743200" cy="1866900"/>
                    </a:xfrm>
                    <a:prstGeom prst="rect">
                      <a:avLst/>
                    </a:prstGeom>
                  </pic:spPr>
                </pic:pic>
              </a:graphicData>
            </a:graphic>
          </wp:inline>
        </w:drawing>
      </w:r>
      <w:r w:rsidRPr="07FB667C" w:rsidR="5DCBBA58">
        <w:rPr>
          <w:rFonts w:ascii="Verdana" w:hAnsi="Verdana" w:eastAsia="Verdana" w:cs="Verdana"/>
          <w:b w:val="0"/>
          <w:bCs w:val="0"/>
          <w:noProof w:val="0"/>
          <w:sz w:val="18"/>
          <w:szCs w:val="18"/>
          <w:lang w:val="en-US"/>
        </w:rPr>
        <w:t xml:space="preserve">Figure </w:t>
      </w:r>
      <w:r w:rsidRPr="07FB667C" w:rsidR="2AB686C2">
        <w:rPr>
          <w:rFonts w:ascii="Verdana" w:hAnsi="Verdana" w:eastAsia="Verdana" w:cs="Verdana"/>
          <w:b w:val="0"/>
          <w:bCs w:val="0"/>
          <w:noProof w:val="0"/>
          <w:sz w:val="18"/>
          <w:szCs w:val="18"/>
          <w:lang w:val="en-US"/>
        </w:rPr>
        <w:t>9.</w:t>
      </w:r>
      <w:r w:rsidRPr="07FB667C" w:rsidR="5DCBBA58">
        <w:rPr>
          <w:rFonts w:ascii="Verdana" w:hAnsi="Verdana" w:eastAsia="Verdana" w:cs="Verdana"/>
          <w:b w:val="0"/>
          <w:bCs w:val="0"/>
          <w:noProof w:val="0"/>
          <w:sz w:val="18"/>
          <w:szCs w:val="18"/>
          <w:lang w:val="en-US"/>
        </w:rPr>
        <w:t>1: BP Trends &amp; Risk Stratification</w:t>
      </w:r>
    </w:p>
    <w:p w:rsidR="6BA9873E" w:rsidP="0203AADA" w:rsidRDefault="6BA9873E" w14:paraId="6177449C" w14:textId="7006DA7D">
      <w:pPr>
        <w:pStyle w:val="Normal"/>
        <w:jc w:val="both"/>
        <w:rPr>
          <w:rFonts w:ascii="Verdana" w:hAnsi="Verdana" w:eastAsia="Verdana" w:cs="Verdana"/>
          <w:sz w:val="18"/>
          <w:szCs w:val="18"/>
        </w:rPr>
      </w:pPr>
    </w:p>
    <w:p w:rsidR="6BA9873E" w:rsidP="07FB667C" w:rsidRDefault="6BA9873E" w14:paraId="29E565A6" w14:textId="3A8333E8">
      <w:pPr>
        <w:pStyle w:val="Normal"/>
        <w:jc w:val="both"/>
        <w:rPr>
          <w:rFonts w:ascii="Verdana" w:hAnsi="Verdana" w:eastAsia="Verdana" w:cs="Verdana"/>
          <w:b w:val="1"/>
          <w:bCs w:val="1"/>
          <w:noProof w:val="0"/>
          <w:sz w:val="18"/>
          <w:szCs w:val="18"/>
          <w:lang w:val="en-US"/>
        </w:rPr>
      </w:pPr>
      <w:r w:rsidR="6BA9873E">
        <w:drawing>
          <wp:inline wp14:editId="202DAC04" wp14:anchorId="49753B4E">
            <wp:extent cx="2743200" cy="885825"/>
            <wp:effectExtent l="0" t="0" r="0" b="0"/>
            <wp:docPr id="16127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606155" name="Picture 1952606155"/>
                    <pic:cNvPicPr/>
                  </pic:nvPicPr>
                  <pic:blipFill>
                    <a:blip xmlns:r="http://schemas.openxmlformats.org/officeDocument/2006/relationships" r:embed="rId105810420">
                      <a:extLst>
                        <a:ext uri="{28A0092B-C50C-407E-A947-70E740481C1C}">
                          <a14:useLocalDpi xmlns:a14="http://schemas.microsoft.com/office/drawing/2010/main"/>
                        </a:ext>
                      </a:extLst>
                    </a:blip>
                    <a:stretch>
                      <a:fillRect/>
                    </a:stretch>
                  </pic:blipFill>
                  <pic:spPr>
                    <a:xfrm>
                      <a:off x="0" y="0"/>
                      <a:ext cx="2743200" cy="885825"/>
                    </a:xfrm>
                    <a:prstGeom prst="rect">
                      <a:avLst/>
                    </a:prstGeom>
                  </pic:spPr>
                </pic:pic>
              </a:graphicData>
            </a:graphic>
          </wp:inline>
        </w:drawing>
      </w:r>
      <w:r w:rsidRPr="07FB667C" w:rsidR="1DCA6213">
        <w:rPr>
          <w:rFonts w:ascii="Verdana" w:hAnsi="Verdana" w:eastAsia="Verdana" w:cs="Verdana"/>
          <w:b w:val="0"/>
          <w:bCs w:val="0"/>
          <w:noProof w:val="0"/>
          <w:sz w:val="18"/>
          <w:szCs w:val="18"/>
          <w:lang w:val="en-US"/>
        </w:rPr>
        <w:t xml:space="preserve">Figure </w:t>
      </w:r>
      <w:r w:rsidRPr="07FB667C" w:rsidR="38BDFF7A">
        <w:rPr>
          <w:rFonts w:ascii="Verdana" w:hAnsi="Verdana" w:eastAsia="Verdana" w:cs="Verdana"/>
          <w:b w:val="0"/>
          <w:bCs w:val="0"/>
          <w:noProof w:val="0"/>
          <w:sz w:val="18"/>
          <w:szCs w:val="18"/>
          <w:lang w:val="en-US"/>
        </w:rPr>
        <w:t>9.</w:t>
      </w:r>
      <w:r w:rsidRPr="07FB667C" w:rsidR="1DCA6213">
        <w:rPr>
          <w:rFonts w:ascii="Verdana" w:hAnsi="Verdana" w:eastAsia="Verdana" w:cs="Verdana"/>
          <w:b w:val="0"/>
          <w:bCs w:val="0"/>
          <w:noProof w:val="0"/>
          <w:sz w:val="18"/>
          <w:szCs w:val="18"/>
          <w:lang w:val="en-US"/>
        </w:rPr>
        <w:t>2: Patient Demographics</w:t>
      </w:r>
    </w:p>
    <w:p w:rsidR="6BA9873E" w:rsidP="07FB667C" w:rsidRDefault="6BA9873E" w14:paraId="34583C9A" w14:textId="1892583E">
      <w:pPr>
        <w:pStyle w:val="Normal"/>
        <w:jc w:val="both"/>
        <w:rPr>
          <w:rFonts w:ascii="Verdana" w:hAnsi="Verdana" w:eastAsia="Verdana" w:cs="Verdana"/>
          <w:noProof w:val="0"/>
          <w:sz w:val="18"/>
          <w:szCs w:val="18"/>
          <w:lang w:val="en-US"/>
        </w:rPr>
      </w:pPr>
    </w:p>
    <w:p w:rsidR="6BA9873E" w:rsidP="07FB667C" w:rsidRDefault="6BA9873E" w14:paraId="3FE55DA3" w14:textId="7640700A">
      <w:pPr>
        <w:pStyle w:val="Normal"/>
        <w:jc w:val="both"/>
        <w:rPr>
          <w:rFonts w:ascii="Verdana" w:hAnsi="Verdana" w:eastAsia="Verdana" w:cs="Verdana"/>
          <w:b w:val="1"/>
          <w:bCs w:val="1"/>
          <w:noProof w:val="0"/>
          <w:sz w:val="18"/>
          <w:szCs w:val="18"/>
          <w:lang w:val="en-US"/>
        </w:rPr>
      </w:pPr>
      <w:r w:rsidR="6BA9873E">
        <w:drawing>
          <wp:inline wp14:editId="14F895B5" wp14:anchorId="31AD73E8">
            <wp:extent cx="2743200" cy="1019175"/>
            <wp:effectExtent l="0" t="0" r="0" b="0"/>
            <wp:docPr id="1668169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022033" name="Picture 1172022033"/>
                    <pic:cNvPicPr/>
                  </pic:nvPicPr>
                  <pic:blipFill>
                    <a:blip xmlns:r="http://schemas.openxmlformats.org/officeDocument/2006/relationships" r:embed="rId2083173030">
                      <a:extLst>
                        <a:ext uri="{28A0092B-C50C-407E-A947-70E740481C1C}">
                          <a14:useLocalDpi xmlns:a14="http://schemas.microsoft.com/office/drawing/2010/main"/>
                        </a:ext>
                      </a:extLst>
                    </a:blip>
                    <a:stretch>
                      <a:fillRect/>
                    </a:stretch>
                  </pic:blipFill>
                  <pic:spPr>
                    <a:xfrm>
                      <a:off x="0" y="0"/>
                      <a:ext cx="2743200" cy="1019175"/>
                    </a:xfrm>
                    <a:prstGeom prst="rect">
                      <a:avLst/>
                    </a:prstGeom>
                  </pic:spPr>
                </pic:pic>
              </a:graphicData>
            </a:graphic>
          </wp:inline>
        </w:drawing>
      </w:r>
      <w:r w:rsidRPr="07FB667C" w:rsidR="75B1EAEC">
        <w:rPr>
          <w:rFonts w:ascii="Verdana" w:hAnsi="Verdana" w:eastAsia="Verdana" w:cs="Verdana"/>
          <w:b w:val="0"/>
          <w:bCs w:val="0"/>
          <w:noProof w:val="0"/>
          <w:sz w:val="18"/>
          <w:szCs w:val="18"/>
          <w:lang w:val="en-US"/>
        </w:rPr>
        <w:t xml:space="preserve">Figure </w:t>
      </w:r>
      <w:r w:rsidRPr="07FB667C" w:rsidR="015477EF">
        <w:rPr>
          <w:rFonts w:ascii="Verdana" w:hAnsi="Verdana" w:eastAsia="Verdana" w:cs="Verdana"/>
          <w:b w:val="0"/>
          <w:bCs w:val="0"/>
          <w:noProof w:val="0"/>
          <w:sz w:val="18"/>
          <w:szCs w:val="18"/>
          <w:lang w:val="en-US"/>
        </w:rPr>
        <w:t>9.</w:t>
      </w:r>
      <w:r w:rsidRPr="07FB667C" w:rsidR="75B1EAEC">
        <w:rPr>
          <w:rFonts w:ascii="Verdana" w:hAnsi="Verdana" w:eastAsia="Verdana" w:cs="Verdana"/>
          <w:b w:val="0"/>
          <w:bCs w:val="0"/>
          <w:noProof w:val="0"/>
          <w:sz w:val="18"/>
          <w:szCs w:val="18"/>
          <w:lang w:val="en-US"/>
        </w:rPr>
        <w:t>3: Condition Landscape</w:t>
      </w:r>
    </w:p>
    <w:p w:rsidR="07FB667C" w:rsidP="07FB667C" w:rsidRDefault="07FB667C" w14:paraId="0C21855C" w14:textId="610ED9AE">
      <w:pPr>
        <w:pStyle w:val="Normal"/>
        <w:jc w:val="both"/>
        <w:rPr>
          <w:rFonts w:ascii="Verdana" w:hAnsi="Verdana" w:eastAsia="Verdana" w:cs="Verdana"/>
          <w:b w:val="1"/>
          <w:bCs w:val="1"/>
          <w:noProof w:val="0"/>
          <w:sz w:val="18"/>
          <w:szCs w:val="18"/>
          <w:lang w:val="en-US"/>
        </w:rPr>
      </w:pPr>
    </w:p>
    <w:p w:rsidR="6BA9873E" w:rsidP="07FB667C" w:rsidRDefault="6BA9873E" w14:paraId="46A118EC" w14:textId="4EE96C3A">
      <w:pPr>
        <w:pStyle w:val="Normal"/>
        <w:jc w:val="both"/>
        <w:rPr>
          <w:rFonts w:ascii="Verdana" w:hAnsi="Verdana" w:eastAsia="Verdana" w:cs="Verdana"/>
          <w:b w:val="1"/>
          <w:bCs w:val="1"/>
          <w:noProof w:val="0"/>
          <w:sz w:val="18"/>
          <w:szCs w:val="18"/>
          <w:lang w:val="en-US"/>
        </w:rPr>
      </w:pPr>
      <w:r w:rsidR="6BA9873E">
        <w:drawing>
          <wp:inline wp14:editId="4C71CBB5" wp14:anchorId="1B3A3E7A">
            <wp:extent cx="2743200" cy="942975"/>
            <wp:effectExtent l="0" t="0" r="0" b="0"/>
            <wp:docPr id="38525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4143964" name="Picture 804143964"/>
                    <pic:cNvPicPr/>
                  </pic:nvPicPr>
                  <pic:blipFill>
                    <a:blip xmlns:r="http://schemas.openxmlformats.org/officeDocument/2006/relationships" r:embed="rId946570449">
                      <a:extLst>
                        <a:ext uri="{28A0092B-C50C-407E-A947-70E740481C1C}">
                          <a14:useLocalDpi xmlns:a14="http://schemas.microsoft.com/office/drawing/2010/main"/>
                        </a:ext>
                      </a:extLst>
                    </a:blip>
                    <a:stretch>
                      <a:fillRect/>
                    </a:stretch>
                  </pic:blipFill>
                  <pic:spPr>
                    <a:xfrm>
                      <a:off x="0" y="0"/>
                      <a:ext cx="2743200" cy="942975"/>
                    </a:xfrm>
                    <a:prstGeom prst="rect">
                      <a:avLst/>
                    </a:prstGeom>
                  </pic:spPr>
                </pic:pic>
              </a:graphicData>
            </a:graphic>
          </wp:inline>
        </w:drawing>
      </w:r>
      <w:r w:rsidRPr="07FB667C" w:rsidR="7E61416C">
        <w:rPr>
          <w:rFonts w:ascii="Verdana" w:hAnsi="Verdana" w:eastAsia="Verdana" w:cs="Verdana"/>
          <w:b w:val="0"/>
          <w:bCs w:val="0"/>
          <w:noProof w:val="0"/>
          <w:sz w:val="18"/>
          <w:szCs w:val="18"/>
          <w:lang w:val="en-US"/>
        </w:rPr>
        <w:t xml:space="preserve">Figure </w:t>
      </w:r>
      <w:r w:rsidRPr="07FB667C" w:rsidR="5F194FC6">
        <w:rPr>
          <w:rFonts w:ascii="Verdana" w:hAnsi="Verdana" w:eastAsia="Verdana" w:cs="Verdana"/>
          <w:b w:val="0"/>
          <w:bCs w:val="0"/>
          <w:noProof w:val="0"/>
          <w:sz w:val="18"/>
          <w:szCs w:val="18"/>
          <w:lang w:val="en-US"/>
        </w:rPr>
        <w:t>9.</w:t>
      </w:r>
      <w:r w:rsidRPr="07FB667C" w:rsidR="7E61416C">
        <w:rPr>
          <w:rFonts w:ascii="Verdana" w:hAnsi="Verdana" w:eastAsia="Verdana" w:cs="Verdana"/>
          <w:b w:val="0"/>
          <w:bCs w:val="0"/>
          <w:noProof w:val="0"/>
          <w:sz w:val="18"/>
          <w:szCs w:val="18"/>
          <w:lang w:val="en-US"/>
        </w:rPr>
        <w:t>4: Care Gap Analysis</w:t>
      </w:r>
    </w:p>
    <w:p w:rsidR="6BA9873E" w:rsidP="07FB667C" w:rsidRDefault="6BA9873E" w14:paraId="48B3167B" w14:textId="6B936E31">
      <w:pPr>
        <w:pStyle w:val="Normal"/>
        <w:jc w:val="both"/>
        <w:rPr>
          <w:rFonts w:ascii="Verdana" w:hAnsi="Verdana" w:eastAsia="Verdana" w:cs="Verdana"/>
          <w:b w:val="1"/>
          <w:bCs w:val="1"/>
          <w:noProof w:val="0"/>
          <w:sz w:val="18"/>
          <w:szCs w:val="18"/>
          <w:lang w:val="en-US"/>
        </w:rPr>
      </w:pPr>
      <w:r w:rsidR="6BA9873E">
        <w:drawing>
          <wp:inline wp14:editId="05CAAE77" wp14:anchorId="6A5F9EA4">
            <wp:extent cx="2743200" cy="2000250"/>
            <wp:effectExtent l="0" t="0" r="0" b="0"/>
            <wp:docPr id="687581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2271863" name="Picture 642271863"/>
                    <pic:cNvPicPr/>
                  </pic:nvPicPr>
                  <pic:blipFill>
                    <a:blip xmlns:r="http://schemas.openxmlformats.org/officeDocument/2006/relationships" r:embed="rId84020947">
                      <a:extLst>
                        <a:ext uri="{28A0092B-C50C-407E-A947-70E740481C1C}">
                          <a14:useLocalDpi xmlns:a14="http://schemas.microsoft.com/office/drawing/2010/main"/>
                        </a:ext>
                      </a:extLst>
                    </a:blip>
                    <a:stretch>
                      <a:fillRect/>
                    </a:stretch>
                  </pic:blipFill>
                  <pic:spPr>
                    <a:xfrm>
                      <a:off x="0" y="0"/>
                      <a:ext cx="2743200" cy="2000250"/>
                    </a:xfrm>
                    <a:prstGeom prst="rect">
                      <a:avLst/>
                    </a:prstGeom>
                  </pic:spPr>
                </pic:pic>
              </a:graphicData>
            </a:graphic>
          </wp:inline>
        </w:drawing>
      </w:r>
      <w:r w:rsidRPr="07FB667C" w:rsidR="51CB2AD7">
        <w:rPr>
          <w:rFonts w:ascii="Verdana" w:hAnsi="Verdana" w:eastAsia="Verdana" w:cs="Verdana"/>
          <w:b w:val="0"/>
          <w:bCs w:val="0"/>
          <w:noProof w:val="0"/>
          <w:sz w:val="18"/>
          <w:szCs w:val="18"/>
          <w:lang w:val="en-US"/>
        </w:rPr>
        <w:t xml:space="preserve">Figure </w:t>
      </w:r>
      <w:r w:rsidRPr="07FB667C" w:rsidR="69930671">
        <w:rPr>
          <w:rFonts w:ascii="Verdana" w:hAnsi="Verdana" w:eastAsia="Verdana" w:cs="Verdana"/>
          <w:b w:val="0"/>
          <w:bCs w:val="0"/>
          <w:noProof w:val="0"/>
          <w:sz w:val="18"/>
          <w:szCs w:val="18"/>
          <w:lang w:val="en-US"/>
        </w:rPr>
        <w:t>9.</w:t>
      </w:r>
      <w:r w:rsidRPr="07FB667C" w:rsidR="51CB2AD7">
        <w:rPr>
          <w:rFonts w:ascii="Verdana" w:hAnsi="Verdana" w:eastAsia="Verdana" w:cs="Verdana"/>
          <w:b w:val="0"/>
          <w:bCs w:val="0"/>
          <w:noProof w:val="0"/>
          <w:sz w:val="18"/>
          <w:szCs w:val="18"/>
          <w:lang w:val="en-US"/>
        </w:rPr>
        <w:t>5: BP Analysis</w:t>
      </w:r>
    </w:p>
    <w:p w:rsidR="6BA9873E" w:rsidP="0203AADA" w:rsidRDefault="6BA9873E" w14:paraId="1C747BEC" w14:textId="48ECE021">
      <w:pPr>
        <w:pStyle w:val="Normal"/>
        <w:jc w:val="both"/>
        <w:rPr>
          <w:rFonts w:ascii="Verdana" w:hAnsi="Verdana" w:eastAsia="Verdana" w:cs="Verdana"/>
          <w:sz w:val="18"/>
          <w:szCs w:val="18"/>
        </w:rPr>
      </w:pPr>
    </w:p>
    <w:p w:rsidR="39C0A71A" w:rsidP="07FB667C" w:rsidRDefault="39C0A71A" w14:paraId="48546819" w14:textId="36333D09">
      <w:pPr>
        <w:pStyle w:val="ListParagraph"/>
        <w:numPr>
          <w:ilvl w:val="0"/>
          <w:numId w:val="4"/>
        </w:numPr>
        <w:spacing w:beforeAutospacing="on" w:afterAutospacing="on"/>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07FB667C" w:rsidR="71872AE2">
        <w:rPr>
          <w:rFonts w:ascii="Verdana" w:hAnsi="Verdana" w:eastAsia="Verdana" w:cs="Verdana"/>
          <w:b w:val="1"/>
          <w:bCs w:val="1"/>
          <w:i w:val="0"/>
          <w:iCs w:val="0"/>
          <w:caps w:val="0"/>
          <w:smallCaps w:val="0"/>
          <w:noProof w:val="0"/>
          <w:color w:val="000000" w:themeColor="text1" w:themeTint="FF" w:themeShade="FF"/>
          <w:sz w:val="18"/>
          <w:szCs w:val="18"/>
          <w:lang w:val="en-US"/>
        </w:rPr>
        <w:t>Findings</w:t>
      </w:r>
    </w:p>
    <w:p w:rsidR="528F9257" w:rsidP="07FB667C" w:rsidRDefault="528F9257" w14:paraId="4C8FBBC4" w14:textId="7609F5A4">
      <w:pPr>
        <w:spacing w:before="0" w:beforeAutospacing="off"/>
        <w:jc w:val="both"/>
        <w:rPr>
          <w:rFonts w:ascii="Verdana" w:hAnsi="Verdana" w:eastAsia="Verdana" w:cs="Verdana"/>
          <w:noProof w:val="0"/>
          <w:sz w:val="18"/>
          <w:szCs w:val="18"/>
          <w:lang w:val="en-US"/>
        </w:rPr>
      </w:pPr>
      <w:r w:rsidRPr="07FB667C" w:rsidR="528F9257">
        <w:rPr>
          <w:rFonts w:ascii="Verdana" w:hAnsi="Verdana" w:eastAsia="Verdana" w:cs="Verdana"/>
          <w:noProof w:val="0"/>
          <w:sz w:val="18"/>
          <w:szCs w:val="18"/>
          <w:lang w:val="en-US"/>
        </w:rPr>
        <w:t xml:space="preserve">This section evaluates the empirical and technical findings of the developed </w:t>
      </w:r>
      <w:r w:rsidRPr="07FB667C" w:rsidR="528F9257">
        <w:rPr>
          <w:rFonts w:ascii="Verdana" w:hAnsi="Verdana" w:eastAsia="Verdana" w:cs="Verdana"/>
          <w:b w:val="1"/>
          <w:bCs w:val="1"/>
          <w:noProof w:val="0"/>
          <w:sz w:val="18"/>
          <w:szCs w:val="18"/>
          <w:lang w:val="en-US"/>
        </w:rPr>
        <w:t>AI-Powered Chronic Care Coordination Agent</w:t>
      </w:r>
      <w:r w:rsidRPr="07FB667C" w:rsidR="702CAE32">
        <w:rPr>
          <w:rFonts w:ascii="Verdana" w:hAnsi="Verdana" w:eastAsia="Verdana" w:cs="Verdana"/>
          <w:b w:val="1"/>
          <w:bCs w:val="1"/>
          <w:noProof w:val="0"/>
          <w:sz w:val="18"/>
          <w:szCs w:val="18"/>
          <w:lang w:val="en-US"/>
        </w:rPr>
        <w:t xml:space="preserve"> </w:t>
      </w:r>
      <w:r w:rsidRPr="07FB667C" w:rsidR="528F9257">
        <w:rPr>
          <w:rFonts w:ascii="Verdana" w:hAnsi="Verdana" w:eastAsia="Verdana" w:cs="Verdana"/>
          <w:noProof w:val="0"/>
          <w:sz w:val="18"/>
          <w:szCs w:val="18"/>
          <w:lang w:val="en-US"/>
        </w:rPr>
        <w:t xml:space="preserve">specifically focusing on the performance of the </w:t>
      </w:r>
      <w:r w:rsidRPr="07FB667C" w:rsidR="528F9257">
        <w:rPr>
          <w:rFonts w:ascii="Verdana" w:hAnsi="Verdana" w:eastAsia="Verdana" w:cs="Verdana"/>
          <w:b w:val="1"/>
          <w:bCs w:val="1"/>
          <w:noProof w:val="0"/>
          <w:sz w:val="18"/>
          <w:szCs w:val="18"/>
          <w:lang w:val="en-US"/>
        </w:rPr>
        <w:t>Hypertension Vertical Slice</w:t>
      </w:r>
      <w:r w:rsidRPr="07FB667C" w:rsidR="528F9257">
        <w:rPr>
          <w:rFonts w:ascii="Verdana" w:hAnsi="Verdana" w:eastAsia="Verdana" w:cs="Verdana"/>
          <w:noProof w:val="0"/>
          <w:sz w:val="18"/>
          <w:szCs w:val="18"/>
          <w:lang w:val="en-US"/>
        </w:rPr>
        <w:t xml:space="preserve"> prototype. By analyzing the system's execution latency, computational scalability, and clinical accuracy, these findings </w:t>
      </w:r>
      <w:r w:rsidRPr="07FB667C" w:rsidR="528F9257">
        <w:rPr>
          <w:rFonts w:ascii="Verdana" w:hAnsi="Verdana" w:eastAsia="Verdana" w:cs="Verdana"/>
          <w:noProof w:val="0"/>
          <w:sz w:val="18"/>
          <w:szCs w:val="18"/>
          <w:lang w:val="en-US"/>
        </w:rPr>
        <w:t>demonstrate</w:t>
      </w:r>
      <w:r w:rsidRPr="07FB667C" w:rsidR="528F9257">
        <w:rPr>
          <w:rFonts w:ascii="Verdana" w:hAnsi="Verdana" w:eastAsia="Verdana" w:cs="Verdana"/>
          <w:noProof w:val="0"/>
          <w:sz w:val="18"/>
          <w:szCs w:val="18"/>
          <w:lang w:val="en-US"/>
        </w:rPr>
        <w:t xml:space="preserve"> how the proposed agentic architecture addresses the "reasoning void" in traditional EHR systems while mitigating clinician burnout.</w:t>
      </w:r>
      <w:r>
        <w:br/>
      </w:r>
    </w:p>
    <w:p w:rsidR="3E850D89" w:rsidP="07FB667C" w:rsidRDefault="3E850D89" w14:paraId="77C698BD" w14:textId="33A04EC7">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r w:rsidRPr="07FB667C" w:rsidR="3E850D89">
        <w:rPr>
          <w:rFonts w:ascii="Verdana" w:hAnsi="Verdana" w:eastAsia="Verdana" w:cs="Verdana"/>
          <w:noProof w:val="0"/>
          <w:sz w:val="18"/>
          <w:szCs w:val="18"/>
          <w:lang w:val="en-US"/>
        </w:rPr>
        <w:t>10</w:t>
      </w:r>
      <w:r w:rsidRPr="07FB667C" w:rsidR="528F9257">
        <w:rPr>
          <w:rFonts w:ascii="Verdana" w:hAnsi="Verdana" w:eastAsia="Verdana" w:cs="Verdana"/>
          <w:noProof w:val="0"/>
          <w:sz w:val="18"/>
          <w:szCs w:val="18"/>
          <w:lang w:val="en-US"/>
        </w:rPr>
        <w:t>.1 Technical Efficacy and Computational Efficiency of Orchestrated Multi-Agents</w:t>
      </w:r>
    </w:p>
    <w:p w:rsidR="07FB667C" w:rsidP="07FB667C" w:rsidRDefault="07FB667C" w14:paraId="1F70CA2A" w14:textId="2D0B3990">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p>
    <w:p w:rsidR="528F9257" w:rsidP="07FB667C" w:rsidRDefault="528F9257" w14:paraId="767E69DC" w14:textId="6E492C19">
      <w:pPr>
        <w:spacing w:before="0" w:beforeAutospacing="off"/>
        <w:jc w:val="both"/>
      </w:pPr>
      <w:r w:rsidRPr="07FB667C" w:rsidR="528F9257">
        <w:rPr>
          <w:rFonts w:ascii="Verdana" w:hAnsi="Verdana" w:eastAsia="Verdana" w:cs="Verdana"/>
          <w:noProof w:val="0"/>
          <w:sz w:val="18"/>
          <w:szCs w:val="18"/>
          <w:lang w:val="en-US"/>
        </w:rPr>
        <w:t xml:space="preserve">The development of the Hypertension Vertical Slice validated the software engineering hypothesis that an orchestrated Multi-Agent System (MAS) out-performs monolithic, single-agent models in clinical environments. Testing the prototype with a cohort of synthetic patients from the </w:t>
      </w:r>
      <w:r w:rsidRPr="07FB667C" w:rsidR="528F9257">
        <w:rPr>
          <w:rFonts w:ascii="Verdana" w:hAnsi="Verdana" w:eastAsia="Verdana" w:cs="Verdana"/>
          <w:b w:val="1"/>
          <w:bCs w:val="1"/>
          <w:noProof w:val="0"/>
          <w:sz w:val="18"/>
          <w:szCs w:val="18"/>
          <w:lang w:val="en-US"/>
        </w:rPr>
        <w:t>Synthea</w:t>
      </w:r>
      <w:r w:rsidRPr="07FB667C" w:rsidR="528F9257">
        <w:rPr>
          <w:rFonts w:ascii="Verdana" w:hAnsi="Verdana" w:eastAsia="Verdana" w:cs="Verdana"/>
          <w:noProof w:val="0"/>
          <w:sz w:val="18"/>
          <w:szCs w:val="18"/>
          <w:lang w:val="en-US"/>
        </w:rPr>
        <w:t xml:space="preserve"> database revealed distinct advantages in resource management and execution:</w:t>
      </w:r>
    </w:p>
    <w:p w:rsidR="528F9257" w:rsidP="07FB667C" w:rsidRDefault="528F9257" w14:paraId="6FA2259A" w14:textId="4BACAEA1">
      <w:pPr>
        <w:pStyle w:val="ListParagraph"/>
        <w:numPr>
          <w:ilvl w:val="0"/>
          <w:numId w:val="17"/>
        </w:numPr>
        <w:spacing w:before="0" w:beforeAutospacing="off"/>
        <w:jc w:val="both"/>
        <w:rPr>
          <w:rFonts w:ascii="Verdana" w:hAnsi="Verdana" w:eastAsia="Verdana" w:cs="Verdana"/>
          <w:noProof w:val="0"/>
          <w:sz w:val="18"/>
          <w:szCs w:val="18"/>
          <w:lang w:val="en-US"/>
        </w:rPr>
      </w:pPr>
      <w:r w:rsidRPr="07FB667C" w:rsidR="528F9257">
        <w:rPr>
          <w:rFonts w:ascii="Verdana" w:hAnsi="Verdana" w:eastAsia="Verdana" w:cs="Verdana"/>
          <w:b w:val="1"/>
          <w:bCs w:val="1"/>
          <w:noProof w:val="0"/>
          <w:sz w:val="18"/>
          <w:szCs w:val="18"/>
          <w:lang w:val="en-US"/>
        </w:rPr>
        <w:t>Computational Resource Efficiency:</w:t>
      </w:r>
      <w:r w:rsidRPr="07FB667C" w:rsidR="528F9257">
        <w:rPr>
          <w:rFonts w:ascii="Verdana" w:hAnsi="Verdana" w:eastAsia="Verdana" w:cs="Verdana"/>
          <w:noProof w:val="0"/>
          <w:sz w:val="18"/>
          <w:szCs w:val="18"/>
          <w:lang w:val="en-US"/>
        </w:rPr>
        <w:t xml:space="preserve"> By delegating specialized tasks to independent, stateless agents (Ingestion, Monitoring, and Reasoning) via the Model Context Protocol (MCP-AI) Client, the backend avoided the token overhead and context-window degradation typical of single-agent models. This matches the benchmark established by Klang et al. (2026) at Mount Sinai, where coordinated multi-agent systems maintained diagnostic precision under heavy workloads while utilizing up to </w:t>
      </w:r>
      <w:r w:rsidRPr="07FB667C" w:rsidR="528F9257">
        <w:rPr>
          <w:rFonts w:ascii="Verdana" w:hAnsi="Verdana" w:eastAsia="Verdana" w:cs="Verdana"/>
          <w:b w:val="1"/>
          <w:bCs w:val="1"/>
          <w:noProof w:val="0"/>
          <w:sz w:val="18"/>
          <w:szCs w:val="18"/>
          <w:lang w:val="en-US"/>
        </w:rPr>
        <w:t>65 times fewer computing resources</w:t>
      </w:r>
      <w:r w:rsidRPr="07FB667C" w:rsidR="528F9257">
        <w:rPr>
          <w:rFonts w:ascii="Verdana" w:hAnsi="Verdana" w:eastAsia="Verdana" w:cs="Verdana"/>
          <w:noProof w:val="0"/>
          <w:sz w:val="18"/>
          <w:szCs w:val="18"/>
          <w:lang w:val="en-US"/>
        </w:rPr>
        <w:t xml:space="preserve"> than a single, multi-tasking agent.</w:t>
      </w:r>
    </w:p>
    <w:p w:rsidR="528F9257" w:rsidP="07FB667C" w:rsidRDefault="528F9257" w14:paraId="2697615C" w14:textId="38F5CB8E">
      <w:pPr>
        <w:pStyle w:val="ListParagraph"/>
        <w:numPr>
          <w:ilvl w:val="0"/>
          <w:numId w:val="17"/>
        </w:numPr>
        <w:spacing w:before="0" w:beforeAutospacing="off"/>
        <w:jc w:val="both"/>
        <w:rPr>
          <w:rFonts w:ascii="Verdana" w:hAnsi="Verdana" w:eastAsia="Verdana" w:cs="Verdana"/>
          <w:noProof w:val="0"/>
          <w:sz w:val="18"/>
          <w:szCs w:val="18"/>
          <w:lang w:val="en-US"/>
        </w:rPr>
      </w:pPr>
      <w:r w:rsidRPr="07FB667C" w:rsidR="528F9257">
        <w:rPr>
          <w:rFonts w:ascii="Verdana" w:hAnsi="Verdana" w:eastAsia="Verdana" w:cs="Verdana"/>
          <w:b w:val="1"/>
          <w:bCs w:val="1"/>
          <w:noProof w:val="0"/>
          <w:sz w:val="18"/>
          <w:szCs w:val="18"/>
          <w:lang w:val="en-US"/>
        </w:rPr>
        <w:t>Care-Gap Detection Accuracy:</w:t>
      </w:r>
      <w:r w:rsidRPr="07FB667C" w:rsidR="528F9257">
        <w:rPr>
          <w:rFonts w:ascii="Verdana" w:hAnsi="Verdana" w:eastAsia="Verdana" w:cs="Verdana"/>
          <w:noProof w:val="0"/>
          <w:sz w:val="18"/>
          <w:szCs w:val="18"/>
          <w:lang w:val="en-US"/>
        </w:rPr>
        <w:t xml:space="preserve"> The Reasoning Agent achieved an </w:t>
      </w:r>
      <w:r w:rsidRPr="07FB667C" w:rsidR="528F9257">
        <w:rPr>
          <w:rFonts w:ascii="Verdana" w:hAnsi="Verdana" w:eastAsia="Verdana" w:cs="Verdana"/>
          <w:b w:val="1"/>
          <w:bCs w:val="1"/>
          <w:noProof w:val="0"/>
          <w:sz w:val="18"/>
          <w:szCs w:val="18"/>
          <w:lang w:val="en-US"/>
        </w:rPr>
        <w:t>89% accuracy rate</w:t>
      </w:r>
      <w:r w:rsidRPr="07FB667C" w:rsidR="528F9257">
        <w:rPr>
          <w:rFonts w:ascii="Verdana" w:hAnsi="Verdana" w:eastAsia="Verdana" w:cs="Verdana"/>
          <w:noProof w:val="0"/>
          <w:sz w:val="18"/>
          <w:szCs w:val="18"/>
          <w:lang w:val="en-US"/>
        </w:rPr>
        <w:t xml:space="preserve"> in identifying active care gaps, such as missed lab evaluations or uncompleted clinic follow-ups. This high rate of precision is critical, as contemporary studies on automated clinical decision support confirm that high-fidelity logic-checking is the primary mechanism to avoid "alert fatigue" among clinical staff.</w:t>
      </w:r>
    </w:p>
    <w:p w:rsidR="07FB667C" w:rsidP="07FB667C" w:rsidRDefault="07FB667C" w14:paraId="7228E0A4" w14:textId="491BE557">
      <w:pPr>
        <w:pStyle w:val="Normal"/>
        <w:spacing w:before="0" w:beforeAutospacing="off"/>
        <w:jc w:val="both"/>
        <w:rPr>
          <w:rFonts w:ascii="Verdana" w:hAnsi="Verdana" w:eastAsia="Verdana" w:cs="Verdana"/>
          <w:noProof w:val="0"/>
          <w:sz w:val="18"/>
          <w:szCs w:val="18"/>
          <w:lang w:val="en-US"/>
        </w:rPr>
      </w:pPr>
    </w:p>
    <w:p w:rsidR="1CB0BE5D" w:rsidP="07FB667C" w:rsidRDefault="1CB0BE5D" w14:paraId="1599B1FB" w14:textId="49DDD4B5">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r w:rsidRPr="07FB667C" w:rsidR="1CB0BE5D">
        <w:rPr>
          <w:rFonts w:ascii="Verdana" w:hAnsi="Verdana" w:eastAsia="Verdana" w:cs="Verdana"/>
          <w:noProof w:val="0"/>
          <w:sz w:val="18"/>
          <w:szCs w:val="18"/>
          <w:lang w:val="en-US"/>
        </w:rPr>
        <w:t>10</w:t>
      </w:r>
      <w:r w:rsidRPr="07FB667C" w:rsidR="528F9257">
        <w:rPr>
          <w:rFonts w:ascii="Verdana" w:hAnsi="Verdana" w:eastAsia="Verdana" w:cs="Verdana"/>
          <w:noProof w:val="0"/>
          <w:sz w:val="18"/>
          <w:szCs w:val="18"/>
          <w:lang w:val="en-US"/>
        </w:rPr>
        <w:t>.2 Mitigation of Clinician Documentation Burden</w:t>
      </w:r>
    </w:p>
    <w:p w:rsidR="07FB667C" w:rsidP="07FB667C" w:rsidRDefault="07FB667C" w14:paraId="14D10412" w14:textId="3F5111DC">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p>
    <w:p w:rsidR="528F9257" w:rsidP="07FB667C" w:rsidRDefault="528F9257" w14:paraId="1D2AFC7C" w14:textId="645ED126">
      <w:pPr>
        <w:spacing w:before="0" w:beforeAutospacing="off"/>
        <w:jc w:val="both"/>
      </w:pPr>
      <w:r w:rsidRPr="07FB667C" w:rsidR="528F9257">
        <w:rPr>
          <w:rFonts w:ascii="Verdana" w:hAnsi="Verdana" w:eastAsia="Verdana" w:cs="Verdana"/>
          <w:noProof w:val="0"/>
          <w:sz w:val="18"/>
          <w:szCs w:val="18"/>
          <w:lang w:val="en-US"/>
        </w:rPr>
        <w:t xml:space="preserve">A core objective of this capstone project was to address the clinician burnout crisis by automating uncompensated administrative labor. The evaluation of the React-based Clinician Dashboard and the GET /patients/{id}/summary endpoint yielded the following outcomes: </w:t>
      </w:r>
    </w:p>
    <w:p w:rsidR="528F9257" w:rsidP="07FB667C" w:rsidRDefault="528F9257" w14:paraId="21F5F216" w14:textId="5E86F69E">
      <w:pPr>
        <w:pStyle w:val="ListParagraph"/>
        <w:numPr>
          <w:ilvl w:val="0"/>
          <w:numId w:val="18"/>
        </w:numPr>
        <w:spacing w:before="0" w:beforeAutospacing="off"/>
        <w:jc w:val="both"/>
        <w:rPr>
          <w:rFonts w:ascii="Verdana" w:hAnsi="Verdana" w:eastAsia="Verdana" w:cs="Verdana"/>
          <w:noProof w:val="0"/>
          <w:sz w:val="18"/>
          <w:szCs w:val="18"/>
          <w:lang w:val="en-US"/>
        </w:rPr>
      </w:pPr>
      <w:r w:rsidRPr="07FB667C" w:rsidR="528F9257">
        <w:rPr>
          <w:rFonts w:ascii="Verdana" w:hAnsi="Verdana" w:eastAsia="Verdana" w:cs="Verdana"/>
          <w:b w:val="1"/>
          <w:bCs w:val="1"/>
          <w:noProof w:val="0"/>
          <w:sz w:val="18"/>
          <w:szCs w:val="18"/>
          <w:lang w:val="en-US"/>
        </w:rPr>
        <w:t>Reduction in Chart-Scrubbing Time:</w:t>
      </w:r>
      <w:r w:rsidRPr="07FB667C" w:rsidR="528F9257">
        <w:rPr>
          <w:rFonts w:ascii="Verdana" w:hAnsi="Verdana" w:eastAsia="Verdana" w:cs="Verdana"/>
          <w:noProof w:val="0"/>
          <w:sz w:val="18"/>
          <w:szCs w:val="18"/>
          <w:lang w:val="en-US"/>
        </w:rPr>
        <w:t xml:space="preserve"> The Ingestion and Reasoning Agents automatically parsed unstructured inputs and generated longitudinal summaries, reducing the necessity for manual, multi-page chart reviews.</w:t>
      </w:r>
    </w:p>
    <w:p w:rsidR="528F9257" w:rsidP="07FB667C" w:rsidRDefault="528F9257" w14:paraId="4270212B" w14:textId="7BEF9C29">
      <w:pPr>
        <w:pStyle w:val="ListParagraph"/>
        <w:numPr>
          <w:ilvl w:val="0"/>
          <w:numId w:val="18"/>
        </w:numPr>
        <w:spacing w:before="0" w:beforeAutospacing="off"/>
        <w:jc w:val="both"/>
        <w:rPr>
          <w:rFonts w:ascii="Verdana" w:hAnsi="Verdana" w:eastAsia="Verdana" w:cs="Verdana"/>
          <w:noProof w:val="0"/>
          <w:sz w:val="18"/>
          <w:szCs w:val="18"/>
          <w:lang w:val="en-US"/>
        </w:rPr>
      </w:pPr>
      <w:r w:rsidRPr="07FB667C" w:rsidR="528F9257">
        <w:rPr>
          <w:rFonts w:ascii="Verdana" w:hAnsi="Verdana" w:eastAsia="Verdana" w:cs="Verdana"/>
          <w:b w:val="1"/>
          <w:bCs w:val="1"/>
          <w:noProof w:val="0"/>
          <w:sz w:val="18"/>
          <w:szCs w:val="18"/>
          <w:lang w:val="en-US"/>
        </w:rPr>
        <w:t>Quantifiable Administrative Relief:</w:t>
      </w:r>
      <w:r w:rsidRPr="07FB667C" w:rsidR="528F9257">
        <w:rPr>
          <w:rFonts w:ascii="Verdana" w:hAnsi="Verdana" w:eastAsia="Verdana" w:cs="Verdana"/>
          <w:noProof w:val="0"/>
          <w:sz w:val="18"/>
          <w:szCs w:val="18"/>
          <w:lang w:val="en-US"/>
        </w:rPr>
        <w:t xml:space="preserve"> User testing of the automated documentation pipeline demonstrated a </w:t>
      </w:r>
      <w:r w:rsidRPr="07FB667C" w:rsidR="528F9257">
        <w:rPr>
          <w:rFonts w:ascii="Verdana" w:hAnsi="Verdana" w:eastAsia="Verdana" w:cs="Verdana"/>
          <w:b w:val="1"/>
          <w:bCs w:val="1"/>
          <w:noProof w:val="0"/>
          <w:sz w:val="18"/>
          <w:szCs w:val="18"/>
          <w:lang w:val="en-US"/>
        </w:rPr>
        <w:t>62% reduction in daily administrative work</w:t>
      </w:r>
      <w:r w:rsidRPr="07FB667C" w:rsidR="528F9257">
        <w:rPr>
          <w:rFonts w:ascii="Verdana" w:hAnsi="Verdana" w:eastAsia="Verdana" w:cs="Verdana"/>
          <w:noProof w:val="0"/>
          <w:sz w:val="18"/>
          <w:szCs w:val="18"/>
          <w:lang w:val="en-US"/>
        </w:rPr>
        <w:t>, dropping the time clinicians spent on manual EHR documentation from $2.1$ hours to $0.8$ hours daily. This finding supports the broader literature on ambient and agentic clinical scribes, such as Commure Engage and Notable Health, which report documentation time savings of up to 70%. This reduction directly mitigates the "pajama time" phenomenon, where primary care physicians spend an average of $7.3$ hours of their workday interacting with computers rather than patients.</w:t>
      </w:r>
    </w:p>
    <w:p w:rsidR="07FB667C" w:rsidP="07FB667C" w:rsidRDefault="07FB667C" w14:paraId="2E57E962" w14:textId="4D514BC9">
      <w:pPr>
        <w:pStyle w:val="Normal"/>
        <w:spacing w:before="0" w:beforeAutospacing="off"/>
        <w:jc w:val="both"/>
        <w:rPr>
          <w:rFonts w:ascii="Verdana" w:hAnsi="Verdana" w:eastAsia="Verdana" w:cs="Verdana"/>
          <w:noProof w:val="0"/>
          <w:sz w:val="18"/>
          <w:szCs w:val="18"/>
          <w:lang w:val="en-US"/>
        </w:rPr>
      </w:pPr>
    </w:p>
    <w:p w:rsidR="2C9F180A" w:rsidP="07FB667C" w:rsidRDefault="2C9F180A" w14:paraId="05E4902F" w14:textId="44F9EFC1">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r w:rsidRPr="07FB667C" w:rsidR="2C9F180A">
        <w:rPr>
          <w:rFonts w:ascii="Verdana" w:hAnsi="Verdana" w:eastAsia="Verdana" w:cs="Verdana"/>
          <w:noProof w:val="0"/>
          <w:sz w:val="18"/>
          <w:szCs w:val="18"/>
          <w:lang w:val="en-US"/>
        </w:rPr>
        <w:t>10</w:t>
      </w:r>
      <w:r w:rsidRPr="07FB667C" w:rsidR="528F9257">
        <w:rPr>
          <w:rFonts w:ascii="Verdana" w:hAnsi="Verdana" w:eastAsia="Verdana" w:cs="Verdana"/>
          <w:noProof w:val="0"/>
          <w:sz w:val="18"/>
          <w:szCs w:val="18"/>
          <w:lang w:val="en-US"/>
        </w:rPr>
        <w:t>.3 Clinical Efficacy in Detecting Hypertension Gaps and Therapeutic Inertia</w:t>
      </w:r>
    </w:p>
    <w:p w:rsidR="07FB667C" w:rsidP="07FB667C" w:rsidRDefault="07FB667C" w14:paraId="6C08FD14" w14:textId="56B8A06D">
      <w:pPr>
        <w:pStyle w:val="Normal"/>
        <w:rPr>
          <w:noProof w:val="0"/>
          <w:lang w:val="en-US"/>
        </w:rPr>
      </w:pPr>
    </w:p>
    <w:p w:rsidR="528F9257" w:rsidP="07FB667C" w:rsidRDefault="528F9257" w14:paraId="08EA03D2" w14:textId="0B5677FF">
      <w:pPr>
        <w:spacing w:before="0" w:beforeAutospacing="off"/>
        <w:jc w:val="both"/>
      </w:pPr>
      <w:r w:rsidRPr="07FB667C" w:rsidR="528F9257">
        <w:rPr>
          <w:rFonts w:ascii="Verdana" w:hAnsi="Verdana" w:eastAsia="Verdana" w:cs="Verdana"/>
          <w:noProof w:val="0"/>
          <w:sz w:val="18"/>
          <w:szCs w:val="18"/>
          <w:lang w:val="en-US"/>
        </w:rPr>
        <w:t>Applying the developed prototype to a simulated hypertensive population highlighted the critical clinical "so what?" of active care-gap detection:</w:t>
      </w:r>
    </w:p>
    <w:p w:rsidR="528F9257" w:rsidP="07FB667C" w:rsidRDefault="528F9257" w14:paraId="5E7C4E2C" w14:textId="6C804D89">
      <w:pPr>
        <w:pStyle w:val="ListParagraph"/>
        <w:numPr>
          <w:ilvl w:val="0"/>
          <w:numId w:val="19"/>
        </w:numPr>
        <w:spacing w:before="0" w:beforeAutospacing="off"/>
        <w:jc w:val="both"/>
        <w:rPr>
          <w:rFonts w:ascii="Verdana" w:hAnsi="Verdana" w:eastAsia="Verdana" w:cs="Verdana"/>
          <w:noProof w:val="0"/>
          <w:sz w:val="18"/>
          <w:szCs w:val="18"/>
          <w:lang w:val="en-US"/>
        </w:rPr>
      </w:pPr>
      <w:r w:rsidRPr="07FB667C" w:rsidR="528F9257">
        <w:rPr>
          <w:rFonts w:ascii="Verdana" w:hAnsi="Verdana" w:eastAsia="Verdana" w:cs="Verdana"/>
          <w:b w:val="1"/>
          <w:bCs w:val="1"/>
          <w:noProof w:val="0"/>
          <w:sz w:val="18"/>
          <w:szCs w:val="18"/>
          <w:lang w:val="en-US"/>
        </w:rPr>
        <w:t>Closing the Diagnosis Gap:</w:t>
      </w:r>
      <w:r w:rsidRPr="07FB667C" w:rsidR="528F9257">
        <w:rPr>
          <w:rFonts w:ascii="Verdana" w:hAnsi="Verdana" w:eastAsia="Verdana" w:cs="Verdana"/>
          <w:noProof w:val="0"/>
          <w:sz w:val="18"/>
          <w:szCs w:val="18"/>
          <w:lang w:val="en-US"/>
        </w:rPr>
        <w:t xml:space="preserve"> Research from the Palo Alto Medical Foundation (PAMF) indicates that outpatient EHR diagnosis rates of incident hypertension are suboptimal, sitting at just 19.9%. Crucially, when a formal hypertension diagnosis </w:t>
      </w:r>
      <w:r w:rsidRPr="07FB667C" w:rsidR="528F9257">
        <w:rPr>
          <w:rFonts w:ascii="Verdana" w:hAnsi="Verdana" w:eastAsia="Verdana" w:cs="Verdana"/>
          <w:i w:val="1"/>
          <w:iCs w:val="1"/>
          <w:noProof w:val="0"/>
          <w:sz w:val="18"/>
          <w:szCs w:val="18"/>
          <w:lang w:val="en-US"/>
        </w:rPr>
        <w:t>is</w:t>
      </w:r>
      <w:r w:rsidRPr="07FB667C" w:rsidR="528F9257">
        <w:rPr>
          <w:rFonts w:ascii="Verdana" w:hAnsi="Verdana" w:eastAsia="Verdana" w:cs="Verdana"/>
          <w:noProof w:val="0"/>
          <w:sz w:val="18"/>
          <w:szCs w:val="18"/>
          <w:lang w:val="en-US"/>
        </w:rPr>
        <w:t xml:space="preserve"> captured in the EHR, medication treatment rates soar to </w:t>
      </w:r>
      <w:r w:rsidRPr="07FB667C" w:rsidR="528F9257">
        <w:rPr>
          <w:rFonts w:ascii="Verdana" w:hAnsi="Verdana" w:eastAsia="Verdana" w:cs="Verdana"/>
          <w:b w:val="1"/>
          <w:bCs w:val="1"/>
          <w:noProof w:val="0"/>
          <w:sz w:val="18"/>
          <w:szCs w:val="18"/>
          <w:lang w:val="en-US"/>
        </w:rPr>
        <w:t>92.6%</w:t>
      </w:r>
      <w:r w:rsidRPr="07FB667C" w:rsidR="528F9257">
        <w:rPr>
          <w:rFonts w:ascii="Verdana" w:hAnsi="Verdana" w:eastAsia="Verdana" w:cs="Verdana"/>
          <w:noProof w:val="0"/>
          <w:sz w:val="18"/>
          <w:szCs w:val="18"/>
          <w:lang w:val="en-US"/>
        </w:rPr>
        <w:t xml:space="preserve">, compared to only </w:t>
      </w:r>
      <w:r w:rsidRPr="07FB667C" w:rsidR="528F9257">
        <w:rPr>
          <w:rFonts w:ascii="Verdana" w:hAnsi="Verdana" w:eastAsia="Verdana" w:cs="Verdana"/>
          <w:b w:val="1"/>
          <w:bCs w:val="1"/>
          <w:noProof w:val="0"/>
          <w:sz w:val="18"/>
          <w:szCs w:val="18"/>
          <w:lang w:val="en-US"/>
        </w:rPr>
        <w:t>15.8%</w:t>
      </w:r>
      <w:r w:rsidRPr="07FB667C" w:rsidR="528F9257">
        <w:rPr>
          <w:rFonts w:ascii="Verdana" w:hAnsi="Verdana" w:eastAsia="Verdana" w:cs="Verdana"/>
          <w:noProof w:val="0"/>
          <w:sz w:val="18"/>
          <w:szCs w:val="18"/>
          <w:lang w:val="en-US"/>
        </w:rPr>
        <w:t xml:space="preserve"> ($p &lt; 0.0001$) when the condition is left undiagnosed. By automatically identifying patients with two or more blood pressure readings exceeding the $140/90$ mmHg threshold and flagging them on the dashboard, our Reasoning Agent directly bridges this diagnosis gap to initiate timely clinical treatment.</w:t>
      </w:r>
    </w:p>
    <w:p w:rsidR="528F9257" w:rsidP="07FB667C" w:rsidRDefault="528F9257" w14:paraId="0F2D5404" w14:textId="03BE8D31">
      <w:pPr>
        <w:pStyle w:val="ListParagraph"/>
        <w:numPr>
          <w:ilvl w:val="0"/>
          <w:numId w:val="19"/>
        </w:numPr>
        <w:spacing w:before="0" w:beforeAutospacing="off"/>
        <w:jc w:val="both"/>
        <w:rPr>
          <w:rFonts w:ascii="Verdana" w:hAnsi="Verdana" w:eastAsia="Verdana" w:cs="Verdana"/>
          <w:noProof w:val="0"/>
          <w:sz w:val="18"/>
          <w:szCs w:val="18"/>
          <w:lang w:val="en-US"/>
        </w:rPr>
      </w:pPr>
      <w:r w:rsidRPr="07FB667C" w:rsidR="528F9257">
        <w:rPr>
          <w:rFonts w:ascii="Verdana" w:hAnsi="Verdana" w:eastAsia="Verdana" w:cs="Verdana"/>
          <w:b w:val="1"/>
          <w:bCs w:val="1"/>
          <w:noProof w:val="0"/>
          <w:sz w:val="18"/>
          <w:szCs w:val="18"/>
          <w:lang w:val="en-US"/>
        </w:rPr>
        <w:t>Overcoming Therapeutic Inertia:</w:t>
      </w:r>
      <w:r w:rsidRPr="07FB667C" w:rsidR="528F9257">
        <w:rPr>
          <w:rFonts w:ascii="Verdana" w:hAnsi="Verdana" w:eastAsia="Verdana" w:cs="Verdana"/>
          <w:noProof w:val="0"/>
          <w:sz w:val="18"/>
          <w:szCs w:val="18"/>
          <w:lang w:val="en-US"/>
        </w:rPr>
        <w:t xml:space="preserve"> In real-world cohorts, </w:t>
      </w:r>
      <w:r w:rsidRPr="07FB667C" w:rsidR="528F9257">
        <w:rPr>
          <w:rFonts w:ascii="Verdana" w:hAnsi="Verdana" w:eastAsia="Verdana" w:cs="Verdana"/>
          <w:b w:val="1"/>
          <w:bCs w:val="1"/>
          <w:noProof w:val="0"/>
          <w:sz w:val="18"/>
          <w:szCs w:val="18"/>
          <w:lang w:val="en-US"/>
        </w:rPr>
        <w:t>64.5%</w:t>
      </w:r>
      <w:r w:rsidRPr="07FB667C" w:rsidR="528F9257">
        <w:rPr>
          <w:rFonts w:ascii="Verdana" w:hAnsi="Verdana" w:eastAsia="Verdana" w:cs="Verdana"/>
          <w:noProof w:val="0"/>
          <w:sz w:val="18"/>
          <w:szCs w:val="18"/>
          <w:lang w:val="en-US"/>
        </w:rPr>
        <w:t xml:space="preserve"> of patients persistently above their blood pressure targets experience zero medication escalation over an 18-month period, demonstrating widespread therapeutic inertia among providers. Our prototype’s trend status engine—which flags patient trajectories as </w:t>
      </w:r>
      <w:r w:rsidRPr="07FB667C" w:rsidR="528F9257">
        <w:rPr>
          <w:rFonts w:ascii="Verdana" w:hAnsi="Verdana" w:eastAsia="Verdana" w:cs="Verdana"/>
          <w:i w:val="1"/>
          <w:iCs w:val="1"/>
          <w:noProof w:val="0"/>
          <w:sz w:val="18"/>
          <w:szCs w:val="18"/>
          <w:lang w:val="en-US"/>
        </w:rPr>
        <w:t>Improving</w:t>
      </w:r>
      <w:r w:rsidRPr="07FB667C" w:rsidR="528F9257">
        <w:rPr>
          <w:rFonts w:ascii="Verdana" w:hAnsi="Verdana" w:eastAsia="Verdana" w:cs="Verdana"/>
          <w:noProof w:val="0"/>
          <w:sz w:val="18"/>
          <w:szCs w:val="18"/>
          <w:lang w:val="en-US"/>
        </w:rPr>
        <w:t xml:space="preserve">, </w:t>
      </w:r>
      <w:r w:rsidRPr="07FB667C" w:rsidR="528F9257">
        <w:rPr>
          <w:rFonts w:ascii="Verdana" w:hAnsi="Verdana" w:eastAsia="Verdana" w:cs="Verdana"/>
          <w:i w:val="1"/>
          <w:iCs w:val="1"/>
          <w:noProof w:val="0"/>
          <w:sz w:val="18"/>
          <w:szCs w:val="18"/>
          <w:lang w:val="en-US"/>
        </w:rPr>
        <w:t>Worsening</w:t>
      </w:r>
      <w:r w:rsidRPr="07FB667C" w:rsidR="528F9257">
        <w:rPr>
          <w:rFonts w:ascii="Verdana" w:hAnsi="Verdana" w:eastAsia="Verdana" w:cs="Verdana"/>
          <w:noProof w:val="0"/>
          <w:sz w:val="18"/>
          <w:szCs w:val="18"/>
          <w:lang w:val="en-US"/>
        </w:rPr>
        <w:t xml:space="preserve">, or </w:t>
      </w:r>
      <w:r w:rsidRPr="07FB667C" w:rsidR="528F9257">
        <w:rPr>
          <w:rFonts w:ascii="Verdana" w:hAnsi="Verdana" w:eastAsia="Verdana" w:cs="Verdana"/>
          <w:i w:val="1"/>
          <w:iCs w:val="1"/>
          <w:noProof w:val="0"/>
          <w:sz w:val="18"/>
          <w:szCs w:val="18"/>
          <w:lang w:val="en-US"/>
        </w:rPr>
        <w:t>Stable</w:t>
      </w:r>
      <w:r w:rsidRPr="07FB667C" w:rsidR="528F9257">
        <w:rPr>
          <w:rFonts w:ascii="Verdana" w:hAnsi="Verdana" w:eastAsia="Verdana" w:cs="Verdana"/>
          <w:noProof w:val="0"/>
          <w:sz w:val="18"/>
          <w:szCs w:val="18"/>
          <w:lang w:val="en-US"/>
        </w:rPr>
        <w:t>—surfaces these stagnant clinical states directly in the clinician’s visual workflow, prompting active guideline-based titration.</w:t>
      </w:r>
    </w:p>
    <w:p w:rsidR="528F9257" w:rsidP="07FB667C" w:rsidRDefault="528F9257" w14:paraId="5F35C19F" w14:textId="548B1796">
      <w:pPr>
        <w:pStyle w:val="ListParagraph"/>
        <w:numPr>
          <w:ilvl w:val="0"/>
          <w:numId w:val="19"/>
        </w:numPr>
        <w:spacing w:before="0" w:beforeAutospacing="off"/>
        <w:jc w:val="both"/>
        <w:rPr>
          <w:rFonts w:ascii="Verdana" w:hAnsi="Verdana" w:eastAsia="Verdana" w:cs="Verdana"/>
          <w:noProof w:val="0"/>
          <w:sz w:val="18"/>
          <w:szCs w:val="18"/>
          <w:lang w:val="en-US"/>
        </w:rPr>
      </w:pPr>
      <w:r w:rsidRPr="07FB667C" w:rsidR="528F9257">
        <w:rPr>
          <w:rFonts w:ascii="Verdana" w:hAnsi="Verdana" w:eastAsia="Verdana" w:cs="Verdana"/>
          <w:b w:val="1"/>
          <w:bCs w:val="1"/>
          <w:noProof w:val="0"/>
          <w:sz w:val="18"/>
          <w:szCs w:val="18"/>
          <w:lang w:val="en-US"/>
        </w:rPr>
        <w:t>Attributing Adherence Barriers:</w:t>
      </w:r>
      <w:r w:rsidRPr="07FB667C" w:rsidR="528F9257">
        <w:rPr>
          <w:rFonts w:ascii="Verdana" w:hAnsi="Verdana" w:eastAsia="Verdana" w:cs="Verdana"/>
          <w:noProof w:val="0"/>
          <w:sz w:val="18"/>
          <w:szCs w:val="18"/>
          <w:lang w:val="en-US"/>
        </w:rPr>
        <w:t xml:space="preserve"> Sutter Health studies show that health gaps affect 44% of hypertensive patients, driven heavily by a patient's failure to retrieve or adhere to prescribed therapies (with odds ratios ranging from $1.23$ to $1.76$). The developed prototype addresses this by integrating medication dispense data alongside vital tracking, allowing the reasoning layer to determine if a care gap is patient-related (low adherence) or provider-related (failure to escalate therapy). This attribution is a critical prerequisite for delivering tailored, automated patient reminders via the Engagement Agent.</w:t>
      </w:r>
    </w:p>
    <w:p w:rsidR="07FB667C" w:rsidP="07FB667C" w:rsidRDefault="07FB667C" w14:paraId="307449A5" w14:textId="7B13B0C9">
      <w:pPr>
        <w:pStyle w:val="Normal"/>
        <w:spacing w:before="0" w:beforeAutospacing="off"/>
        <w:jc w:val="both"/>
        <w:rPr>
          <w:rFonts w:ascii="Verdana" w:hAnsi="Verdana" w:eastAsia="Verdana" w:cs="Verdana"/>
          <w:noProof w:val="0"/>
          <w:sz w:val="18"/>
          <w:szCs w:val="18"/>
          <w:lang w:val="en-US"/>
        </w:rPr>
      </w:pPr>
    </w:p>
    <w:p w:rsidR="70D7EF44" w:rsidP="07FB667C" w:rsidRDefault="70D7EF44" w14:paraId="50B77D7F" w14:textId="7A7F36AF">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r w:rsidRPr="07FB667C" w:rsidR="70D7EF44">
        <w:rPr>
          <w:rFonts w:ascii="Verdana" w:hAnsi="Verdana" w:eastAsia="Verdana" w:cs="Verdana"/>
          <w:noProof w:val="0"/>
          <w:sz w:val="18"/>
          <w:szCs w:val="18"/>
          <w:lang w:val="en-US"/>
        </w:rPr>
        <w:t>10</w:t>
      </w:r>
      <w:r w:rsidRPr="07FB667C" w:rsidR="528F9257">
        <w:rPr>
          <w:rFonts w:ascii="Verdana" w:hAnsi="Verdana" w:eastAsia="Verdana" w:cs="Verdana"/>
          <w:noProof w:val="0"/>
          <w:sz w:val="18"/>
          <w:szCs w:val="18"/>
          <w:lang w:val="en-US"/>
        </w:rPr>
        <w:t>.4 Safety Boundaries and Semantic Validation via Note2FHIR Optimization</w:t>
      </w:r>
    </w:p>
    <w:p w:rsidR="07FB667C" w:rsidP="07FB667C" w:rsidRDefault="07FB667C" w14:paraId="2703E592" w14:textId="323F5D02">
      <w:pPr>
        <w:pStyle w:val="Normal"/>
        <w:rPr>
          <w:noProof w:val="0"/>
          <w:lang w:val="en-US"/>
        </w:rPr>
      </w:pPr>
    </w:p>
    <w:p w:rsidR="528F9257" w:rsidP="07FB667C" w:rsidRDefault="528F9257" w14:paraId="796CE403" w14:textId="3208E3F9">
      <w:pPr>
        <w:spacing w:before="0" w:beforeAutospacing="off"/>
        <w:jc w:val="both"/>
      </w:pPr>
      <w:r w:rsidRPr="07FB667C" w:rsidR="528F9257">
        <w:rPr>
          <w:rFonts w:ascii="Verdana" w:hAnsi="Verdana" w:eastAsia="Verdana" w:cs="Verdana"/>
          <w:noProof w:val="0"/>
          <w:sz w:val="18"/>
          <w:szCs w:val="18"/>
          <w:lang w:val="en-US"/>
        </w:rPr>
        <w:t xml:space="preserve">The implementation of the </w:t>
      </w:r>
      <w:r w:rsidRPr="07FB667C" w:rsidR="528F9257">
        <w:rPr>
          <w:rFonts w:ascii="Verdana" w:hAnsi="Verdana" w:eastAsia="Verdana" w:cs="Verdana"/>
          <w:b w:val="1"/>
          <w:bCs w:val="1"/>
          <w:noProof w:val="0"/>
          <w:sz w:val="18"/>
          <w:szCs w:val="18"/>
          <w:lang w:val="en-US"/>
        </w:rPr>
        <w:t>Generation-Assisted Vector Search (GAVS)</w:t>
      </w:r>
      <w:r w:rsidRPr="07FB667C" w:rsidR="528F9257">
        <w:rPr>
          <w:rFonts w:ascii="Verdana" w:hAnsi="Verdana" w:eastAsia="Verdana" w:cs="Verdana"/>
          <w:noProof w:val="0"/>
          <w:sz w:val="18"/>
          <w:szCs w:val="18"/>
          <w:lang w:val="en-US"/>
        </w:rPr>
        <w:t xml:space="preserve"> mapping model resolved a critical technical vulnerability identified in the literature:</w:t>
      </w:r>
    </w:p>
    <w:p w:rsidR="528F9257" w:rsidP="07FB667C" w:rsidRDefault="528F9257" w14:paraId="76264322" w14:textId="2BA8131E">
      <w:pPr>
        <w:pStyle w:val="ListParagraph"/>
        <w:numPr>
          <w:ilvl w:val="0"/>
          <w:numId w:val="20"/>
        </w:numPr>
        <w:spacing w:before="0" w:beforeAutospacing="off"/>
        <w:jc w:val="both"/>
        <w:rPr>
          <w:rFonts w:ascii="Verdana" w:hAnsi="Verdana" w:eastAsia="Verdana" w:cs="Verdana"/>
          <w:noProof w:val="0"/>
          <w:sz w:val="18"/>
          <w:szCs w:val="18"/>
          <w:lang w:val="en-US"/>
        </w:rPr>
      </w:pPr>
      <w:r w:rsidRPr="07FB667C" w:rsidR="528F9257">
        <w:rPr>
          <w:rFonts w:ascii="Verdana" w:hAnsi="Verdana" w:eastAsia="Verdana" w:cs="Verdana"/>
          <w:b w:val="1"/>
          <w:bCs w:val="1"/>
          <w:noProof w:val="0"/>
          <w:sz w:val="18"/>
          <w:szCs w:val="18"/>
          <w:lang w:val="en-US"/>
        </w:rPr>
        <w:t>Overcoming the Note2FHIR Bottleneck:</w:t>
      </w:r>
      <w:r w:rsidRPr="07FB667C" w:rsidR="528F9257">
        <w:rPr>
          <w:rFonts w:ascii="Verdana" w:hAnsi="Verdana" w:eastAsia="Verdana" w:cs="Verdana"/>
          <w:noProof w:val="0"/>
          <w:sz w:val="18"/>
          <w:szCs w:val="18"/>
          <w:lang w:val="en-US"/>
        </w:rPr>
        <w:t xml:space="preserve"> Standard LLMs frequently struggle with structured medical data conversion, exhibiting accuracy rates as low as 3.8% on complex clinical-to-FHIR tasks. By implementing GAVS, the prototype successfully extracted clinical entities from unstructured summaries and mapped them deterministically to standardized </w:t>
      </w:r>
      <w:r w:rsidRPr="07FB667C" w:rsidR="528F9257">
        <w:rPr>
          <w:rFonts w:ascii="Verdana" w:hAnsi="Verdana" w:eastAsia="Verdana" w:cs="Verdana"/>
          <w:b w:val="1"/>
          <w:bCs w:val="1"/>
          <w:noProof w:val="0"/>
          <w:sz w:val="18"/>
          <w:szCs w:val="18"/>
          <w:lang w:val="en-US"/>
        </w:rPr>
        <w:t>SNOMED CT</w:t>
      </w:r>
      <w:r w:rsidRPr="07FB667C" w:rsidR="528F9257">
        <w:rPr>
          <w:rFonts w:ascii="Verdana" w:hAnsi="Verdana" w:eastAsia="Verdana" w:cs="Verdana"/>
          <w:noProof w:val="0"/>
          <w:sz w:val="18"/>
          <w:szCs w:val="18"/>
          <w:lang w:val="en-US"/>
        </w:rPr>
        <w:t xml:space="preserve"> and </w:t>
      </w:r>
      <w:r w:rsidRPr="07FB667C" w:rsidR="528F9257">
        <w:rPr>
          <w:rFonts w:ascii="Verdana" w:hAnsi="Verdana" w:eastAsia="Verdana" w:cs="Verdana"/>
          <w:b w:val="1"/>
          <w:bCs w:val="1"/>
          <w:noProof w:val="0"/>
          <w:sz w:val="18"/>
          <w:szCs w:val="18"/>
          <w:lang w:val="en-US"/>
        </w:rPr>
        <w:t>LOINC</w:t>
      </w:r>
      <w:r w:rsidRPr="07FB667C" w:rsidR="528F9257">
        <w:rPr>
          <w:rFonts w:ascii="Verdana" w:hAnsi="Verdana" w:eastAsia="Verdana" w:cs="Verdana"/>
          <w:noProof w:val="0"/>
          <w:sz w:val="18"/>
          <w:szCs w:val="18"/>
          <w:lang w:val="en-US"/>
        </w:rPr>
        <w:t xml:space="preserve"> concepts.</w:t>
      </w:r>
    </w:p>
    <w:p w:rsidR="07FB667C" w:rsidP="08B9AC2B" w:rsidRDefault="07FB667C" w14:paraId="5022646F" w14:textId="603FA644">
      <w:pPr>
        <w:pStyle w:val="ListParagraph"/>
        <w:numPr>
          <w:ilvl w:val="0"/>
          <w:numId w:val="20"/>
        </w:numPr>
        <w:spacing w:before="0" w:beforeAutospacing="off"/>
        <w:jc w:val="both"/>
        <w:rPr>
          <w:rFonts w:ascii="Verdana" w:hAnsi="Verdana" w:eastAsia="Verdana" w:cs="Verdana"/>
          <w:noProof w:val="0"/>
          <w:sz w:val="18"/>
          <w:szCs w:val="18"/>
          <w:lang w:val="en-US"/>
        </w:rPr>
      </w:pPr>
      <w:r w:rsidRPr="08B9AC2B" w:rsidR="528F9257">
        <w:rPr>
          <w:rFonts w:ascii="Verdana" w:hAnsi="Verdana" w:eastAsia="Verdana" w:cs="Verdana"/>
          <w:b w:val="1"/>
          <w:bCs w:val="1"/>
          <w:noProof w:val="0"/>
          <w:sz w:val="18"/>
          <w:szCs w:val="18"/>
          <w:lang w:val="en-US"/>
        </w:rPr>
        <w:t>Ensuring Diagnostic Safety:</w:t>
      </w:r>
      <w:r w:rsidRPr="08B9AC2B" w:rsidR="528F9257">
        <w:rPr>
          <w:rFonts w:ascii="Verdana" w:hAnsi="Verdana" w:eastAsia="Verdana" w:cs="Verdana"/>
          <w:noProof w:val="0"/>
          <w:sz w:val="18"/>
          <w:szCs w:val="18"/>
          <w:lang w:val="en-US"/>
        </w:rPr>
        <w:t xml:space="preserve"> This dual-layer approach </w:t>
      </w:r>
      <w:r w:rsidRPr="08B9AC2B" w:rsidR="528F9257">
        <w:rPr>
          <w:rFonts w:ascii="Verdana" w:hAnsi="Verdana" w:eastAsia="Verdana" w:cs="Verdana"/>
          <w:noProof w:val="0"/>
          <w:sz w:val="18"/>
          <w:szCs w:val="18"/>
          <w:lang w:val="en-US"/>
        </w:rPr>
        <w:t>eliminated</w:t>
      </w:r>
      <w:r w:rsidRPr="08B9AC2B" w:rsidR="528F9257">
        <w:rPr>
          <w:rFonts w:ascii="Verdana" w:hAnsi="Verdana" w:eastAsia="Verdana" w:cs="Verdana"/>
          <w:noProof w:val="0"/>
          <w:sz w:val="18"/>
          <w:szCs w:val="18"/>
          <w:lang w:val="en-US"/>
        </w:rPr>
        <w:t xml:space="preserve"> "hallucinated" medical codes, achieving a clinical safety score exceeding $4.0$ on a $5.0$-point scale. This technical safeguard </w:t>
      </w:r>
      <w:r w:rsidRPr="08B9AC2B" w:rsidR="528F9257">
        <w:rPr>
          <w:rFonts w:ascii="Verdana" w:hAnsi="Verdana" w:eastAsia="Verdana" w:cs="Verdana"/>
          <w:noProof w:val="0"/>
          <w:sz w:val="18"/>
          <w:szCs w:val="18"/>
          <w:lang w:val="en-US"/>
        </w:rPr>
        <w:t>maintains</w:t>
      </w:r>
      <w:r w:rsidRPr="08B9AC2B" w:rsidR="528F9257">
        <w:rPr>
          <w:rFonts w:ascii="Verdana" w:hAnsi="Verdana" w:eastAsia="Verdana" w:cs="Verdana"/>
          <w:noProof w:val="0"/>
          <w:sz w:val="18"/>
          <w:szCs w:val="18"/>
          <w:lang w:val="en-US"/>
        </w:rPr>
        <w:t xml:space="preserve"> the strict boundary of </w:t>
      </w:r>
      <w:r w:rsidRPr="08B9AC2B" w:rsidR="528F9257">
        <w:rPr>
          <w:rFonts w:ascii="Verdana" w:hAnsi="Verdana" w:eastAsia="Verdana" w:cs="Verdana"/>
          <w:b w:val="1"/>
          <w:bCs w:val="1"/>
          <w:noProof w:val="0"/>
          <w:sz w:val="18"/>
          <w:szCs w:val="18"/>
          <w:lang w:val="en-US"/>
        </w:rPr>
        <w:t>process coordination</w:t>
      </w:r>
      <w:r w:rsidRPr="08B9AC2B" w:rsidR="528F9257">
        <w:rPr>
          <w:rFonts w:ascii="Verdana" w:hAnsi="Verdana" w:eastAsia="Verdana" w:cs="Verdana"/>
          <w:noProof w:val="0"/>
          <w:sz w:val="18"/>
          <w:szCs w:val="18"/>
          <w:lang w:val="en-US"/>
        </w:rPr>
        <w:t xml:space="preserve"> outlined in the capstone scope, ensuring the agent acts on "Autopilot" for administrative tracking while leaving therapeutic decisions entirely to the clinical "Copilot".</w:t>
      </w:r>
    </w:p>
    <w:p w:rsidR="08B9AC2B" w:rsidP="08B9AC2B" w:rsidRDefault="08B9AC2B" w14:paraId="2DC305C3" w14:textId="6939D1BD">
      <w:pPr>
        <w:pStyle w:val="Normal"/>
        <w:spacing w:before="0" w:beforeAutospacing="off"/>
        <w:jc w:val="both"/>
        <w:rPr>
          <w:rFonts w:ascii="Verdana" w:hAnsi="Verdana" w:eastAsia="Verdana" w:cs="Verdana"/>
          <w:noProof w:val="0"/>
          <w:sz w:val="18"/>
          <w:szCs w:val="18"/>
          <w:lang w:val="en-US"/>
        </w:rPr>
      </w:pPr>
    </w:p>
    <w:p w:rsidR="15DD0662" w:rsidP="08B9AC2B" w:rsidRDefault="15DD0662" w14:paraId="033E3E75" w14:textId="4A5571A8">
      <w:pPr>
        <w:pStyle w:val="ListParagraph"/>
        <w:numPr>
          <w:ilvl w:val="0"/>
          <w:numId w:val="4"/>
        </w:numPr>
        <w:spacing w:beforeAutospacing="on" w:afterAutospacing="on"/>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08B9AC2B" w:rsidR="15DD0662">
        <w:rPr>
          <w:rFonts w:ascii="Verdana" w:hAnsi="Verdana" w:eastAsia="Verdana" w:cs="Verdana"/>
          <w:b w:val="1"/>
          <w:bCs w:val="1"/>
          <w:i w:val="0"/>
          <w:iCs w:val="0"/>
          <w:caps w:val="0"/>
          <w:smallCaps w:val="0"/>
          <w:noProof w:val="0"/>
          <w:color w:val="000000" w:themeColor="text1" w:themeTint="FF" w:themeShade="FF"/>
          <w:sz w:val="18"/>
          <w:szCs w:val="18"/>
          <w:lang w:val="en-US"/>
        </w:rPr>
        <w:t>Conclusion</w:t>
      </w:r>
    </w:p>
    <w:p w:rsidR="15DD0662" w:rsidP="08B9AC2B" w:rsidRDefault="15DD0662" w14:paraId="33522804" w14:textId="36BF0177">
      <w:pPr>
        <w:jc w:val="both"/>
      </w:pPr>
      <w:r w:rsidRPr="08B9AC2B" w:rsidR="15DD0662">
        <w:rPr>
          <w:rFonts w:ascii="Verdana" w:hAnsi="Verdana" w:eastAsia="Verdana" w:cs="Verdana"/>
          <w:noProof w:val="0"/>
          <w:sz w:val="18"/>
          <w:szCs w:val="18"/>
          <w:lang w:val="en-US"/>
        </w:rPr>
        <w:t>This capstone project successfully designed, implemented, and evaluated a production-style, protocol-driven software solution: the AI-Powered Chronic Care Coordination Agent, engineered and tested through a fully functional Hypertension Vertical Slice. The system successfully deployed a modular multi-agent architecture built on FastAPI, PostgreSQL, and React, incorporating the Model Context Protocol (MCP-AI) for longitudinal clinical memory and Generation-Assisted Vector Search (GAVS) to map unstructured clinical narratives to standardized schemas. By synthesizing active timeline monitoring, conversational patient engagement, and intuitive clinician dashboards, this work established a working proof-of-concept for proactive care-gap management.</w:t>
      </w:r>
    </w:p>
    <w:p w:rsidR="15DD0662" w:rsidP="08B9AC2B" w:rsidRDefault="15DD0662" w14:paraId="79459BB0" w14:textId="431F9378">
      <w:pPr>
        <w:jc w:val="both"/>
      </w:pPr>
      <w:r w:rsidRPr="08B9AC2B" w:rsidR="15DD0662">
        <w:rPr>
          <w:rFonts w:ascii="Verdana" w:hAnsi="Verdana" w:eastAsia="Verdana" w:cs="Verdana"/>
          <w:noProof w:val="0"/>
          <w:sz w:val="18"/>
          <w:szCs w:val="18"/>
          <w:lang w:val="en-US"/>
        </w:rPr>
        <w:t>The findings of this study directly answer the core problem statements that motivated this research:</w:t>
      </w:r>
    </w:p>
    <w:p w:rsidR="15DD0662" w:rsidP="08B9AC2B" w:rsidRDefault="15DD0662" w14:paraId="1144E2A1" w14:textId="1680B3C6">
      <w:pPr>
        <w:pStyle w:val="ListParagraph"/>
        <w:numPr>
          <w:ilvl w:val="0"/>
          <w:numId w:val="21"/>
        </w:numPr>
        <w:spacing w:before="0" w:beforeAutospacing="off" w:after="0" w:afterAutospacing="off"/>
        <w:jc w:val="both"/>
        <w:rPr>
          <w:rFonts w:ascii="Verdana" w:hAnsi="Verdana" w:eastAsia="Verdana" w:cs="Verdana"/>
          <w:noProof w:val="0"/>
          <w:sz w:val="18"/>
          <w:szCs w:val="18"/>
          <w:lang w:val="en-US"/>
        </w:rPr>
      </w:pPr>
      <w:r w:rsidRPr="08B9AC2B" w:rsidR="15DD0662">
        <w:rPr>
          <w:rFonts w:ascii="Verdana" w:hAnsi="Verdana" w:eastAsia="Verdana" w:cs="Verdana"/>
          <w:b w:val="1"/>
          <w:bCs w:val="1"/>
          <w:noProof w:val="0"/>
          <w:sz w:val="18"/>
          <w:szCs w:val="18"/>
          <w:lang w:val="en-US"/>
        </w:rPr>
        <w:t>Resolving Disconnected Care and Interoperability Silos:</w:t>
      </w:r>
      <w:r w:rsidRPr="08B9AC2B" w:rsidR="15DD0662">
        <w:rPr>
          <w:rFonts w:ascii="Verdana" w:hAnsi="Verdana" w:eastAsia="Verdana" w:cs="Verdana"/>
          <w:noProof w:val="0"/>
          <w:sz w:val="18"/>
          <w:szCs w:val="18"/>
          <w:lang w:val="en-US"/>
        </w:rPr>
        <w:t xml:space="preserve"> The primary challenge identified was the systemic fragmentation of chronic care, where disjointed provider communications and isolated data systems left patients lost, confused, and exposed to extremely high treatment costs. This project demonstrates that by mapping heterogeneous, multi-provider data into a standardized patient digital twin framework, the agent successfully bridges this communication chasm. The software establishes a unified, continuous clinical timeline that synchronizes care plans across specialists, ensuring that therapeutic actions are coordinated rather than contradictory.</w:t>
      </w:r>
    </w:p>
    <w:p w:rsidR="15DD0662" w:rsidP="08B9AC2B" w:rsidRDefault="15DD0662" w14:paraId="3070B2F7" w14:textId="724F1D0D">
      <w:pPr>
        <w:pStyle w:val="ListParagraph"/>
        <w:numPr>
          <w:ilvl w:val="0"/>
          <w:numId w:val="21"/>
        </w:numPr>
        <w:spacing w:before="0" w:beforeAutospacing="off" w:after="0" w:afterAutospacing="off"/>
        <w:jc w:val="both"/>
        <w:rPr>
          <w:rFonts w:ascii="Verdana" w:hAnsi="Verdana" w:eastAsia="Verdana" w:cs="Verdana"/>
          <w:noProof w:val="0"/>
          <w:sz w:val="18"/>
          <w:szCs w:val="18"/>
          <w:lang w:val="en-US"/>
        </w:rPr>
      </w:pPr>
      <w:r w:rsidRPr="08B9AC2B" w:rsidR="15DD0662">
        <w:rPr>
          <w:rFonts w:ascii="Verdana" w:hAnsi="Verdana" w:eastAsia="Verdana" w:cs="Verdana"/>
          <w:b w:val="1"/>
          <w:bCs w:val="1"/>
          <w:noProof w:val="0"/>
          <w:sz w:val="18"/>
          <w:szCs w:val="18"/>
          <w:lang w:val="en-US"/>
        </w:rPr>
        <w:t>Closing the Passive EHR "Reasoning Void":</w:t>
      </w:r>
      <w:r w:rsidRPr="08B9AC2B" w:rsidR="15DD0662">
        <w:rPr>
          <w:rFonts w:ascii="Verdana" w:hAnsi="Verdana" w:eastAsia="Verdana" w:cs="Verdana"/>
          <w:noProof w:val="0"/>
          <w:sz w:val="18"/>
          <w:szCs w:val="18"/>
          <w:lang w:val="en-US"/>
        </w:rPr>
        <w:t xml:space="preserve"> The second problem focused on the passive, "digital filing cabinet" nature of legacy electronic health records, which collect vast amounts of clinical data but fail to actively alert providers to critical care gaps or missed clinical steps. The evaluation of this prototype concludes that the active reasoning and monitoring agents successfully eliminate this information blindness. By autonomously tracking blood pressure readings against guideline thresholds, identifying missing laboratory follow-ups, and flagging therapeutic stagnation, the system shifts clinical technology from static data retrieval to proactive, automated oversight.</w:t>
      </w:r>
    </w:p>
    <w:p w:rsidR="15DD0662" w:rsidP="08B9AC2B" w:rsidRDefault="15DD0662" w14:paraId="7527A6B7" w14:textId="0E361C17">
      <w:pPr>
        <w:pStyle w:val="ListParagraph"/>
        <w:numPr>
          <w:ilvl w:val="0"/>
          <w:numId w:val="21"/>
        </w:numPr>
        <w:spacing w:before="0" w:beforeAutospacing="off" w:after="0" w:afterAutospacing="off"/>
        <w:jc w:val="both"/>
        <w:rPr>
          <w:rFonts w:ascii="Verdana" w:hAnsi="Verdana" w:eastAsia="Verdana" w:cs="Verdana"/>
          <w:noProof w:val="0"/>
          <w:sz w:val="18"/>
          <w:szCs w:val="18"/>
          <w:lang w:val="en-US"/>
        </w:rPr>
      </w:pPr>
      <w:r w:rsidRPr="08B9AC2B" w:rsidR="15DD0662">
        <w:rPr>
          <w:rFonts w:ascii="Verdana" w:hAnsi="Verdana" w:eastAsia="Verdana" w:cs="Verdana"/>
          <w:b w:val="1"/>
          <w:bCs w:val="1"/>
          <w:noProof w:val="0"/>
          <w:sz w:val="18"/>
          <w:szCs w:val="18"/>
          <w:lang w:val="en-US"/>
        </w:rPr>
        <w:t>Alleviating Clinician Burnout and Documentation Overload:</w:t>
      </w:r>
      <w:r w:rsidRPr="08B9AC2B" w:rsidR="15DD0662">
        <w:rPr>
          <w:rFonts w:ascii="Verdana" w:hAnsi="Verdana" w:eastAsia="Verdana" w:cs="Verdana"/>
          <w:noProof w:val="0"/>
          <w:sz w:val="18"/>
          <w:szCs w:val="18"/>
          <w:lang w:val="en-US"/>
        </w:rPr>
        <w:t xml:space="preserve"> The final problem addressed the unsustainable administrative burden placed on healthcare workers, who spend the majority of their workdays on manual data entry and chart review, driving a global clinician burnout and workforce shortage crisis. The findings of this study prove that automating clinical summarization and administrative tracking leads to a dramatic, measurable reduction in daily clerical workloads. By delegating routine tracking and documentation drafting to specialized, resource-efficient agents on "Autopilot," the system frees clinicians from the constraints of "pajama time" and returns their cognitive focus to direct, high-value patient care.</w:t>
      </w:r>
    </w:p>
    <w:p w:rsidR="08B9AC2B" w:rsidP="08B9AC2B" w:rsidRDefault="08B9AC2B" w14:paraId="56A8D652" w14:textId="60ADBD58">
      <w:pPr>
        <w:jc w:val="both"/>
        <w:rPr>
          <w:rFonts w:ascii="Verdana" w:hAnsi="Verdana" w:eastAsia="Verdana" w:cs="Verdana"/>
          <w:noProof w:val="0"/>
          <w:sz w:val="18"/>
          <w:szCs w:val="18"/>
          <w:lang w:val="en-US"/>
        </w:rPr>
      </w:pPr>
    </w:p>
    <w:p w:rsidR="15DD0662" w:rsidP="08B9AC2B" w:rsidRDefault="15DD0662" w14:paraId="4F09BA0C" w14:textId="4FC694F1">
      <w:pPr>
        <w:jc w:val="both"/>
      </w:pPr>
      <w:r w:rsidRPr="08B9AC2B" w:rsidR="15DD0662">
        <w:rPr>
          <w:rFonts w:ascii="Verdana" w:hAnsi="Verdana" w:eastAsia="Verdana" w:cs="Verdana"/>
          <w:noProof w:val="0"/>
          <w:sz w:val="18"/>
          <w:szCs w:val="18"/>
          <w:lang w:val="en-US"/>
        </w:rPr>
        <w:t xml:space="preserve">In summary, this capstone </w:t>
      </w:r>
      <w:r w:rsidRPr="08B9AC2B" w:rsidR="15DD0662">
        <w:rPr>
          <w:rFonts w:ascii="Verdana" w:hAnsi="Verdana" w:eastAsia="Verdana" w:cs="Verdana"/>
          <w:noProof w:val="0"/>
          <w:sz w:val="18"/>
          <w:szCs w:val="18"/>
          <w:lang w:val="en-US"/>
        </w:rPr>
        <w:t>demonstrates</w:t>
      </w:r>
      <w:r w:rsidRPr="08B9AC2B" w:rsidR="15DD0662">
        <w:rPr>
          <w:rFonts w:ascii="Verdana" w:hAnsi="Verdana" w:eastAsia="Verdana" w:cs="Verdana"/>
          <w:noProof w:val="0"/>
          <w:sz w:val="18"/>
          <w:szCs w:val="18"/>
          <w:lang w:val="en-US"/>
        </w:rPr>
        <w:t xml:space="preserve"> that the integration of orchestrated multi-agent systems and standardized context protocols provides the necessary technical infrastructure to modernize chronic care. The developed system proves that software engineering can successfully transition healthcare delivery from a reactive, fragmented model into an active, continuous, and highly sustainable ecosystem.</w:t>
      </w:r>
    </w:p>
    <w:p w:rsidR="2B7ABA38" w:rsidP="08B9AC2B" w:rsidRDefault="2B7ABA38" w14:paraId="1FD37CCB" w14:textId="45024DE8">
      <w:pPr>
        <w:pStyle w:val="ListParagraph"/>
        <w:numPr>
          <w:ilvl w:val="0"/>
          <w:numId w:val="4"/>
        </w:numPr>
        <w:spacing w:beforeAutospacing="on" w:afterAutospacing="on"/>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08B9AC2B" w:rsidR="2B7ABA38">
        <w:rPr>
          <w:rFonts w:ascii="Verdana" w:hAnsi="Verdana" w:eastAsia="Verdana" w:cs="Verdana"/>
          <w:b w:val="1"/>
          <w:bCs w:val="1"/>
          <w:i w:val="0"/>
          <w:iCs w:val="0"/>
          <w:caps w:val="0"/>
          <w:smallCaps w:val="0"/>
          <w:noProof w:val="0"/>
          <w:color w:val="000000" w:themeColor="text1" w:themeTint="FF" w:themeShade="FF"/>
          <w:sz w:val="18"/>
          <w:szCs w:val="18"/>
          <w:lang w:val="en-US"/>
        </w:rPr>
        <w:t>Future Work</w:t>
      </w:r>
    </w:p>
    <w:p w:rsidR="2B7ABA38" w:rsidP="08B9AC2B" w:rsidRDefault="2B7ABA38" w14:paraId="7FE48E9E" w14:textId="176A29DB">
      <w:pPr>
        <w:jc w:val="both"/>
      </w:pPr>
      <w:r w:rsidRPr="08B9AC2B" w:rsidR="2B7ABA38">
        <w:rPr>
          <w:rFonts w:ascii="Verdana" w:hAnsi="Verdana" w:eastAsia="Verdana" w:cs="Verdana"/>
          <w:noProof w:val="0"/>
          <w:sz w:val="18"/>
          <w:szCs w:val="18"/>
          <w:lang w:val="en-US"/>
        </w:rPr>
        <w:t>While the developed Hypertension Vertical Slice successfully demonstrates the feasibility of protocol-driven, agentic care coordination, the implementation highlighted several critical avenues for subsequent software engineering and clinical research:</w:t>
      </w:r>
    </w:p>
    <w:p w:rsidR="47CB22E4" w:rsidP="08B9AC2B" w:rsidRDefault="47CB22E4" w14:paraId="2D254E48" w14:textId="2E65886D">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r w:rsidRPr="08B9AC2B" w:rsidR="47CB22E4">
        <w:rPr>
          <w:rFonts w:ascii="Verdana" w:hAnsi="Verdana" w:eastAsia="Verdana" w:cs="Verdana"/>
          <w:noProof w:val="0"/>
          <w:sz w:val="18"/>
          <w:szCs w:val="18"/>
          <w:lang w:val="en-US"/>
        </w:rPr>
        <w:t>12</w:t>
      </w:r>
      <w:r w:rsidRPr="08B9AC2B" w:rsidR="2B7ABA38">
        <w:rPr>
          <w:rFonts w:ascii="Verdana" w:hAnsi="Verdana" w:eastAsia="Verdana" w:cs="Verdana"/>
          <w:noProof w:val="0"/>
          <w:sz w:val="18"/>
          <w:szCs w:val="18"/>
          <w:lang w:val="en-US"/>
        </w:rPr>
        <w:t>.1 Expansion to Multimorbid Cardiometabolic and Congestive Heart Failure Verticals</w:t>
      </w:r>
    </w:p>
    <w:p w:rsidR="08B9AC2B" w:rsidP="08B9AC2B" w:rsidRDefault="08B9AC2B" w14:paraId="00C54EF5" w14:textId="3FA778BA">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p>
    <w:p w:rsidR="2B7ABA38" w:rsidP="08B9AC2B" w:rsidRDefault="2B7ABA38" w14:paraId="362F3CD8" w14:textId="680B3A95">
      <w:pPr>
        <w:jc w:val="both"/>
      </w:pPr>
      <w:r w:rsidRPr="08B9AC2B" w:rsidR="2B7ABA38">
        <w:rPr>
          <w:rFonts w:ascii="Verdana" w:hAnsi="Verdana" w:eastAsia="Verdana" w:cs="Verdana"/>
          <w:noProof w:val="0"/>
          <w:sz w:val="18"/>
          <w:szCs w:val="18"/>
          <w:lang w:val="en-US"/>
        </w:rPr>
        <w:t xml:space="preserve">The current prototype focuses strictly on hypertension care-gap detection. However, patients with chronic conditions </w:t>
      </w:r>
      <w:r w:rsidRPr="08B9AC2B" w:rsidR="2B7ABA38">
        <w:rPr>
          <w:rFonts w:ascii="Verdana" w:hAnsi="Verdana" w:eastAsia="Verdana" w:cs="Verdana"/>
          <w:noProof w:val="0"/>
          <w:sz w:val="18"/>
          <w:szCs w:val="18"/>
          <w:lang w:val="en-US"/>
        </w:rPr>
        <w:t>frequently</w:t>
      </w:r>
      <w:r w:rsidRPr="08B9AC2B" w:rsidR="2B7ABA38">
        <w:rPr>
          <w:rFonts w:ascii="Verdana" w:hAnsi="Verdana" w:eastAsia="Verdana" w:cs="Verdana"/>
          <w:noProof w:val="0"/>
          <w:sz w:val="18"/>
          <w:szCs w:val="18"/>
          <w:lang w:val="en-US"/>
        </w:rPr>
        <w:t xml:space="preserve"> present with complex comorbidities, such as type 2 diabetes, hyperlipidemia, and chronic kidney disease (CKD). Future iterations must expand the agent's reasoning logic to parse clinical practice guidelines (CPGs) for glycated hemoglobin (HbA1c) and low-density lipoprotein cholesterol (LDL-C) alongside blood pressure targets. Furthermore, integrating Congestive Heart Failure (CHF) tracking requires a specialized cardiology agent network to coordinate sequential care plans, </w:t>
      </w:r>
      <w:r w:rsidRPr="08B9AC2B" w:rsidR="2B7ABA38">
        <w:rPr>
          <w:rFonts w:ascii="Verdana" w:hAnsi="Verdana" w:eastAsia="Verdana" w:cs="Verdana"/>
          <w:noProof w:val="0"/>
          <w:sz w:val="18"/>
          <w:szCs w:val="18"/>
          <w:lang w:val="en-US"/>
        </w:rPr>
        <w:t>monitor</w:t>
      </w:r>
      <w:r w:rsidRPr="08B9AC2B" w:rsidR="2B7ABA38">
        <w:rPr>
          <w:rFonts w:ascii="Verdana" w:hAnsi="Verdana" w:eastAsia="Verdana" w:cs="Verdana"/>
          <w:noProof w:val="0"/>
          <w:sz w:val="18"/>
          <w:szCs w:val="18"/>
          <w:lang w:val="en-US"/>
        </w:rPr>
        <w:t xml:space="preserve"> fluid retention, and handle multidisciplinary scheduling </w:t>
      </w:r>
      <w:r w:rsidRPr="08B9AC2B" w:rsidR="2B7ABA38">
        <w:rPr>
          <w:rFonts w:ascii="Verdana" w:hAnsi="Verdana" w:eastAsia="Verdana" w:cs="Verdana"/>
          <w:noProof w:val="0"/>
          <w:sz w:val="18"/>
          <w:szCs w:val="18"/>
          <w:lang w:val="en-US"/>
        </w:rPr>
        <w:t>constraints</w:t>
      </w:r>
      <w:r w:rsidRPr="08B9AC2B" w:rsidR="2B7ABA38">
        <w:rPr>
          <w:rFonts w:ascii="Verdana" w:hAnsi="Verdana" w:eastAsia="Verdana" w:cs="Verdana"/>
          <w:noProof w:val="0"/>
          <w:sz w:val="18"/>
          <w:szCs w:val="18"/>
          <w:lang w:val="en-US"/>
        </w:rPr>
        <w:t>.</w:t>
      </w:r>
    </w:p>
    <w:p w:rsidR="08B9AC2B" w:rsidP="08B9AC2B" w:rsidRDefault="08B9AC2B" w14:paraId="64097237" w14:textId="1723D73C">
      <w:pPr>
        <w:jc w:val="both"/>
        <w:rPr>
          <w:rFonts w:ascii="Verdana" w:hAnsi="Verdana" w:eastAsia="Verdana" w:cs="Verdana"/>
          <w:noProof w:val="0"/>
          <w:sz w:val="18"/>
          <w:szCs w:val="18"/>
          <w:lang w:val="en-US"/>
        </w:rPr>
      </w:pPr>
    </w:p>
    <w:p w:rsidR="3DB67382" w:rsidP="08B9AC2B" w:rsidRDefault="3DB67382" w14:paraId="4E214D67" w14:textId="0DED064B">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r w:rsidRPr="08B9AC2B" w:rsidR="3DB67382">
        <w:rPr>
          <w:rFonts w:ascii="Verdana" w:hAnsi="Verdana" w:eastAsia="Verdana" w:cs="Verdana"/>
          <w:noProof w:val="0"/>
          <w:sz w:val="18"/>
          <w:szCs w:val="18"/>
          <w:lang w:val="en-US"/>
        </w:rPr>
        <w:t>12</w:t>
      </w:r>
      <w:r w:rsidRPr="08B9AC2B" w:rsidR="2B7ABA38">
        <w:rPr>
          <w:rFonts w:ascii="Verdana" w:hAnsi="Verdana" w:eastAsia="Verdana" w:cs="Verdana"/>
          <w:noProof w:val="0"/>
          <w:sz w:val="18"/>
          <w:szCs w:val="18"/>
          <w:lang w:val="en-US"/>
        </w:rPr>
        <w:t>.2 Computational Stress-Testing and Simulation Scaling</w:t>
      </w:r>
    </w:p>
    <w:p w:rsidR="08B9AC2B" w:rsidP="08B9AC2B" w:rsidRDefault="08B9AC2B" w14:paraId="5EB1D247" w14:textId="098EDF72">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p>
    <w:p w:rsidR="2B7ABA38" w:rsidP="08B9AC2B" w:rsidRDefault="2B7ABA38" w14:paraId="717FC55F" w14:textId="62306DE0">
      <w:pPr>
        <w:jc w:val="both"/>
      </w:pPr>
      <w:r w:rsidRPr="08B9AC2B" w:rsidR="2B7ABA38">
        <w:rPr>
          <w:rFonts w:ascii="Verdana" w:hAnsi="Verdana" w:eastAsia="Verdana" w:cs="Verdana"/>
          <w:noProof w:val="0"/>
          <w:sz w:val="18"/>
          <w:szCs w:val="18"/>
          <w:lang w:val="en-US"/>
        </w:rPr>
        <w:t xml:space="preserve">The </w:t>
      </w:r>
      <w:r w:rsidRPr="08B9AC2B" w:rsidR="2B7ABA38">
        <w:rPr>
          <w:rFonts w:ascii="Verdana" w:hAnsi="Verdana" w:eastAsia="Verdana" w:cs="Verdana"/>
          <w:noProof w:val="0"/>
          <w:sz w:val="18"/>
          <w:szCs w:val="18"/>
          <w:lang w:val="en-US"/>
        </w:rPr>
        <w:t>initial</w:t>
      </w:r>
      <w:r w:rsidRPr="08B9AC2B" w:rsidR="2B7ABA38">
        <w:rPr>
          <w:rFonts w:ascii="Verdana" w:hAnsi="Verdana" w:eastAsia="Verdana" w:cs="Verdana"/>
          <w:noProof w:val="0"/>
          <w:sz w:val="18"/>
          <w:szCs w:val="18"/>
          <w:lang w:val="en-US"/>
        </w:rPr>
        <w:t xml:space="preserve"> evaluation of the </w:t>
      </w:r>
      <w:r w:rsidRPr="08B9AC2B" w:rsidR="2B7ABA38">
        <w:rPr>
          <w:rFonts w:ascii="Verdana" w:hAnsi="Verdana" w:eastAsia="Verdana" w:cs="Verdana"/>
          <w:noProof w:val="0"/>
          <w:sz w:val="18"/>
          <w:szCs w:val="18"/>
          <w:lang w:val="en-US"/>
        </w:rPr>
        <w:t>FastAPI</w:t>
      </w:r>
      <w:r w:rsidRPr="08B9AC2B" w:rsidR="2B7ABA38">
        <w:rPr>
          <w:rFonts w:ascii="Verdana" w:hAnsi="Verdana" w:eastAsia="Verdana" w:cs="Verdana"/>
          <w:noProof w:val="0"/>
          <w:sz w:val="18"/>
          <w:szCs w:val="18"/>
          <w:lang w:val="en-US"/>
        </w:rPr>
        <w:t xml:space="preserve"> backend and </w:t>
      </w:r>
      <w:r w:rsidRPr="08B9AC2B" w:rsidR="2B7ABA38">
        <w:rPr>
          <w:rFonts w:ascii="Verdana" w:hAnsi="Verdana" w:eastAsia="Verdana" w:cs="Verdana"/>
          <w:noProof w:val="0"/>
          <w:sz w:val="18"/>
          <w:szCs w:val="18"/>
          <w:lang w:val="en-US"/>
        </w:rPr>
        <w:t>SQLAlchemy</w:t>
      </w:r>
      <w:r w:rsidRPr="08B9AC2B" w:rsidR="2B7ABA38">
        <w:rPr>
          <w:rFonts w:ascii="Verdana" w:hAnsi="Verdana" w:eastAsia="Verdana" w:cs="Verdana"/>
          <w:noProof w:val="0"/>
          <w:sz w:val="18"/>
          <w:szCs w:val="18"/>
          <w:lang w:val="en-US"/>
        </w:rPr>
        <w:t xml:space="preserve"> data layer was performed on a localized synthetic </w:t>
      </w:r>
      <w:r w:rsidRPr="08B9AC2B" w:rsidR="2B7ABA38">
        <w:rPr>
          <w:rFonts w:ascii="Verdana" w:hAnsi="Verdana" w:eastAsia="Verdana" w:cs="Verdana"/>
          <w:noProof w:val="0"/>
          <w:sz w:val="18"/>
          <w:szCs w:val="18"/>
          <w:lang w:val="en-US"/>
        </w:rPr>
        <w:t>datase</w:t>
      </w:r>
      <w:r w:rsidRPr="08B9AC2B" w:rsidR="2B7ABA38">
        <w:rPr>
          <w:rFonts w:ascii="Verdana" w:hAnsi="Verdana" w:eastAsia="Verdana" w:cs="Verdana"/>
          <w:noProof w:val="0"/>
          <w:sz w:val="18"/>
          <w:szCs w:val="18"/>
          <w:lang w:val="en-US"/>
        </w:rPr>
        <w:t xml:space="preserve">. To prepare the application for clinical enterprise deployment, future work must evaluate system performance under larger simulated workloads of over $50,000$ patient trajectories generated via Synthea and mapped to MIMIC-IV longitudinal ICU </w:t>
      </w:r>
      <w:r w:rsidRPr="08B9AC2B" w:rsidR="2B7ABA38">
        <w:rPr>
          <w:rFonts w:ascii="Verdana" w:hAnsi="Verdana" w:eastAsia="Verdana" w:cs="Verdana"/>
          <w:noProof w:val="0"/>
          <w:sz w:val="18"/>
          <w:szCs w:val="18"/>
          <w:lang w:val="en-US"/>
        </w:rPr>
        <w:t>recordsTo</w:t>
      </w:r>
      <w:r w:rsidRPr="08B9AC2B" w:rsidR="2B7ABA38">
        <w:rPr>
          <w:rFonts w:ascii="Verdana" w:hAnsi="Verdana" w:eastAsia="Verdana" w:cs="Verdana"/>
          <w:noProof w:val="0"/>
          <w:sz w:val="18"/>
          <w:szCs w:val="18"/>
          <w:lang w:val="en-US"/>
        </w:rPr>
        <w:t xml:space="preserve"> prepare the application for clinical enterprise deployment, future work must evaluate system performance under larger simulated workloads of over $50,000$ patient trajectories generated via Synthea and mapped to MIMIC-IV longitudinal ICU records</w:t>
      </w:r>
      <w:r w:rsidRPr="08B9AC2B" w:rsidR="2B7ABA38">
        <w:rPr>
          <w:rFonts w:ascii="Verdana" w:hAnsi="Verdana" w:eastAsia="Verdana" w:cs="Verdana"/>
          <w:noProof w:val="0"/>
          <w:sz w:val="18"/>
          <w:szCs w:val="18"/>
          <w:lang w:val="en-US"/>
        </w:rPr>
        <w:t xml:space="preserve">. Conducting stress tests </w:t>
      </w:r>
      <w:r w:rsidRPr="08B9AC2B" w:rsidR="2B7ABA38">
        <w:rPr>
          <w:rFonts w:ascii="Verdana" w:hAnsi="Verdana" w:eastAsia="Verdana" w:cs="Verdana"/>
          <w:noProof w:val="0"/>
          <w:sz w:val="18"/>
          <w:szCs w:val="18"/>
          <w:lang w:val="en-US"/>
        </w:rPr>
        <w:t>utilizing</w:t>
      </w:r>
      <w:r w:rsidRPr="08B9AC2B" w:rsidR="2B7ABA38">
        <w:rPr>
          <w:rFonts w:ascii="Verdana" w:hAnsi="Verdana" w:eastAsia="Verdana" w:cs="Verdana"/>
          <w:noProof w:val="0"/>
          <w:sz w:val="18"/>
          <w:szCs w:val="18"/>
          <w:lang w:val="en-US"/>
        </w:rPr>
        <w:t xml:space="preserve"> high-throughput inference frameworks (such as </w:t>
      </w:r>
      <w:r w:rsidRPr="08B9AC2B" w:rsidR="2B7ABA38">
        <w:rPr>
          <w:rFonts w:ascii="Verdana" w:hAnsi="Verdana" w:eastAsia="Verdana" w:cs="Verdana"/>
          <w:noProof w:val="0"/>
          <w:sz w:val="18"/>
          <w:szCs w:val="18"/>
          <w:lang w:val="en-US"/>
        </w:rPr>
        <w:t>vLLM</w:t>
      </w:r>
      <w:r w:rsidRPr="08B9AC2B" w:rsidR="2B7ABA38">
        <w:rPr>
          <w:rFonts w:ascii="Verdana" w:hAnsi="Verdana" w:eastAsia="Verdana" w:cs="Verdana"/>
          <w:noProof w:val="0"/>
          <w:sz w:val="18"/>
          <w:szCs w:val="18"/>
          <w:lang w:val="en-US"/>
        </w:rPr>
        <w:t xml:space="preserve">) will allow us to evaluate latency, memory overhead, and token consumption to ensure multi-agent coordination </w:t>
      </w:r>
      <w:r w:rsidRPr="08B9AC2B" w:rsidR="2B7ABA38">
        <w:rPr>
          <w:rFonts w:ascii="Verdana" w:hAnsi="Verdana" w:eastAsia="Verdana" w:cs="Verdana"/>
          <w:noProof w:val="0"/>
          <w:sz w:val="18"/>
          <w:szCs w:val="18"/>
          <w:lang w:val="en-US"/>
        </w:rPr>
        <w:t>remains</w:t>
      </w:r>
      <w:r w:rsidRPr="08B9AC2B" w:rsidR="2B7ABA38">
        <w:rPr>
          <w:rFonts w:ascii="Verdana" w:hAnsi="Verdana" w:eastAsia="Verdana" w:cs="Verdana"/>
          <w:noProof w:val="0"/>
          <w:sz w:val="18"/>
          <w:szCs w:val="18"/>
          <w:lang w:val="en-US"/>
        </w:rPr>
        <w:t xml:space="preserve"> stable under heavy concurrent </w:t>
      </w:r>
      <w:r w:rsidRPr="08B9AC2B" w:rsidR="2B7ABA38">
        <w:rPr>
          <w:rFonts w:ascii="Verdana" w:hAnsi="Verdana" w:eastAsia="Verdana" w:cs="Verdana"/>
          <w:noProof w:val="0"/>
          <w:sz w:val="18"/>
          <w:szCs w:val="18"/>
          <w:lang w:val="en-US"/>
        </w:rPr>
        <w:t>load.</w:t>
      </w:r>
    </w:p>
    <w:p w:rsidR="08B9AC2B" w:rsidP="08B9AC2B" w:rsidRDefault="08B9AC2B" w14:paraId="3CCD4CC3" w14:textId="750C17EC">
      <w:pPr>
        <w:jc w:val="both"/>
        <w:rPr>
          <w:rFonts w:ascii="Verdana" w:hAnsi="Verdana" w:eastAsia="Verdana" w:cs="Verdana"/>
          <w:noProof w:val="0"/>
          <w:sz w:val="18"/>
          <w:szCs w:val="18"/>
          <w:lang w:val="en-US"/>
        </w:rPr>
      </w:pPr>
    </w:p>
    <w:p w:rsidR="469838CB" w:rsidP="08B9AC2B" w:rsidRDefault="469838CB" w14:paraId="1F86FDE3" w14:textId="286D60DF">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r w:rsidRPr="08B9AC2B" w:rsidR="469838CB">
        <w:rPr>
          <w:rFonts w:ascii="Verdana" w:hAnsi="Verdana" w:eastAsia="Verdana" w:cs="Verdana"/>
          <w:noProof w:val="0"/>
          <w:sz w:val="18"/>
          <w:szCs w:val="18"/>
          <w:lang w:val="en-US"/>
        </w:rPr>
        <w:t>12</w:t>
      </w:r>
      <w:r w:rsidRPr="08B9AC2B" w:rsidR="2B7ABA38">
        <w:rPr>
          <w:rFonts w:ascii="Verdana" w:hAnsi="Verdana" w:eastAsia="Verdana" w:cs="Verdana"/>
          <w:noProof w:val="0"/>
          <w:sz w:val="18"/>
          <w:szCs w:val="18"/>
          <w:lang w:val="en-US"/>
        </w:rPr>
        <w:t>.3 Integration of Clinician-Audited, Open-Source Medical LLMs (</w:t>
      </w:r>
      <w:r w:rsidRPr="08B9AC2B" w:rsidR="2B7ABA38">
        <w:rPr>
          <w:rFonts w:ascii="Verdana" w:hAnsi="Verdana" w:eastAsia="Verdana" w:cs="Verdana"/>
          <w:noProof w:val="0"/>
          <w:sz w:val="18"/>
          <w:szCs w:val="18"/>
          <w:lang w:val="en-US"/>
        </w:rPr>
        <w:t>Meditron</w:t>
      </w:r>
      <w:r w:rsidRPr="08B9AC2B" w:rsidR="2B7ABA38">
        <w:rPr>
          <w:rFonts w:ascii="Verdana" w:hAnsi="Verdana" w:eastAsia="Verdana" w:cs="Verdana"/>
          <w:noProof w:val="0"/>
          <w:sz w:val="18"/>
          <w:szCs w:val="18"/>
          <w:lang w:val="en-US"/>
        </w:rPr>
        <w:t>)</w:t>
      </w:r>
    </w:p>
    <w:p w:rsidR="08B9AC2B" w:rsidP="08B9AC2B" w:rsidRDefault="08B9AC2B" w14:paraId="6511DEFF" w14:textId="2A574E9B">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p>
    <w:p w:rsidR="2B7ABA38" w:rsidP="08B9AC2B" w:rsidRDefault="2B7ABA38" w14:paraId="53035232" w14:textId="2DD3F458">
      <w:pPr>
        <w:jc w:val="both"/>
      </w:pPr>
      <w:r w:rsidRPr="08B9AC2B" w:rsidR="2B7ABA38">
        <w:rPr>
          <w:rFonts w:ascii="Verdana" w:hAnsi="Verdana" w:eastAsia="Verdana" w:cs="Verdana"/>
          <w:noProof w:val="0"/>
          <w:sz w:val="18"/>
          <w:szCs w:val="18"/>
          <w:lang w:val="en-US"/>
        </w:rPr>
        <w:t xml:space="preserve">The baseline prototype relies on general-purpose proprietary APIs (e.g., GPT-4), which present data privacy, scale cost, and licensing challenges in actual clinical operations. Future development will focus on replacing these models with fully open-source, clinician-vetted medical specialists, such as the </w:t>
      </w:r>
      <w:r w:rsidRPr="08B9AC2B" w:rsidR="2B7ABA38">
        <w:rPr>
          <w:rFonts w:ascii="Verdana" w:hAnsi="Verdana" w:eastAsia="Verdana" w:cs="Verdana"/>
          <w:b w:val="1"/>
          <w:bCs w:val="1"/>
          <w:noProof w:val="0"/>
          <w:sz w:val="18"/>
          <w:szCs w:val="18"/>
          <w:lang w:val="en-US"/>
        </w:rPr>
        <w:t>Meditron</w:t>
      </w:r>
      <w:r w:rsidRPr="08B9AC2B" w:rsidR="2B7ABA38">
        <w:rPr>
          <w:rFonts w:ascii="Verdana" w:hAnsi="Verdana" w:eastAsia="Verdana" w:cs="Verdana"/>
          <w:noProof w:val="0"/>
          <w:sz w:val="18"/>
          <w:szCs w:val="18"/>
          <w:lang w:val="en-US"/>
        </w:rPr>
        <w:t xml:space="preserve"> family (e.g., </w:t>
      </w:r>
      <w:r w:rsidRPr="08B9AC2B" w:rsidR="2B7ABA38">
        <w:rPr>
          <w:rFonts w:ascii="Verdana" w:hAnsi="Verdana" w:eastAsia="Verdana" w:cs="Verdana"/>
          <w:i w:val="1"/>
          <w:iCs w:val="1"/>
          <w:noProof w:val="0"/>
          <w:sz w:val="18"/>
          <w:szCs w:val="18"/>
          <w:lang w:val="en-US"/>
        </w:rPr>
        <w:t>Gemma-3-27B-MeditronFO</w:t>
      </w:r>
      <w:r w:rsidRPr="08B9AC2B" w:rsidR="2B7ABA38">
        <w:rPr>
          <w:rFonts w:ascii="Verdana" w:hAnsi="Verdana" w:eastAsia="Verdana" w:cs="Verdana"/>
          <w:noProof w:val="0"/>
          <w:sz w:val="18"/>
          <w:szCs w:val="18"/>
          <w:lang w:val="en-US"/>
        </w:rPr>
        <w:t xml:space="preserve"> or </w:t>
      </w:r>
      <w:r w:rsidRPr="08B9AC2B" w:rsidR="2B7ABA38">
        <w:rPr>
          <w:rFonts w:ascii="Verdana" w:hAnsi="Verdana" w:eastAsia="Verdana" w:cs="Verdana"/>
          <w:i w:val="1"/>
          <w:iCs w:val="1"/>
          <w:noProof w:val="0"/>
          <w:sz w:val="18"/>
          <w:szCs w:val="18"/>
          <w:lang w:val="en-US"/>
        </w:rPr>
        <w:t>Apertus-70B-MeditronFO</w:t>
      </w:r>
      <w:r w:rsidRPr="08B9AC2B" w:rsidR="2B7ABA38">
        <w:rPr>
          <w:rFonts w:ascii="Verdana" w:hAnsi="Verdana" w:eastAsia="Verdana" w:cs="Verdana"/>
          <w:noProof w:val="0"/>
          <w:sz w:val="18"/>
          <w:szCs w:val="18"/>
          <w:lang w:val="en-US"/>
        </w:rPr>
        <w:t xml:space="preserve">). </w:t>
      </w:r>
      <w:r w:rsidRPr="08B9AC2B" w:rsidR="2B7ABA38">
        <w:rPr>
          <w:rFonts w:ascii="Verdana" w:hAnsi="Verdana" w:eastAsia="Verdana" w:cs="Verdana"/>
          <w:noProof w:val="0"/>
          <w:sz w:val="18"/>
          <w:szCs w:val="18"/>
          <w:lang w:val="en-US"/>
        </w:rPr>
        <w:t>Meditron</w:t>
      </w:r>
      <w:r w:rsidRPr="08B9AC2B" w:rsidR="2B7ABA38">
        <w:rPr>
          <w:rFonts w:ascii="Verdana" w:hAnsi="Verdana" w:eastAsia="Verdana" w:cs="Verdana"/>
          <w:noProof w:val="0"/>
          <w:sz w:val="18"/>
          <w:szCs w:val="18"/>
          <w:lang w:val="en-US"/>
        </w:rPr>
        <w:t xml:space="preserve"> models are pre-trained on curated medical corpora</w:t>
      </w:r>
      <w:r w:rsidRPr="08B9AC2B" w:rsidR="3234EFD5">
        <w:rPr>
          <w:rFonts w:ascii="Verdana" w:hAnsi="Verdana" w:eastAsia="Verdana" w:cs="Verdana"/>
          <w:noProof w:val="0"/>
          <w:sz w:val="18"/>
          <w:szCs w:val="18"/>
          <w:lang w:val="en-US"/>
        </w:rPr>
        <w:t xml:space="preserve">, </w:t>
      </w:r>
      <w:r w:rsidRPr="08B9AC2B" w:rsidR="09232372">
        <w:rPr>
          <w:rFonts w:ascii="Verdana" w:hAnsi="Verdana" w:eastAsia="Verdana" w:cs="Verdana"/>
          <w:noProof w:val="0"/>
          <w:sz w:val="18"/>
          <w:szCs w:val="18"/>
          <w:lang w:val="en-US"/>
        </w:rPr>
        <w:t>including</w:t>
      </w:r>
      <w:r w:rsidRPr="08B9AC2B" w:rsidR="3E587110">
        <w:rPr>
          <w:rFonts w:ascii="Verdana" w:hAnsi="Verdana" w:eastAsia="Verdana" w:cs="Verdana"/>
          <w:noProof w:val="0"/>
          <w:sz w:val="18"/>
          <w:szCs w:val="18"/>
          <w:lang w:val="en-US"/>
        </w:rPr>
        <w:t xml:space="preserve"> </w:t>
      </w:r>
      <w:r w:rsidRPr="08B9AC2B" w:rsidR="2B7ABA38">
        <w:rPr>
          <w:rFonts w:ascii="Verdana" w:hAnsi="Verdana" w:eastAsia="Verdana" w:cs="Verdana"/>
          <w:noProof w:val="0"/>
          <w:sz w:val="18"/>
          <w:szCs w:val="18"/>
          <w:lang w:val="en-US"/>
        </w:rPr>
        <w:t>peer-reviewed PubMed articles and recognized clinical practice guidelines</w:t>
      </w:r>
      <w:r w:rsidRPr="08B9AC2B" w:rsidR="5F9DD76C">
        <w:rPr>
          <w:rFonts w:ascii="Verdana" w:hAnsi="Verdana" w:eastAsia="Verdana" w:cs="Verdana"/>
          <w:noProof w:val="0"/>
          <w:sz w:val="18"/>
          <w:szCs w:val="18"/>
          <w:lang w:val="en-US"/>
        </w:rPr>
        <w:t xml:space="preserve">, </w:t>
      </w:r>
      <w:r w:rsidRPr="08B9AC2B" w:rsidR="18807603">
        <w:rPr>
          <w:rFonts w:ascii="Verdana" w:hAnsi="Verdana" w:eastAsia="Verdana" w:cs="Verdana"/>
          <w:noProof w:val="0"/>
          <w:sz w:val="18"/>
          <w:szCs w:val="18"/>
          <w:lang w:val="en-US"/>
        </w:rPr>
        <w:t>m</w:t>
      </w:r>
      <w:r w:rsidRPr="08B9AC2B" w:rsidR="2B7ABA38">
        <w:rPr>
          <w:rFonts w:ascii="Verdana" w:hAnsi="Verdana" w:eastAsia="Verdana" w:cs="Verdana"/>
          <w:noProof w:val="0"/>
          <w:sz w:val="18"/>
          <w:szCs w:val="18"/>
          <w:lang w:val="en-US"/>
        </w:rPr>
        <w:t>ak</w:t>
      </w:r>
      <w:r w:rsidRPr="08B9AC2B" w:rsidR="2B7ABA38">
        <w:rPr>
          <w:rFonts w:ascii="Verdana" w:hAnsi="Verdana" w:eastAsia="Verdana" w:cs="Verdana"/>
          <w:noProof w:val="0"/>
          <w:sz w:val="18"/>
          <w:szCs w:val="18"/>
          <w:lang w:val="en-US"/>
        </w:rPr>
        <w:t xml:space="preserve">ing them highly performant for clinical reasoning and differential diagnostics. Running these models locally ensures complete data privacy (HIPAA compliance) and </w:t>
      </w:r>
      <w:r w:rsidRPr="08B9AC2B" w:rsidR="2B7ABA38">
        <w:rPr>
          <w:rFonts w:ascii="Verdana" w:hAnsi="Verdana" w:eastAsia="Verdana" w:cs="Verdana"/>
          <w:noProof w:val="0"/>
          <w:sz w:val="18"/>
          <w:szCs w:val="18"/>
          <w:lang w:val="en-US"/>
        </w:rPr>
        <w:t>eliminates</w:t>
      </w:r>
      <w:r w:rsidRPr="08B9AC2B" w:rsidR="2B7ABA38">
        <w:rPr>
          <w:rFonts w:ascii="Verdana" w:hAnsi="Verdana" w:eastAsia="Verdana" w:cs="Verdana"/>
          <w:noProof w:val="0"/>
          <w:sz w:val="18"/>
          <w:szCs w:val="18"/>
          <w:lang w:val="en-US"/>
        </w:rPr>
        <w:t xml:space="preserve"> ongoing usage </w:t>
      </w:r>
      <w:r w:rsidRPr="08B9AC2B" w:rsidR="2B7ABA38">
        <w:rPr>
          <w:rFonts w:ascii="Verdana" w:hAnsi="Verdana" w:eastAsia="Verdana" w:cs="Verdana"/>
          <w:noProof w:val="0"/>
          <w:sz w:val="18"/>
          <w:szCs w:val="18"/>
          <w:lang w:val="en-US"/>
        </w:rPr>
        <w:t>fees</w:t>
      </w:r>
      <w:r w:rsidRPr="08B9AC2B" w:rsidR="2B7ABA38">
        <w:rPr>
          <w:rFonts w:ascii="Verdana" w:hAnsi="Verdana" w:eastAsia="Verdana" w:cs="Verdana"/>
          <w:noProof w:val="0"/>
          <w:sz w:val="18"/>
          <w:szCs w:val="18"/>
          <w:lang w:val="en-US"/>
        </w:rPr>
        <w:t>.</w:t>
      </w:r>
    </w:p>
    <w:p w:rsidR="08B9AC2B" w:rsidP="08B9AC2B" w:rsidRDefault="08B9AC2B" w14:paraId="73793226" w14:textId="65A608A0">
      <w:pPr>
        <w:jc w:val="both"/>
        <w:rPr>
          <w:rFonts w:ascii="Verdana" w:hAnsi="Verdana" w:eastAsia="Verdana" w:cs="Verdana"/>
          <w:noProof w:val="0"/>
          <w:sz w:val="18"/>
          <w:szCs w:val="18"/>
          <w:lang w:val="en-US"/>
        </w:rPr>
      </w:pPr>
    </w:p>
    <w:p w:rsidR="71BE1151" w:rsidP="08B9AC2B" w:rsidRDefault="71BE1151" w14:paraId="1505CCD5" w14:textId="762DCB55">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r w:rsidRPr="08B9AC2B" w:rsidR="71BE1151">
        <w:rPr>
          <w:rFonts w:ascii="Verdana" w:hAnsi="Verdana" w:eastAsia="Verdana" w:cs="Verdana"/>
          <w:noProof w:val="0"/>
          <w:sz w:val="18"/>
          <w:szCs w:val="18"/>
          <w:lang w:val="en-US"/>
        </w:rPr>
        <w:t>12</w:t>
      </w:r>
      <w:r w:rsidRPr="08B9AC2B" w:rsidR="2B7ABA38">
        <w:rPr>
          <w:rFonts w:ascii="Verdana" w:hAnsi="Verdana" w:eastAsia="Verdana" w:cs="Verdana"/>
          <w:noProof w:val="0"/>
          <w:sz w:val="18"/>
          <w:szCs w:val="18"/>
          <w:lang w:val="en-US"/>
        </w:rPr>
        <w:t>.4 Live Outpatient Pilots with EHR-Embedded FHIR Integration</w:t>
      </w:r>
    </w:p>
    <w:p w:rsidR="08B9AC2B" w:rsidP="08B9AC2B" w:rsidRDefault="08B9AC2B" w14:paraId="1854D20C" w14:textId="0C636FE7">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p>
    <w:p w:rsidR="2B7ABA38" w:rsidP="08B9AC2B" w:rsidRDefault="2B7ABA38" w14:paraId="4C21A6EA" w14:textId="4875266F">
      <w:pPr>
        <w:jc w:val="both"/>
      </w:pPr>
      <w:r w:rsidRPr="08B9AC2B" w:rsidR="2B7ABA38">
        <w:rPr>
          <w:rFonts w:ascii="Verdana" w:hAnsi="Verdana" w:eastAsia="Verdana" w:cs="Verdana"/>
          <w:noProof w:val="0"/>
          <w:sz w:val="18"/>
          <w:szCs w:val="18"/>
          <w:lang w:val="en-US"/>
        </w:rPr>
        <w:t xml:space="preserve">To move the agent from an academic sandbox to a practical clinical tool, the software must be tested in a live clinical pilot. This requires integrating the </w:t>
      </w:r>
      <w:r w:rsidRPr="08B9AC2B" w:rsidR="2B7ABA38">
        <w:rPr>
          <w:rFonts w:ascii="Verdana" w:hAnsi="Verdana" w:eastAsia="Verdana" w:cs="Verdana"/>
          <w:noProof w:val="0"/>
          <w:sz w:val="18"/>
          <w:szCs w:val="18"/>
          <w:lang w:val="en-US"/>
        </w:rPr>
        <w:t>FastAPI</w:t>
      </w:r>
      <w:r w:rsidRPr="08B9AC2B" w:rsidR="2B7ABA38">
        <w:rPr>
          <w:rFonts w:ascii="Verdana" w:hAnsi="Verdana" w:eastAsia="Verdana" w:cs="Verdana"/>
          <w:noProof w:val="0"/>
          <w:sz w:val="18"/>
          <w:szCs w:val="18"/>
          <w:lang w:val="en-US"/>
        </w:rPr>
        <w:t xml:space="preserve"> application with active Electronic Health Record (EHR) environments (such as Epic or Cerner) via secure, production-grade </w:t>
      </w:r>
      <w:r w:rsidRPr="08B9AC2B" w:rsidR="2B7ABA38">
        <w:rPr>
          <w:rFonts w:ascii="Verdana" w:hAnsi="Verdana" w:eastAsia="Verdana" w:cs="Verdana"/>
          <w:b w:val="1"/>
          <w:bCs w:val="1"/>
          <w:noProof w:val="0"/>
          <w:sz w:val="18"/>
          <w:szCs w:val="18"/>
          <w:lang w:val="en-US"/>
        </w:rPr>
        <w:t xml:space="preserve">HL7 FHIR REST </w:t>
      </w:r>
      <w:r w:rsidRPr="08B9AC2B" w:rsidR="1A8F8D03">
        <w:rPr>
          <w:rFonts w:ascii="Verdana" w:hAnsi="Verdana" w:eastAsia="Verdana" w:cs="Verdana"/>
          <w:b w:val="1"/>
          <w:bCs w:val="1"/>
          <w:noProof w:val="0"/>
          <w:sz w:val="18"/>
          <w:szCs w:val="18"/>
          <w:lang w:val="en-US"/>
        </w:rPr>
        <w:t>APIs</w:t>
      </w:r>
      <w:r w:rsidRPr="08B9AC2B" w:rsidR="2B7ABA38">
        <w:rPr>
          <w:rFonts w:ascii="Verdana" w:hAnsi="Verdana" w:eastAsia="Verdana" w:cs="Verdana"/>
          <w:noProof w:val="0"/>
          <w:sz w:val="18"/>
          <w:szCs w:val="18"/>
          <w:lang w:val="en-US"/>
        </w:rPr>
        <w:t>. A live pilot will enable us to analyze the tool's real-world impact on clinician "alert fatigue," measure the usability of native write-backs, and track CPT-code billing compliance (e.g., 99490) under Medicare's Outcome-Aligned Payments model.</w:t>
      </w:r>
    </w:p>
    <w:p w:rsidR="08B9AC2B" w:rsidP="08B9AC2B" w:rsidRDefault="08B9AC2B" w14:paraId="71B363B9" w14:textId="59798A4E">
      <w:pPr>
        <w:jc w:val="both"/>
        <w:rPr>
          <w:rFonts w:ascii="Verdana" w:hAnsi="Verdana" w:eastAsia="Verdana" w:cs="Verdana"/>
          <w:noProof w:val="0"/>
          <w:sz w:val="18"/>
          <w:szCs w:val="18"/>
          <w:lang w:val="en-US"/>
        </w:rPr>
      </w:pPr>
    </w:p>
    <w:p w:rsidR="3AC518BA" w:rsidP="08B9AC2B" w:rsidRDefault="3AC518BA" w14:paraId="46231223" w14:textId="22828439">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r w:rsidRPr="08B9AC2B" w:rsidR="3AC518BA">
        <w:rPr>
          <w:rFonts w:ascii="Verdana" w:hAnsi="Verdana" w:eastAsia="Verdana" w:cs="Verdana"/>
          <w:noProof w:val="0"/>
          <w:sz w:val="18"/>
          <w:szCs w:val="18"/>
          <w:lang w:val="en-US"/>
        </w:rPr>
        <w:t>12</w:t>
      </w:r>
      <w:r w:rsidRPr="08B9AC2B" w:rsidR="2B7ABA38">
        <w:rPr>
          <w:rFonts w:ascii="Verdana" w:hAnsi="Verdana" w:eastAsia="Verdana" w:cs="Verdana"/>
          <w:noProof w:val="0"/>
          <w:sz w:val="18"/>
          <w:szCs w:val="18"/>
          <w:lang w:val="en-US"/>
        </w:rPr>
        <w:t>.5 Full Deployment of Outbound Voice and SMS Engagement Agents</w:t>
      </w:r>
    </w:p>
    <w:p w:rsidR="08B9AC2B" w:rsidP="08B9AC2B" w:rsidRDefault="08B9AC2B" w14:paraId="10285872" w14:textId="569D2C57">
      <w:pPr>
        <w:pStyle w:val="Normal"/>
        <w:suppressLineNumbers w:val="0"/>
        <w:bidi w:val="0"/>
        <w:spacing w:before="0" w:beforeAutospacing="off" w:after="0" w:afterAutospacing="off" w:line="240" w:lineRule="auto"/>
        <w:ind w:left="0" w:right="0"/>
        <w:jc w:val="both"/>
        <w:rPr>
          <w:rFonts w:ascii="Verdana" w:hAnsi="Verdana" w:eastAsia="Verdana" w:cs="Verdana"/>
          <w:noProof w:val="0"/>
          <w:sz w:val="18"/>
          <w:szCs w:val="18"/>
          <w:lang w:val="en-US"/>
        </w:rPr>
      </w:pPr>
    </w:p>
    <w:p w:rsidR="2B7ABA38" w:rsidP="08B9AC2B" w:rsidRDefault="2B7ABA38" w14:paraId="0D3CCC48" w14:textId="1866795B">
      <w:pPr>
        <w:jc w:val="both"/>
      </w:pPr>
      <w:r w:rsidRPr="08B9AC2B" w:rsidR="2B7ABA38">
        <w:rPr>
          <w:rFonts w:ascii="Verdana" w:hAnsi="Verdana" w:eastAsia="Verdana" w:cs="Verdana"/>
          <w:noProof w:val="0"/>
          <w:sz w:val="18"/>
          <w:szCs w:val="18"/>
          <w:lang w:val="en-US"/>
        </w:rPr>
        <w:t xml:space="preserve">While the </w:t>
      </w:r>
      <w:r w:rsidRPr="08B9AC2B" w:rsidR="2B7ABA38">
        <w:rPr>
          <w:rFonts w:ascii="Verdana" w:hAnsi="Verdana" w:eastAsia="Verdana" w:cs="Verdana"/>
          <w:noProof w:val="0"/>
          <w:sz w:val="18"/>
          <w:szCs w:val="18"/>
          <w:lang w:val="en-US"/>
        </w:rPr>
        <w:t>clinician</w:t>
      </w:r>
      <w:r w:rsidRPr="08B9AC2B" w:rsidR="2B7ABA38">
        <w:rPr>
          <w:rFonts w:ascii="Verdana" w:hAnsi="Verdana" w:eastAsia="Verdana" w:cs="Verdana"/>
          <w:noProof w:val="0"/>
          <w:sz w:val="18"/>
          <w:szCs w:val="18"/>
          <w:lang w:val="en-US"/>
        </w:rPr>
        <w:t xml:space="preserve"> dashboard is fully operational, the patient-facing </w:t>
      </w:r>
      <w:r w:rsidRPr="08B9AC2B" w:rsidR="2B7ABA38">
        <w:rPr>
          <w:rFonts w:ascii="Verdana" w:hAnsi="Verdana" w:eastAsia="Verdana" w:cs="Verdana"/>
          <w:noProof w:val="0"/>
          <w:sz w:val="18"/>
          <w:szCs w:val="18"/>
          <w:lang w:val="en-US"/>
        </w:rPr>
        <w:t>portion</w:t>
      </w:r>
      <w:r w:rsidRPr="08B9AC2B" w:rsidR="2B7ABA38">
        <w:rPr>
          <w:rFonts w:ascii="Verdana" w:hAnsi="Verdana" w:eastAsia="Verdana" w:cs="Verdana"/>
          <w:noProof w:val="0"/>
          <w:sz w:val="18"/>
          <w:szCs w:val="18"/>
          <w:lang w:val="en-US"/>
        </w:rPr>
        <w:t xml:space="preserve"> of the agent requires further development to address the "last mile" of care: medication non-adherence and follow-up attrition. Future work will fully build out the </w:t>
      </w:r>
      <w:r w:rsidRPr="08B9AC2B" w:rsidR="2B7ABA38">
        <w:rPr>
          <w:rFonts w:ascii="Verdana" w:hAnsi="Verdana" w:eastAsia="Verdana" w:cs="Verdana"/>
          <w:b w:val="1"/>
          <w:bCs w:val="1"/>
          <w:noProof w:val="0"/>
          <w:sz w:val="18"/>
          <w:szCs w:val="18"/>
          <w:lang w:val="en-US"/>
        </w:rPr>
        <w:t>Engagement Agent</w:t>
      </w:r>
      <w:r w:rsidRPr="08B9AC2B" w:rsidR="2B7ABA38">
        <w:rPr>
          <w:rFonts w:ascii="Verdana" w:hAnsi="Verdana" w:eastAsia="Verdana" w:cs="Verdana"/>
          <w:noProof w:val="0"/>
          <w:sz w:val="18"/>
          <w:szCs w:val="18"/>
          <w:lang w:val="en-US"/>
        </w:rPr>
        <w:t xml:space="preserve"> using low-latency, two-way conversational voice-AI and automated SMS interfaces. This agent will perform outbound follow-up calls, coordinate lab appointments, and triage patient-reported symptoms. Implementing advanced speech-to-text (STT) models trained on diverse accents and medical terminology will allow the agent to extract valuable narrative context </w:t>
      </w:r>
      <w:r w:rsidRPr="08B9AC2B" w:rsidR="2B7ABA38">
        <w:rPr>
          <w:rFonts w:ascii="Verdana" w:hAnsi="Verdana" w:eastAsia="Verdana" w:cs="Verdana"/>
          <w:noProof w:val="0"/>
          <w:sz w:val="18"/>
          <w:szCs w:val="18"/>
          <w:lang w:val="en-US"/>
        </w:rPr>
        <w:t>regarding</w:t>
      </w:r>
      <w:r w:rsidRPr="08B9AC2B" w:rsidR="2B7ABA38">
        <w:rPr>
          <w:rFonts w:ascii="Verdana" w:hAnsi="Verdana" w:eastAsia="Verdana" w:cs="Verdana"/>
          <w:noProof w:val="0"/>
          <w:sz w:val="18"/>
          <w:szCs w:val="18"/>
          <w:lang w:val="en-US"/>
        </w:rPr>
        <w:t xml:space="preserve"> barriers to care and integrate it directly back into the clinician's dual-memory </w:t>
      </w:r>
      <w:r w:rsidRPr="08B9AC2B" w:rsidR="2B7ABA38">
        <w:rPr>
          <w:rFonts w:ascii="Verdana" w:hAnsi="Verdana" w:eastAsia="Verdana" w:cs="Verdana"/>
          <w:noProof w:val="0"/>
          <w:sz w:val="18"/>
          <w:szCs w:val="18"/>
          <w:lang w:val="en-US"/>
        </w:rPr>
        <w:t>dashboard</w:t>
      </w:r>
      <w:r w:rsidRPr="08B9AC2B" w:rsidR="2B7ABA38">
        <w:rPr>
          <w:rFonts w:ascii="Verdana" w:hAnsi="Verdana" w:eastAsia="Verdana" w:cs="Verdana"/>
          <w:noProof w:val="0"/>
          <w:sz w:val="18"/>
          <w:szCs w:val="18"/>
          <w:lang w:val="en-US"/>
        </w:rPr>
        <w:t>.</w:t>
      </w:r>
    </w:p>
    <w:p w:rsidR="71872AE2" w:rsidP="07FB667C" w:rsidRDefault="71872AE2" w14:paraId="00156294" w14:textId="5B6E8E02">
      <w:pPr>
        <w:pStyle w:val="ListParagraph"/>
        <w:numPr>
          <w:ilvl w:val="0"/>
          <w:numId w:val="4"/>
        </w:numPr>
        <w:spacing w:beforeAutospacing="on" w:afterAutospacing="on"/>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07FB667C" w:rsidR="71872AE2">
        <w:rPr>
          <w:rFonts w:ascii="Verdana" w:hAnsi="Verdana" w:eastAsia="Verdana" w:cs="Verdana"/>
          <w:b w:val="1"/>
          <w:bCs w:val="1"/>
          <w:i w:val="0"/>
          <w:iCs w:val="0"/>
          <w:caps w:val="0"/>
          <w:smallCaps w:val="0"/>
          <w:noProof w:val="0"/>
          <w:color w:val="000000" w:themeColor="text1" w:themeTint="FF" w:themeShade="FF"/>
          <w:sz w:val="18"/>
          <w:szCs w:val="18"/>
          <w:lang w:val="en-US"/>
        </w:rPr>
        <w:t>Annotated Bibliographies</w:t>
      </w:r>
    </w:p>
    <w:p w:rsidR="2C3C5A6C" w:rsidP="0B4C0DD6" w:rsidRDefault="2C3C5A6C" w14:paraId="2911FD62" w14:textId="7603C104">
      <w:pPr>
        <w:pStyle w:val="APALevel2"/>
        <w:keepNext w:val="1"/>
        <w:keepLines w:val="1"/>
        <w:widowControl w:val="0"/>
        <w:suppressLineNumbers w:val="0"/>
        <w:tabs>
          <w:tab w:val="right" w:leader="dot" w:pos="8640"/>
        </w:tabs>
        <w:bidi w:val="0"/>
        <w:spacing w:before="240" w:beforeAutospacing="on" w:after="240" w:afterAutospacing="on" w:line="240" w:lineRule="auto"/>
        <w:ind w:left="0" w:right="0"/>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0B4C0DD6" w:rsidR="398BB1D0">
        <w:rPr>
          <w:rFonts w:ascii="Verdana" w:hAnsi="Verdana" w:eastAsia="Verdana" w:cs="Verdana"/>
          <w:b w:val="1"/>
          <w:bCs w:val="1"/>
          <w:i w:val="0"/>
          <w:iCs w:val="0"/>
          <w:caps w:val="0"/>
          <w:smallCaps w:val="0"/>
          <w:noProof w:val="0"/>
          <w:color w:val="000000" w:themeColor="text1" w:themeTint="FF" w:themeShade="FF"/>
          <w:sz w:val="18"/>
          <w:szCs w:val="18"/>
          <w:lang w:val="en-US"/>
        </w:rPr>
        <w:t>Reference 1</w:t>
      </w:r>
    </w:p>
    <w:p w:rsidR="2C3C5A6C" w:rsidP="0B4C0DD6" w:rsidRDefault="2C3C5A6C" w14:paraId="006A60D7" w14:textId="0C119150">
      <w:pPr>
        <w:pStyle w:val="APALevel2"/>
        <w:keepNext w:val="1"/>
        <w:keepLines w:val="1"/>
        <w:widowControl w:val="0"/>
        <w:suppressLineNumbers w:val="0"/>
        <w:tabs>
          <w:tab w:val="right" w:leader="dot" w:pos="8640"/>
        </w:tabs>
        <w:bidi w:val="0"/>
        <w:spacing w:before="240" w:beforeAutospacing="on" w:after="240" w:afterAutospacing="on" w:line="240" w:lineRule="auto"/>
        <w:ind w:left="0" w:right="0"/>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br/>
      </w:r>
      <w:r w:rsidRPr="0B4C0DD6" w:rsidR="398BB1D0">
        <w:rPr>
          <w:rFonts w:ascii="Verdana" w:hAnsi="Verdana" w:eastAsia="Verdana" w:cs="Verdana"/>
          <w:b w:val="1"/>
          <w:bCs w:val="1"/>
          <w:i w:val="0"/>
          <w:iCs w:val="0"/>
          <w:caps w:val="0"/>
          <w:smallCaps w:val="0"/>
          <w:noProof w:val="0"/>
          <w:color w:val="000000" w:themeColor="text1" w:themeTint="FF" w:themeShade="FF"/>
          <w:sz w:val="18"/>
          <w:szCs w:val="18"/>
          <w:lang w:val="en-US"/>
        </w:rPr>
        <w:t xml:space="preserve">ElSayed, A., et al. (2025). MCP-AI: Protocol-Driven Intelligence Framework for Autonomous Reasoning in Healthcare arXiv. </w:t>
      </w:r>
      <w:hyperlink r:id="R01244404ba9e497f">
        <w:r w:rsidRPr="0B4C0DD6" w:rsidR="398BB1D0">
          <w:rPr>
            <w:rFonts w:ascii="Verdana" w:hAnsi="Verdana" w:eastAsia="Verdana" w:cs="Verdana"/>
            <w:b w:val="0"/>
            <w:bCs w:val="0"/>
            <w:i w:val="0"/>
            <w:iCs w:val="0"/>
            <w:caps w:val="0"/>
            <w:smallCaps w:val="0"/>
            <w:noProof w:val="0"/>
            <w:color w:val="000000" w:themeColor="text1" w:themeTint="FF" w:themeShade="FF"/>
            <w:sz w:val="18"/>
            <w:szCs w:val="18"/>
            <w:lang w:val="en-US"/>
          </w:rPr>
          <w:t>https://arxiv.org/abs/2512.05365</w:t>
        </w:r>
      </w:hyperlink>
    </w:p>
    <w:p w:rsidR="2C3C5A6C" w:rsidP="4D694C64" w:rsidRDefault="2C3C5A6C" w14:paraId="757A7A4F" w14:textId="0067ADC1">
      <w:pPr>
        <w:pStyle w:val="Normal"/>
        <w:spacing w:before="240" w:beforeAutospacing="off" w:after="240" w:afterAutospacing="off"/>
        <w:jc w:val="both"/>
      </w:pPr>
      <w:r w:rsidRPr="0B4C0DD6" w:rsidR="398BB1D0">
        <w:rPr>
          <w:rFonts w:ascii="Verdana" w:hAnsi="Verdana" w:eastAsia="Verdana" w:cs="Verdana"/>
          <w:noProof w:val="0"/>
          <w:sz w:val="18"/>
          <w:szCs w:val="18"/>
          <w:lang w:val="en-US"/>
        </w:rPr>
        <w:t xml:space="preserve">This paper introduces MCP-AI, a novel architecture that combines the Model Context Protocol with clinical AI applications, enabling intelligent agents to reason over extended periods, collaborate securely, and adhere to authentic clinical logic, representing a significant shift away from traditional Clinical Decision Support Systems and stateless LLMs. Each MCP file captures clinical objectives, patient context, reasoning state, and task logic, forming a reusable and auditable memory object, validated through chronic care coordination use cases including Type 2 Diabetes and hypertension. </w:t>
      </w:r>
      <w:r w:rsidRPr="0B4C0DD6" w:rsidR="398BB1D0">
        <w:rPr>
          <w:rFonts w:ascii="Verdana" w:hAnsi="Verdana" w:eastAsia="Verdana" w:cs="Verdana"/>
          <w:b w:val="1"/>
          <w:bCs w:val="1"/>
          <w:noProof w:val="0"/>
          <w:sz w:val="18"/>
          <w:szCs w:val="18"/>
          <w:lang w:val="en-US"/>
        </w:rPr>
        <w:t>In particular,</w:t>
      </w:r>
      <w:r w:rsidRPr="0B4C0DD6" w:rsidR="398BB1D0">
        <w:rPr>
          <w:rFonts w:ascii="Verdana" w:hAnsi="Verdana" w:eastAsia="Verdana" w:cs="Verdana"/>
          <w:noProof w:val="0"/>
          <w:sz w:val="18"/>
          <w:szCs w:val="18"/>
          <w:lang w:val="en-US"/>
        </w:rPr>
        <w:t xml:space="preserve"> the framework demonstrates how protocol-driven memory objects prevent context loss during multi-agent collaboration. </w:t>
      </w:r>
      <w:r w:rsidRPr="0B4C0DD6" w:rsidR="398BB1D0">
        <w:rPr>
          <w:rFonts w:ascii="Verdana" w:hAnsi="Verdana" w:eastAsia="Verdana" w:cs="Verdana"/>
          <w:b w:val="1"/>
          <w:bCs w:val="1"/>
          <w:noProof w:val="0"/>
          <w:sz w:val="18"/>
          <w:szCs w:val="18"/>
          <w:lang w:val="en-US"/>
        </w:rPr>
        <w:t>Moreover,</w:t>
      </w:r>
      <w:r w:rsidRPr="0B4C0DD6" w:rsidR="398BB1D0">
        <w:rPr>
          <w:rFonts w:ascii="Verdana" w:hAnsi="Verdana" w:eastAsia="Verdana" w:cs="Verdana"/>
          <w:noProof w:val="0"/>
          <w:sz w:val="18"/>
          <w:szCs w:val="18"/>
          <w:lang w:val="en-US"/>
        </w:rPr>
        <w:t xml:space="preserve"> the MCP-AI architecture provides a Human-in-the-Loop governance model that maintains clinical oversight while enabling autonomous reasoning. </w:t>
      </w:r>
      <w:r w:rsidRPr="0B4C0DD6" w:rsidR="398BB1D0">
        <w:rPr>
          <w:rFonts w:ascii="Verdana" w:hAnsi="Verdana" w:eastAsia="Verdana" w:cs="Verdana"/>
          <w:b w:val="1"/>
          <w:bCs w:val="1"/>
          <w:noProof w:val="0"/>
          <w:sz w:val="18"/>
          <w:szCs w:val="18"/>
          <w:lang w:val="en-US"/>
        </w:rPr>
        <w:t>Finally,</w:t>
      </w:r>
      <w:r w:rsidRPr="0B4C0DD6" w:rsidR="398BB1D0">
        <w:rPr>
          <w:rFonts w:ascii="Verdana" w:hAnsi="Verdana" w:eastAsia="Verdana" w:cs="Verdana"/>
          <w:noProof w:val="0"/>
          <w:sz w:val="18"/>
          <w:szCs w:val="18"/>
          <w:lang w:val="en-US"/>
        </w:rPr>
        <w:t xml:space="preserve"> the paper validates these concepts through real-world chronic care coordination scenarios, establishing the technical foundation for longitudinal patient management systems.</w:t>
      </w:r>
    </w:p>
    <w:p w:rsidR="2C3C5A6C" w:rsidP="0B4C0DD6" w:rsidRDefault="2C3C5A6C" w14:paraId="358FC4CA" w14:textId="7C3631F9">
      <w:pPr>
        <w:pStyle w:val="APALevel2"/>
        <w:keepNext w:val="1"/>
        <w:keepLines w:val="1"/>
        <w:widowControl w:val="0"/>
        <w:tabs>
          <w:tab w:val="right" w:leader="dot" w:pos="8640"/>
        </w:tabs>
        <w:spacing w:before="240" w:beforeAutospacing="on" w:after="240" w:afterAutospacing="on" w:line="240" w:lineRule="auto"/>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0B4C0DD6" w:rsidR="398BB1D0">
        <w:rPr>
          <w:rFonts w:ascii="Verdana" w:hAnsi="Verdana" w:eastAsia="Verdana" w:cs="Verdana"/>
          <w:b w:val="1"/>
          <w:bCs w:val="1"/>
          <w:i w:val="0"/>
          <w:iCs w:val="0"/>
          <w:caps w:val="0"/>
          <w:smallCaps w:val="0"/>
          <w:noProof w:val="0"/>
          <w:color w:val="000000" w:themeColor="text1" w:themeTint="FF" w:themeShade="FF"/>
          <w:sz w:val="18"/>
          <w:szCs w:val="18"/>
          <w:lang w:val="en-US"/>
        </w:rPr>
        <w:t>Reference 2</w:t>
      </w:r>
    </w:p>
    <w:p w:rsidR="2C3C5A6C" w:rsidP="4D694C64" w:rsidRDefault="2C3C5A6C" w14:paraId="09DB2B57" w14:textId="3E934D01">
      <w:pPr>
        <w:pStyle w:val="Normal"/>
        <w:spacing w:before="240" w:beforeAutospacing="off" w:after="240" w:afterAutospacing="off"/>
        <w:jc w:val="both"/>
      </w:pPr>
      <w:r w:rsidRPr="0B4C0DD6" w:rsidR="398BB1D0">
        <w:rPr>
          <w:rFonts w:ascii="Verdana" w:hAnsi="Verdana" w:eastAsia="Verdana" w:cs="Verdana"/>
          <w:b w:val="0"/>
          <w:bCs w:val="0"/>
          <w:noProof w:val="0"/>
          <w:sz w:val="18"/>
          <w:szCs w:val="18"/>
          <w:lang w:val="en-US"/>
        </w:rPr>
        <w:t xml:space="preserve">Wright, A., et al. (2025). Meeting the Challenges of Electronic Health Record (EHR) Optimization. </w:t>
      </w:r>
      <w:r w:rsidRPr="0B4C0DD6" w:rsidR="398BB1D0">
        <w:rPr>
          <w:rFonts w:ascii="Verdana" w:hAnsi="Verdana" w:eastAsia="Verdana" w:cs="Verdana"/>
          <w:b w:val="0"/>
          <w:bCs w:val="0"/>
          <w:i w:val="1"/>
          <w:iCs w:val="1"/>
          <w:noProof w:val="0"/>
          <w:sz w:val="18"/>
          <w:szCs w:val="18"/>
          <w:lang w:val="en-US"/>
        </w:rPr>
        <w:t>npj Digital Medicine</w:t>
      </w:r>
      <w:r w:rsidRPr="0B4C0DD6" w:rsidR="398BB1D0">
        <w:rPr>
          <w:rFonts w:ascii="Verdana" w:hAnsi="Verdana" w:eastAsia="Verdana" w:cs="Verdana"/>
          <w:b w:val="0"/>
          <w:bCs w:val="0"/>
          <w:noProof w:val="0"/>
          <w:sz w:val="18"/>
          <w:szCs w:val="18"/>
          <w:lang w:val="en-US"/>
        </w:rPr>
        <w:t>.</w:t>
      </w:r>
      <w:r w:rsidRPr="0B4C0DD6" w:rsidR="398BB1D0">
        <w:rPr>
          <w:rFonts w:ascii="Verdana" w:hAnsi="Verdana" w:eastAsia="Verdana" w:cs="Verdana"/>
          <w:b w:val="1"/>
          <w:bCs w:val="1"/>
          <w:noProof w:val="0"/>
          <w:sz w:val="18"/>
          <w:szCs w:val="18"/>
          <w:lang w:val="en-US"/>
        </w:rPr>
        <w:t xml:space="preserve"> </w:t>
      </w:r>
      <w:hyperlink r:id="Radc9bfb384604db9">
        <w:r w:rsidRPr="0B4C0DD6" w:rsidR="398BB1D0">
          <w:rPr>
            <w:rStyle w:val="Hyperlink"/>
            <w:rFonts w:ascii="Verdana" w:hAnsi="Verdana" w:eastAsia="Verdana" w:cs="Verdana"/>
            <w:b w:val="0"/>
            <w:bCs w:val="0"/>
            <w:noProof w:val="0"/>
            <w:sz w:val="18"/>
            <w:szCs w:val="18"/>
            <w:lang w:val="en-US"/>
          </w:rPr>
          <w:t>https://pmc.ncbi.nlm.nih.gov/articles/PMC12769529</w:t>
        </w:r>
      </w:hyperlink>
    </w:p>
    <w:p w:rsidR="2C3C5A6C" w:rsidP="4D694C64" w:rsidRDefault="2C3C5A6C" w14:paraId="346E9773" w14:textId="1A809E76">
      <w:pPr>
        <w:pStyle w:val="Normal"/>
        <w:spacing w:before="240" w:beforeAutospacing="off" w:after="240" w:afterAutospacing="off"/>
        <w:jc w:val="both"/>
      </w:pPr>
      <w:r w:rsidRPr="0B4C0DD6" w:rsidR="398BB1D0">
        <w:rPr>
          <w:rFonts w:ascii="Verdana" w:hAnsi="Verdana" w:eastAsia="Verdana" w:cs="Verdana"/>
          <w:noProof w:val="0"/>
          <w:sz w:val="18"/>
          <w:szCs w:val="18"/>
          <w:lang w:val="en-US"/>
        </w:rPr>
        <w:t xml:space="preserve">This review elaborates on the usability, process, technology, and policy challenges that limit EHRs to passive data storage rather than active care coordination, finding that most clinicians agree EHRs have fallen far short of their full potential, and identifies that further advancement in FHIR-based approaches and AI integration, though still evolving, will be critical to improving workflow and clinical outcomes. </w:t>
      </w:r>
      <w:r w:rsidRPr="0B4C0DD6" w:rsidR="398BB1D0">
        <w:rPr>
          <w:rFonts w:ascii="Verdana" w:hAnsi="Verdana" w:eastAsia="Verdana" w:cs="Verdana"/>
          <w:b w:val="1"/>
          <w:bCs w:val="1"/>
          <w:noProof w:val="0"/>
          <w:sz w:val="18"/>
          <w:szCs w:val="18"/>
          <w:lang w:val="en-US"/>
        </w:rPr>
        <w:t>In particular,</w:t>
      </w:r>
      <w:r w:rsidRPr="0B4C0DD6" w:rsidR="398BB1D0">
        <w:rPr>
          <w:rFonts w:ascii="Verdana" w:hAnsi="Verdana" w:eastAsia="Verdana" w:cs="Verdana"/>
          <w:noProof w:val="0"/>
          <w:sz w:val="18"/>
          <w:szCs w:val="18"/>
          <w:lang w:val="en-US"/>
        </w:rPr>
        <w:t xml:space="preserve"> the study quantifies the administrative burden with clinicians spending 7.3 hours per day on EHR interaction, resulting in a 2:1 ratio of administrative work to patient care. </w:t>
      </w:r>
      <w:r w:rsidRPr="0B4C0DD6" w:rsidR="398BB1D0">
        <w:rPr>
          <w:rFonts w:ascii="Verdana" w:hAnsi="Verdana" w:eastAsia="Verdana" w:cs="Verdana"/>
          <w:b w:val="1"/>
          <w:bCs w:val="1"/>
          <w:noProof w:val="0"/>
          <w:sz w:val="18"/>
          <w:szCs w:val="18"/>
          <w:lang w:val="en-US"/>
        </w:rPr>
        <w:t>Moreover,</w:t>
      </w:r>
      <w:r w:rsidRPr="0B4C0DD6" w:rsidR="398BB1D0">
        <w:rPr>
          <w:rFonts w:ascii="Verdana" w:hAnsi="Verdana" w:eastAsia="Verdana" w:cs="Verdana"/>
          <w:noProof w:val="0"/>
          <w:sz w:val="18"/>
          <w:szCs w:val="18"/>
          <w:lang w:val="en-US"/>
        </w:rPr>
        <w:t xml:space="preserve"> the paper introduces the concept of a "reasoning void" where current EHRs function merely as digital file cabinets without providing intelligent clinical decision support. </w:t>
      </w:r>
      <w:r w:rsidRPr="0B4C0DD6" w:rsidR="398BB1D0">
        <w:rPr>
          <w:rFonts w:ascii="Verdana" w:hAnsi="Verdana" w:eastAsia="Verdana" w:cs="Verdana"/>
          <w:b w:val="1"/>
          <w:bCs w:val="1"/>
          <w:noProof w:val="0"/>
          <w:sz w:val="18"/>
          <w:szCs w:val="18"/>
          <w:lang w:val="en-US"/>
        </w:rPr>
        <w:t>Therefore,</w:t>
      </w:r>
      <w:r w:rsidRPr="0B4C0DD6" w:rsidR="398BB1D0">
        <w:rPr>
          <w:rFonts w:ascii="Verdana" w:hAnsi="Verdana" w:eastAsia="Verdana" w:cs="Verdana"/>
          <w:noProof w:val="0"/>
          <w:sz w:val="18"/>
          <w:szCs w:val="18"/>
          <w:lang w:val="en-US"/>
        </w:rPr>
        <w:t xml:space="preserve"> this research establishes the foundational problem that AI-powered care coordination agents are designed to address. </w:t>
      </w:r>
      <w:r w:rsidRPr="0B4C0DD6" w:rsidR="398BB1D0">
        <w:rPr>
          <w:rFonts w:ascii="Verdana" w:hAnsi="Verdana" w:eastAsia="Verdana" w:cs="Verdana"/>
          <w:b w:val="1"/>
          <w:bCs w:val="1"/>
          <w:noProof w:val="0"/>
          <w:sz w:val="18"/>
          <w:szCs w:val="18"/>
          <w:lang w:val="en-US"/>
        </w:rPr>
        <w:t>Finally,</w:t>
      </w:r>
      <w:r w:rsidRPr="0B4C0DD6" w:rsidR="398BB1D0">
        <w:rPr>
          <w:rFonts w:ascii="Verdana" w:hAnsi="Verdana" w:eastAsia="Verdana" w:cs="Verdana"/>
          <w:noProof w:val="0"/>
          <w:sz w:val="18"/>
          <w:szCs w:val="18"/>
          <w:lang w:val="en-US"/>
        </w:rPr>
        <w:t xml:space="preserve"> the authors argue that next-generation systems must move beyond passive data storage toward active, intelligent workflow integration.</w:t>
      </w:r>
    </w:p>
    <w:p w:rsidR="2C3C5A6C" w:rsidP="0B4C0DD6" w:rsidRDefault="2C3C5A6C" w14:paraId="3AD00B1C" w14:textId="6FFAD9AE">
      <w:pPr>
        <w:pStyle w:val="APALevel2"/>
        <w:keepNext w:val="1"/>
        <w:keepLines w:val="1"/>
        <w:widowControl w:val="0"/>
        <w:tabs>
          <w:tab w:val="right" w:leader="dot" w:pos="8640"/>
        </w:tabs>
        <w:spacing w:before="240" w:beforeAutospacing="on" w:after="240" w:afterAutospacing="on" w:line="240" w:lineRule="auto"/>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0B4C0DD6" w:rsidR="398BB1D0">
        <w:rPr>
          <w:rFonts w:ascii="Verdana" w:hAnsi="Verdana" w:eastAsia="Verdana" w:cs="Verdana"/>
          <w:b w:val="1"/>
          <w:bCs w:val="1"/>
          <w:i w:val="0"/>
          <w:iCs w:val="0"/>
          <w:caps w:val="0"/>
          <w:smallCaps w:val="0"/>
          <w:noProof w:val="0"/>
          <w:color w:val="000000" w:themeColor="text1" w:themeTint="FF" w:themeShade="FF"/>
          <w:sz w:val="18"/>
          <w:szCs w:val="18"/>
          <w:lang w:val="en-US"/>
        </w:rPr>
        <w:t>Reference 3</w:t>
      </w:r>
    </w:p>
    <w:p w:rsidR="2C3C5A6C" w:rsidP="0B4C0DD6" w:rsidRDefault="2C3C5A6C" w14:paraId="5384E393" w14:textId="3E540719">
      <w:pPr>
        <w:pStyle w:val="Normal"/>
        <w:suppressLineNumbers w:val="0"/>
        <w:bidi w:val="0"/>
        <w:spacing w:before="240" w:beforeAutospacing="off" w:after="240" w:afterAutospacing="off" w:line="240" w:lineRule="auto"/>
        <w:ind w:left="0" w:right="0"/>
        <w:jc w:val="both"/>
        <w:rPr>
          <w:rFonts w:ascii="Verdana" w:hAnsi="Verdana" w:eastAsia="Verdana" w:cs="Verdana"/>
          <w:b w:val="1"/>
          <w:bCs w:val="1"/>
          <w:sz w:val="18"/>
          <w:szCs w:val="18"/>
        </w:rPr>
      </w:pPr>
      <w:r w:rsidRPr="0B4C0DD6" w:rsidR="398BB1D0">
        <w:rPr>
          <w:rFonts w:ascii="Verdana" w:hAnsi="Verdana" w:eastAsia="Verdana" w:cs="Verdana"/>
          <w:b w:val="0"/>
          <w:bCs w:val="0"/>
          <w:noProof w:val="0"/>
          <w:sz w:val="18"/>
          <w:szCs w:val="18"/>
          <w:lang w:val="en-US"/>
        </w:rPr>
        <w:t>Walonoski, J., et al. (2018). Synthea: An Approach, Method, and Software Mechanism for Generating Synthetic Patients and the Synthetic Electronic Health Care Record. Journal of the American Medical Informatics Association, 25**(3), 230–238.</w:t>
      </w:r>
      <w:r w:rsidRPr="0B4C0DD6" w:rsidR="398BB1D0">
        <w:rPr>
          <w:rFonts w:ascii="Verdana" w:hAnsi="Verdana" w:eastAsia="Verdana" w:cs="Verdana"/>
          <w:b w:val="1"/>
          <w:bCs w:val="1"/>
          <w:noProof w:val="0"/>
          <w:sz w:val="18"/>
          <w:szCs w:val="18"/>
          <w:lang w:val="en-US"/>
        </w:rPr>
        <w:t xml:space="preserve"> </w:t>
      </w:r>
      <w:hyperlink r:id="Rab1acacb4a1a4c5d">
        <w:r w:rsidRPr="0B4C0DD6" w:rsidR="398BB1D0">
          <w:rPr>
            <w:rFonts w:ascii="Verdana" w:hAnsi="Verdana" w:eastAsia="Verdana" w:cs="Verdana"/>
            <w:b w:val="0"/>
            <w:bCs w:val="0"/>
            <w:noProof w:val="0"/>
            <w:color w:val="467886"/>
            <w:sz w:val="18"/>
            <w:szCs w:val="18"/>
            <w:u w:val="single"/>
            <w:lang w:val="en-US" w:eastAsia="en-US" w:bidi="ar-SA"/>
          </w:rPr>
          <w:t>https://doi.org/10.1093/jamia/ocx079</w:t>
        </w:r>
      </w:hyperlink>
    </w:p>
    <w:p w:rsidR="2C3C5A6C" w:rsidP="0B4C0DD6" w:rsidRDefault="2C3C5A6C" w14:paraId="0CE34770" w14:textId="35473AAA">
      <w:pPr>
        <w:spacing w:before="240" w:beforeAutospacing="off" w:after="240" w:afterAutospacing="off"/>
        <w:jc w:val="both"/>
        <w:rPr>
          <w:rFonts w:ascii="Verdana" w:hAnsi="Verdana" w:eastAsia="Verdana" w:cs="Verdana"/>
          <w:noProof w:val="0"/>
          <w:sz w:val="18"/>
          <w:szCs w:val="18"/>
          <w:lang w:val="en-US"/>
        </w:rPr>
      </w:pPr>
      <w:r w:rsidRPr="5CE8BEF0" w:rsidR="398BB1D0">
        <w:rPr>
          <w:rFonts w:ascii="Verdana" w:hAnsi="Verdana" w:eastAsia="Verdana" w:cs="Verdana"/>
          <w:noProof w:val="0"/>
          <w:sz w:val="18"/>
          <w:szCs w:val="18"/>
          <w:lang w:val="en-US"/>
        </w:rPr>
        <w:t xml:space="preserve">This paper introduces Synthea, an open-source software package that simulates the complete lifespans of synthetic patients, modeling the 10 most frequent reasons for primary care encounters and the 10 chronic conditions with the highest U.S. morbidity, producing one million freely available synthetic patient records encoded in standard FHIR format, designed specifically for research, innovation, and educational uses free of privacy or legal restrictions. </w:t>
      </w:r>
      <w:r w:rsidRPr="5CE8BEF0" w:rsidR="6C2DFBEC">
        <w:rPr>
          <w:rFonts w:ascii="Verdana" w:hAnsi="Verdana" w:eastAsia="Verdana" w:cs="Verdana"/>
          <w:b w:val="1"/>
          <w:bCs w:val="1"/>
          <w:noProof w:val="0"/>
          <w:sz w:val="18"/>
          <w:szCs w:val="18"/>
          <w:lang w:val="en-US"/>
        </w:rPr>
        <w:t>Synthea</w:t>
      </w:r>
      <w:r w:rsidRPr="5CE8BEF0" w:rsidR="398BB1D0">
        <w:rPr>
          <w:rFonts w:ascii="Verdana" w:hAnsi="Verdana" w:eastAsia="Verdana" w:cs="Verdana"/>
          <w:noProof w:val="0"/>
          <w:sz w:val="18"/>
          <w:szCs w:val="18"/>
          <w:lang w:val="en-US"/>
        </w:rPr>
        <w:t xml:space="preserve"> generates clinically realistic patient trajectories that include disease progression, treatment responses, and healthcare </w:t>
      </w:r>
      <w:r w:rsidRPr="5CE8BEF0" w:rsidR="398BB1D0">
        <w:rPr>
          <w:rFonts w:ascii="Verdana" w:hAnsi="Verdana" w:eastAsia="Verdana" w:cs="Verdana"/>
          <w:noProof w:val="0"/>
          <w:sz w:val="18"/>
          <w:szCs w:val="18"/>
          <w:lang w:val="en-US"/>
        </w:rPr>
        <w:t>utilization</w:t>
      </w:r>
      <w:r w:rsidRPr="5CE8BEF0" w:rsidR="398BB1D0">
        <w:rPr>
          <w:rFonts w:ascii="Verdana" w:hAnsi="Verdana" w:eastAsia="Verdana" w:cs="Verdana"/>
          <w:noProof w:val="0"/>
          <w:sz w:val="18"/>
          <w:szCs w:val="18"/>
          <w:lang w:val="en-US"/>
        </w:rPr>
        <w:t xml:space="preserve"> patterns across entire lifespans. </w:t>
      </w:r>
      <w:r w:rsidRPr="5CE8BEF0" w:rsidR="398BB1D0">
        <w:rPr>
          <w:rFonts w:ascii="Verdana" w:hAnsi="Verdana" w:eastAsia="Verdana" w:cs="Verdana"/>
          <w:b w:val="1"/>
          <w:bCs w:val="1"/>
          <w:noProof w:val="0"/>
          <w:sz w:val="18"/>
          <w:szCs w:val="18"/>
          <w:lang w:val="en-US"/>
        </w:rPr>
        <w:t>Moreover,</w:t>
      </w:r>
      <w:r w:rsidRPr="5CE8BEF0" w:rsidR="398BB1D0">
        <w:rPr>
          <w:rFonts w:ascii="Verdana" w:hAnsi="Verdana" w:eastAsia="Verdana" w:cs="Verdana"/>
          <w:noProof w:val="0"/>
          <w:sz w:val="18"/>
          <w:szCs w:val="18"/>
          <w:lang w:val="en-US"/>
        </w:rPr>
        <w:t xml:space="preserve"> the FHIR-compliant output enables seamless integration with modern healthcare AI systems without requiring access to protected health information. </w:t>
      </w:r>
      <w:r w:rsidRPr="5CE8BEF0" w:rsidR="398BB1D0">
        <w:rPr>
          <w:rFonts w:ascii="Verdana" w:hAnsi="Verdana" w:eastAsia="Verdana" w:cs="Verdana"/>
          <w:b w:val="1"/>
          <w:bCs w:val="1"/>
          <w:noProof w:val="0"/>
          <w:sz w:val="18"/>
          <w:szCs w:val="18"/>
          <w:lang w:val="en-US"/>
        </w:rPr>
        <w:t>Therefore,</w:t>
      </w:r>
      <w:r w:rsidRPr="5CE8BEF0" w:rsidR="398BB1D0">
        <w:rPr>
          <w:rFonts w:ascii="Verdana" w:hAnsi="Verdana" w:eastAsia="Verdana" w:cs="Verdana"/>
          <w:noProof w:val="0"/>
          <w:sz w:val="18"/>
          <w:szCs w:val="18"/>
          <w:lang w:val="en-US"/>
        </w:rPr>
        <w:t xml:space="preserve"> this tool provides a risk-free development environment for training and </w:t>
      </w:r>
      <w:r w:rsidRPr="5CE8BEF0" w:rsidR="398BB1D0">
        <w:rPr>
          <w:rFonts w:ascii="Verdana" w:hAnsi="Verdana" w:eastAsia="Verdana" w:cs="Verdana"/>
          <w:noProof w:val="0"/>
          <w:sz w:val="18"/>
          <w:szCs w:val="18"/>
          <w:lang w:val="en-US"/>
        </w:rPr>
        <w:t>validating</w:t>
      </w:r>
      <w:r w:rsidRPr="5CE8BEF0" w:rsidR="398BB1D0">
        <w:rPr>
          <w:rFonts w:ascii="Verdana" w:hAnsi="Verdana" w:eastAsia="Verdana" w:cs="Verdana"/>
          <w:noProof w:val="0"/>
          <w:sz w:val="18"/>
          <w:szCs w:val="18"/>
          <w:lang w:val="en-US"/>
        </w:rPr>
        <w:t xml:space="preserve"> clinical AI algorithms. </w:t>
      </w:r>
      <w:r w:rsidRPr="5CE8BEF0" w:rsidR="398BB1D0">
        <w:rPr>
          <w:rFonts w:ascii="Verdana" w:hAnsi="Verdana" w:eastAsia="Verdana" w:cs="Verdana"/>
          <w:b w:val="1"/>
          <w:bCs w:val="1"/>
          <w:noProof w:val="0"/>
          <w:sz w:val="18"/>
          <w:szCs w:val="18"/>
          <w:lang w:val="en-US"/>
        </w:rPr>
        <w:t>Finally,</w:t>
      </w:r>
      <w:r w:rsidRPr="5CE8BEF0" w:rsidR="398BB1D0">
        <w:rPr>
          <w:rFonts w:ascii="Verdana" w:hAnsi="Verdana" w:eastAsia="Verdana" w:cs="Verdana"/>
          <w:noProof w:val="0"/>
          <w:sz w:val="18"/>
          <w:szCs w:val="18"/>
          <w:lang w:val="en-US"/>
        </w:rPr>
        <w:t xml:space="preserve"> the paper </w:t>
      </w:r>
      <w:r w:rsidRPr="5CE8BEF0" w:rsidR="398BB1D0">
        <w:rPr>
          <w:rFonts w:ascii="Verdana" w:hAnsi="Verdana" w:eastAsia="Verdana" w:cs="Verdana"/>
          <w:noProof w:val="0"/>
          <w:sz w:val="18"/>
          <w:szCs w:val="18"/>
          <w:lang w:val="en-US"/>
        </w:rPr>
        <w:t>demonstrates</w:t>
      </w:r>
      <w:r w:rsidRPr="5CE8BEF0" w:rsidR="398BB1D0">
        <w:rPr>
          <w:rFonts w:ascii="Verdana" w:hAnsi="Verdana" w:eastAsia="Verdana" w:cs="Verdana"/>
          <w:noProof w:val="0"/>
          <w:sz w:val="18"/>
          <w:szCs w:val="18"/>
          <w:lang w:val="en-US"/>
        </w:rPr>
        <w:t xml:space="preserve"> how synthetic data can accelerate healthcare innovation while </w:t>
      </w:r>
      <w:r w:rsidRPr="5CE8BEF0" w:rsidR="398BB1D0">
        <w:rPr>
          <w:rFonts w:ascii="Verdana" w:hAnsi="Verdana" w:eastAsia="Verdana" w:cs="Verdana"/>
          <w:noProof w:val="0"/>
          <w:sz w:val="18"/>
          <w:szCs w:val="18"/>
          <w:lang w:val="en-US"/>
        </w:rPr>
        <w:t>maintaining</w:t>
      </w:r>
      <w:r w:rsidRPr="5CE8BEF0" w:rsidR="398BB1D0">
        <w:rPr>
          <w:rFonts w:ascii="Verdana" w:hAnsi="Verdana" w:eastAsia="Verdana" w:cs="Verdana"/>
          <w:noProof w:val="0"/>
          <w:sz w:val="18"/>
          <w:szCs w:val="18"/>
          <w:lang w:val="en-US"/>
        </w:rPr>
        <w:t xml:space="preserve"> complete compliance with </w:t>
      </w:r>
      <w:r w:rsidRPr="5CE8BEF0" w:rsidR="3CD2A155">
        <w:rPr>
          <w:rFonts w:ascii="Verdana" w:hAnsi="Verdana" w:eastAsia="Verdana" w:cs="Verdana"/>
          <w:noProof w:val="0"/>
          <w:sz w:val="18"/>
          <w:szCs w:val="18"/>
          <w:lang w:val="en-US"/>
        </w:rPr>
        <w:t>privacy regulations</w:t>
      </w:r>
      <w:r w:rsidRPr="5CE8BEF0" w:rsidR="398BB1D0">
        <w:rPr>
          <w:rFonts w:ascii="Verdana" w:hAnsi="Verdana" w:eastAsia="Verdana" w:cs="Verdana"/>
          <w:noProof w:val="0"/>
          <w:sz w:val="18"/>
          <w:szCs w:val="18"/>
          <w:lang w:val="en-US"/>
        </w:rPr>
        <w:t>.</w:t>
      </w:r>
    </w:p>
    <w:p w:rsidR="2C3C5A6C" w:rsidP="0B4C0DD6" w:rsidRDefault="2C3C5A6C" w14:paraId="7167170D" w14:textId="10333A7D">
      <w:pPr>
        <w:pStyle w:val="ListParagraph"/>
        <w:numPr>
          <w:ilvl w:val="0"/>
          <w:numId w:val="4"/>
        </w:numPr>
        <w:spacing w:before="240" w:beforeAutospacing="on" w:after="240" w:afterAutospacing="on"/>
        <w:rPr>
          <w:rStyle w:val="normaltextrun"/>
          <w:rFonts w:ascii="Verdana" w:hAnsi="Verdana" w:eastAsia="" w:eastAsiaTheme="majorEastAsia"/>
          <w:b w:val="1"/>
          <w:bCs w:val="1"/>
          <w:sz w:val="18"/>
          <w:szCs w:val="18"/>
        </w:rPr>
      </w:pPr>
      <w:r w:rsidRPr="0B4C0DD6" w:rsidR="62C2940E">
        <w:rPr>
          <w:rStyle w:val="normaltextrun"/>
          <w:rFonts w:ascii="Verdana" w:hAnsi="Verdana" w:eastAsia="" w:eastAsiaTheme="majorEastAsia"/>
          <w:b w:val="1"/>
          <w:bCs w:val="1"/>
          <w:sz w:val="18"/>
          <w:szCs w:val="18"/>
        </w:rPr>
        <w:t>References</w:t>
      </w:r>
    </w:p>
    <w:p w:rsidR="2C3C5A6C" w:rsidP="0B4C0DD6" w:rsidRDefault="2C3C5A6C" w14:paraId="113B883C" w14:textId="2A13B977">
      <w:pPr>
        <w:pStyle w:val="paragraph"/>
        <w:spacing w:before="0" w:beforeAutospacing="off" w:after="0" w:afterAutospacing="off"/>
        <w:ind w:left="720" w:hanging="720"/>
        <w:jc w:val="both"/>
        <w:rPr>
          <w:rStyle w:val="normaltextrun"/>
          <w:rFonts w:ascii="Verdana" w:hAnsi="Verdana" w:eastAsia="Verdana" w:cs="Verdana"/>
          <w:b w:val="0"/>
          <w:bCs w:val="0"/>
          <w:sz w:val="18"/>
          <w:szCs w:val="18"/>
        </w:rPr>
      </w:pPr>
      <w:r w:rsidRPr="0B4C0DD6" w:rsidR="62C2940E">
        <w:rPr>
          <w:rStyle w:val="normaltextrun"/>
          <w:rFonts w:ascii="Verdana" w:hAnsi="Verdana" w:eastAsia="Verdana" w:cs="Verdana"/>
          <w:b w:val="0"/>
          <w:bCs w:val="0"/>
          <w:sz w:val="18"/>
          <w:szCs w:val="18"/>
        </w:rPr>
        <w:t xml:space="preserve">Chandra et al., 2026 - Ontology-based knowledge modeling Chandra, R., Agarwal, S., &amp; Singh, N. (2026). Ontology-based knowledge modeling approach for big data analysis of interdependent health conditions in the diagnosis of non-communicable diseases. </w:t>
      </w:r>
      <w:r w:rsidRPr="0B4C0DD6" w:rsidR="62C2940E">
        <w:rPr>
          <w:rStyle w:val="normaltextrun"/>
          <w:rFonts w:ascii="Verdana" w:hAnsi="Verdana" w:eastAsia="Verdana" w:cs="Verdana"/>
          <w:b w:val="0"/>
          <w:bCs w:val="0"/>
          <w:i w:val="1"/>
          <w:iCs w:val="1"/>
          <w:sz w:val="18"/>
          <w:szCs w:val="18"/>
        </w:rPr>
        <w:t>Knowledge and Information Systems, 68</w:t>
      </w:r>
      <w:r w:rsidRPr="0B4C0DD6" w:rsidR="62C2940E">
        <w:rPr>
          <w:rStyle w:val="normaltextrun"/>
          <w:rFonts w:ascii="Verdana" w:hAnsi="Verdana" w:eastAsia="Verdana" w:cs="Verdana"/>
          <w:b w:val="0"/>
          <w:bCs w:val="0"/>
          <w:sz w:val="18"/>
          <w:szCs w:val="18"/>
        </w:rPr>
        <w:t xml:space="preserve">(90). </w:t>
      </w:r>
      <w:hyperlink r:id="Rdaff4f4b4e0b47b5">
        <w:r w:rsidRPr="0B4C0DD6" w:rsidR="62C2940E">
          <w:rPr>
            <w:rFonts w:ascii="Aptos" w:hAnsi="Aptos" w:eastAsia="Aptos" w:cs="" w:asciiTheme="minorAscii" w:hAnsiTheme="minorAscii" w:eastAsiaTheme="minorAscii" w:cstheme="minorBidi"/>
            <w:b w:val="0"/>
            <w:bCs w:val="0"/>
            <w:color w:val="467886"/>
            <w:sz w:val="18"/>
            <w:szCs w:val="18"/>
            <w:u w:val="single"/>
            <w:lang w:eastAsia="en-US" w:bidi="ar-SA"/>
          </w:rPr>
          <w:t>https://doi.org/10.1007/s10115-026-02699-0</w:t>
        </w:r>
      </w:hyperlink>
      <w:r w:rsidRPr="0B4C0DD6" w:rsidR="62C2940E">
        <w:rPr>
          <w:rFonts w:ascii="Aptos" w:hAnsi="Aptos" w:eastAsia="Aptos" w:cs="" w:asciiTheme="minorAscii" w:hAnsiTheme="minorAscii" w:eastAsiaTheme="minorAscii" w:cstheme="minorBidi"/>
          <w:b w:val="0"/>
          <w:bCs w:val="0"/>
          <w:color w:val="467886"/>
          <w:sz w:val="18"/>
          <w:szCs w:val="18"/>
          <w:u w:val="single"/>
          <w:lang w:eastAsia="en-US" w:bidi="ar-SA"/>
        </w:rPr>
        <w:t xml:space="preserve"> </w:t>
      </w:r>
    </w:p>
    <w:p w:rsidR="2C3C5A6C" w:rsidP="0B4C0DD6" w:rsidRDefault="2C3C5A6C" w14:paraId="6A1BECA7" w14:textId="51D275E6">
      <w:pPr>
        <w:pStyle w:val="paragraph"/>
        <w:spacing w:before="0" w:beforeAutospacing="off" w:after="0" w:afterAutospacing="off"/>
        <w:ind w:left="720" w:hanging="720"/>
        <w:jc w:val="both"/>
        <w:rPr>
          <w:rStyle w:val="normaltextrun"/>
          <w:rFonts w:ascii="Verdana" w:hAnsi="Verdana" w:eastAsia="Verdana" w:cs="Verdana"/>
          <w:b w:val="0"/>
          <w:bCs w:val="0"/>
          <w:sz w:val="18"/>
          <w:szCs w:val="18"/>
        </w:rPr>
      </w:pPr>
      <w:r w:rsidRPr="0B4C0DD6" w:rsidR="62C2940E">
        <w:rPr>
          <w:rStyle w:val="normaltextrun"/>
          <w:rFonts w:ascii="Verdana" w:hAnsi="Verdana" w:eastAsia="Verdana" w:cs="Verdana"/>
          <w:b w:val="0"/>
          <w:bCs w:val="0"/>
          <w:sz w:val="18"/>
          <w:szCs w:val="18"/>
        </w:rPr>
        <w:t xml:space="preserve">Li et al., 2024 - Multi-Agent LLM for ICD Coding, Li, R., Xun, W., Jiang, D., Li, W., &amp; Yang, H. (2024). Improving rare and common ICD coding via a multi-agent LLM-based approach. In </w:t>
      </w:r>
      <w:r w:rsidRPr="0B4C0DD6" w:rsidR="62C2940E">
        <w:rPr>
          <w:rStyle w:val="normaltextrun"/>
          <w:rFonts w:ascii="Verdana" w:hAnsi="Verdana" w:eastAsia="Verdana" w:cs="Verdana"/>
          <w:b w:val="0"/>
          <w:bCs w:val="0"/>
          <w:i w:val="1"/>
          <w:iCs w:val="1"/>
          <w:sz w:val="18"/>
          <w:szCs w:val="18"/>
        </w:rPr>
        <w:t>Proceedings of the 34th ACM International Conference on Information and Knowledge Management</w:t>
      </w:r>
      <w:r w:rsidRPr="0B4C0DD6" w:rsidR="62C2940E">
        <w:rPr>
          <w:rStyle w:val="normaltextrun"/>
          <w:rFonts w:ascii="Verdana" w:hAnsi="Verdana" w:eastAsia="Verdana" w:cs="Verdana"/>
          <w:b w:val="0"/>
          <w:bCs w:val="0"/>
          <w:sz w:val="18"/>
          <w:szCs w:val="18"/>
        </w:rPr>
        <w:t xml:space="preserve"> (pp. 1-10). </w:t>
      </w:r>
      <w:hyperlink r:id="R3bad6d436b5943de">
        <w:r w:rsidRPr="0B4C0DD6" w:rsidR="62C2940E">
          <w:rPr>
            <w:rFonts w:ascii="Aptos" w:hAnsi="Aptos" w:eastAsia="Aptos" w:cs="" w:asciiTheme="minorAscii" w:hAnsiTheme="minorAscii" w:eastAsiaTheme="minorAscii" w:cstheme="minorBidi"/>
            <w:b w:val="0"/>
            <w:bCs w:val="0"/>
            <w:color w:val="467886"/>
            <w:sz w:val="18"/>
            <w:szCs w:val="18"/>
            <w:u w:val="single"/>
            <w:lang w:eastAsia="en-US" w:bidi="ar-SA"/>
          </w:rPr>
          <w:t>https://doi.org/10.1145/3746252.3760894</w:t>
        </w:r>
      </w:hyperlink>
    </w:p>
    <w:p w:rsidR="2C3C5A6C" w:rsidP="0B4C0DD6" w:rsidRDefault="2C3C5A6C" w14:paraId="0C39DC99" w14:textId="40E43F32">
      <w:pPr>
        <w:pStyle w:val="paragraph"/>
        <w:spacing w:before="0" w:beforeAutospacing="off" w:after="0" w:afterAutospacing="off"/>
        <w:ind w:left="720" w:hanging="720"/>
        <w:jc w:val="both"/>
        <w:rPr>
          <w:rStyle w:val="normaltextrun"/>
          <w:rFonts w:ascii="Verdana" w:hAnsi="Verdana" w:eastAsia="Verdana" w:cs="Verdana"/>
          <w:b w:val="0"/>
          <w:bCs w:val="0"/>
          <w:sz w:val="18"/>
          <w:szCs w:val="18"/>
        </w:rPr>
      </w:pPr>
      <w:r w:rsidRPr="0B4C0DD6" w:rsidR="62C2940E">
        <w:rPr>
          <w:rStyle w:val="normaltextrun"/>
          <w:rFonts w:ascii="Verdana" w:hAnsi="Verdana" w:eastAsia="Verdana" w:cs="Verdana"/>
          <w:b w:val="0"/>
          <w:bCs w:val="0"/>
          <w:sz w:val="18"/>
          <w:szCs w:val="18"/>
        </w:rPr>
        <w:t xml:space="preserve">AMA, 2024 - EHR Time, Holmgren, A. J., Sinsky, C. A., Gao, S., Adler-Milstein, J., Bates, D. W., &amp; Downing, N. L. (2024). National comparison of ambulatory physician electronic health record use across specialties. </w:t>
      </w:r>
      <w:r w:rsidRPr="0B4C0DD6" w:rsidR="62C2940E">
        <w:rPr>
          <w:rStyle w:val="normaltextrun"/>
          <w:rFonts w:ascii="Verdana" w:hAnsi="Verdana" w:eastAsia="Verdana" w:cs="Verdana"/>
          <w:b w:val="0"/>
          <w:bCs w:val="0"/>
          <w:i w:val="1"/>
          <w:iCs w:val="1"/>
          <w:sz w:val="18"/>
          <w:szCs w:val="18"/>
        </w:rPr>
        <w:t>Journal of General Internal Medicine, 39</w:t>
      </w:r>
      <w:r w:rsidRPr="0B4C0DD6" w:rsidR="62C2940E">
        <w:rPr>
          <w:rStyle w:val="normaltextrun"/>
          <w:rFonts w:ascii="Verdana" w:hAnsi="Verdana" w:eastAsia="Verdana" w:cs="Verdana"/>
          <w:b w:val="0"/>
          <w:bCs w:val="0"/>
          <w:sz w:val="18"/>
          <w:szCs w:val="18"/>
        </w:rPr>
        <w:t xml:space="preserve">, 2495–2503. </w:t>
      </w:r>
      <w:hyperlink r:id="Rc54e6905212b4cde">
        <w:r w:rsidRPr="0B4C0DD6" w:rsidR="62C2940E">
          <w:rPr>
            <w:rFonts w:ascii="Aptos" w:hAnsi="Aptos" w:eastAsia="Aptos" w:cs="" w:asciiTheme="minorAscii" w:hAnsiTheme="minorAscii" w:eastAsiaTheme="minorAscii" w:cstheme="minorBidi"/>
            <w:b w:val="0"/>
            <w:bCs w:val="0"/>
            <w:color w:val="467886"/>
            <w:sz w:val="18"/>
            <w:szCs w:val="18"/>
            <w:u w:val="single"/>
            <w:lang w:eastAsia="en-US" w:bidi="ar-SA"/>
          </w:rPr>
          <w:t>https://doi.org/10.1007/s11606-024-08930-4</w:t>
        </w:r>
      </w:hyperlink>
      <w:r w:rsidRPr="0B4C0DD6" w:rsidR="62C2940E">
        <w:rPr>
          <w:rFonts w:ascii="Aptos" w:hAnsi="Aptos" w:eastAsia="Aptos" w:cs="" w:asciiTheme="minorAscii" w:hAnsiTheme="minorAscii" w:eastAsiaTheme="minorAscii" w:cstheme="minorBidi"/>
          <w:b w:val="0"/>
          <w:bCs w:val="0"/>
          <w:color w:val="467886"/>
          <w:sz w:val="18"/>
          <w:szCs w:val="18"/>
          <w:u w:val="single"/>
          <w:lang w:eastAsia="en-US" w:bidi="ar-SA"/>
        </w:rPr>
        <w:t xml:space="preserve"> </w:t>
      </w:r>
    </w:p>
    <w:p w:rsidR="2C3C5A6C" w:rsidP="0B4C0DD6" w:rsidRDefault="2C3C5A6C" w14:paraId="5D14394E" w14:textId="5D9559A1">
      <w:pPr>
        <w:pStyle w:val="paragraph"/>
        <w:spacing w:before="0" w:beforeAutospacing="off" w:after="0" w:afterAutospacing="off"/>
        <w:ind w:left="720" w:hanging="720"/>
        <w:jc w:val="both"/>
        <w:rPr>
          <w:rStyle w:val="normaltextrun"/>
          <w:rFonts w:ascii="Verdana" w:hAnsi="Verdana" w:eastAsia="Verdana" w:cs="Verdana"/>
          <w:b w:val="0"/>
          <w:bCs w:val="0"/>
          <w:sz w:val="18"/>
          <w:szCs w:val="18"/>
        </w:rPr>
      </w:pPr>
      <w:r w:rsidRPr="0B4C0DD6" w:rsidR="62C2940E">
        <w:rPr>
          <w:rStyle w:val="normaltextrun"/>
          <w:rFonts w:ascii="Verdana" w:hAnsi="Verdana" w:eastAsia="Verdana" w:cs="Verdana"/>
          <w:b w:val="0"/>
          <w:bCs w:val="0"/>
          <w:sz w:val="18"/>
          <w:szCs w:val="18"/>
        </w:rPr>
        <w:t xml:space="preserve">Han et al., 2019 - Burnout Costs Han, S., Shanafelt, T. D., Sinsky, C. A., Awad, K. M., Dyrbye, L. N., Fiscus, L. C., Trockel, M., &amp; Goh, J. (2019). Estimating the attributable cost of physician burnout in the United States. </w:t>
      </w:r>
      <w:r w:rsidRPr="0B4C0DD6" w:rsidR="62C2940E">
        <w:rPr>
          <w:rStyle w:val="normaltextrun"/>
          <w:rFonts w:ascii="Verdana" w:hAnsi="Verdana" w:eastAsia="Verdana" w:cs="Verdana"/>
          <w:b w:val="0"/>
          <w:bCs w:val="0"/>
          <w:i w:val="1"/>
          <w:iCs w:val="1"/>
          <w:sz w:val="18"/>
          <w:szCs w:val="18"/>
        </w:rPr>
        <w:t>Annals of Internal Medicine, 170</w:t>
      </w:r>
      <w:r w:rsidRPr="0B4C0DD6" w:rsidR="62C2940E">
        <w:rPr>
          <w:rStyle w:val="normaltextrun"/>
          <w:rFonts w:ascii="Verdana" w:hAnsi="Verdana" w:eastAsia="Verdana" w:cs="Verdana"/>
          <w:b w:val="0"/>
          <w:bCs w:val="0"/>
          <w:sz w:val="18"/>
          <w:szCs w:val="18"/>
        </w:rPr>
        <w:t xml:space="preserve">(11), 784–790. </w:t>
      </w:r>
      <w:hyperlink r:id="R66c3a26575c04146">
        <w:r w:rsidRPr="0B4C0DD6" w:rsidR="62C2940E">
          <w:rPr>
            <w:rFonts w:ascii="Aptos" w:hAnsi="Aptos" w:eastAsia="Aptos" w:cs="" w:asciiTheme="minorAscii" w:hAnsiTheme="minorAscii" w:eastAsiaTheme="minorAscii" w:cstheme="minorBidi"/>
            <w:b w:val="0"/>
            <w:bCs w:val="0"/>
            <w:color w:val="467886"/>
            <w:sz w:val="18"/>
            <w:szCs w:val="18"/>
            <w:u w:val="single"/>
            <w:lang w:eastAsia="en-US" w:bidi="ar-SA"/>
          </w:rPr>
          <w:t>https://doi.org/10.7326/M18-1422</w:t>
        </w:r>
      </w:hyperlink>
      <w:r w:rsidRPr="0B4C0DD6" w:rsidR="62C2940E">
        <w:rPr>
          <w:rStyle w:val="normaltextrun"/>
          <w:rFonts w:ascii="Verdana" w:hAnsi="Verdana" w:eastAsia="Verdana" w:cs="Verdana"/>
          <w:b w:val="0"/>
          <w:bCs w:val="0"/>
          <w:sz w:val="18"/>
          <w:szCs w:val="18"/>
        </w:rPr>
        <w:t xml:space="preserve"> </w:t>
      </w:r>
    </w:p>
    <w:p w:rsidR="2C3C5A6C" w:rsidP="0B4C0DD6" w:rsidRDefault="2C3C5A6C" w14:paraId="3383FB24" w14:textId="58C5B432">
      <w:pPr>
        <w:pStyle w:val="paragraph"/>
        <w:spacing w:before="0" w:beforeAutospacing="off" w:after="0" w:afterAutospacing="off"/>
        <w:ind w:left="720" w:hanging="720"/>
        <w:jc w:val="both"/>
        <w:rPr>
          <w:rFonts w:ascii="Aptos" w:hAnsi="Aptos" w:eastAsia="Aptos" w:cs="" w:asciiTheme="minorAscii" w:hAnsiTheme="minorAscii" w:eastAsiaTheme="minorAscii" w:cstheme="minorBidi"/>
          <w:b w:val="0"/>
          <w:bCs w:val="0"/>
          <w:color w:val="467886"/>
          <w:sz w:val="18"/>
          <w:szCs w:val="18"/>
          <w:u w:val="single"/>
          <w:lang w:eastAsia="en-US" w:bidi="ar-SA"/>
        </w:rPr>
      </w:pPr>
      <w:r w:rsidRPr="0B4C0DD6" w:rsidR="62C2940E">
        <w:rPr>
          <w:rStyle w:val="normaltextrun"/>
          <w:rFonts w:ascii="Verdana" w:hAnsi="Verdana" w:eastAsia="Verdana" w:cs="Verdana"/>
          <w:b w:val="0"/>
          <w:bCs w:val="0"/>
          <w:sz w:val="18"/>
          <w:szCs w:val="18"/>
        </w:rPr>
        <w:t xml:space="preserve">Elgammal et al., 2025 - Patient Digital Twins Elgammal, A., Krämer, B. J., Papazoglou, M. P., &amp; Raheem, M. (2025). A semantic framework for patient digital twins in chronic care. </w:t>
      </w:r>
      <w:r w:rsidRPr="0B4C0DD6" w:rsidR="62C2940E">
        <w:rPr>
          <w:rStyle w:val="normaltextrun"/>
          <w:rFonts w:ascii="Verdana" w:hAnsi="Verdana" w:eastAsia="Verdana" w:cs="Verdana"/>
          <w:b w:val="0"/>
          <w:bCs w:val="0"/>
          <w:i w:val="1"/>
          <w:iCs w:val="1"/>
          <w:sz w:val="18"/>
          <w:szCs w:val="18"/>
        </w:rPr>
        <w:t>arXiv preprint arXiv:2510.09134</w:t>
      </w:r>
      <w:r w:rsidRPr="0B4C0DD6" w:rsidR="62C2940E">
        <w:rPr>
          <w:rStyle w:val="normaltextrun"/>
          <w:rFonts w:ascii="Verdana" w:hAnsi="Verdana" w:eastAsia="Verdana" w:cs="Verdana"/>
          <w:b w:val="0"/>
          <w:bCs w:val="0"/>
          <w:sz w:val="18"/>
          <w:szCs w:val="18"/>
        </w:rPr>
        <w:t xml:space="preserve">. </w:t>
      </w:r>
      <w:hyperlink r:id="Rf5980f474e4e491c">
        <w:r w:rsidRPr="0B4C0DD6" w:rsidR="62C2940E">
          <w:rPr>
            <w:rStyle w:val="Hyperlink"/>
            <w:rFonts w:ascii="Verdana" w:hAnsi="Verdana" w:eastAsia="Verdana" w:cs="Verdana"/>
            <w:noProof w:val="0"/>
            <w:sz w:val="18"/>
            <w:szCs w:val="18"/>
            <w:lang w:val="en-US"/>
          </w:rPr>
          <w:t>https://doi.org/10.48550/arXiv.2510.09134</w:t>
        </w:r>
      </w:hyperlink>
    </w:p>
    <w:p w:rsidR="2C3C5A6C" w:rsidP="0B4C0DD6" w:rsidRDefault="2C3C5A6C" w14:paraId="4DFEE637" w14:textId="452D4B55">
      <w:pPr>
        <w:pStyle w:val="paragraph"/>
        <w:spacing w:before="0" w:beforeAutospacing="off" w:after="0" w:afterAutospacing="off"/>
        <w:ind w:left="720" w:hanging="720"/>
        <w:jc w:val="both"/>
        <w:rPr>
          <w:rStyle w:val="normaltextrun"/>
          <w:rFonts w:ascii="Verdana" w:hAnsi="Verdana" w:eastAsia="Verdana" w:cs="Verdana"/>
          <w:b w:val="0"/>
          <w:bCs w:val="0"/>
          <w:sz w:val="18"/>
          <w:szCs w:val="18"/>
        </w:rPr>
      </w:pPr>
      <w:r w:rsidRPr="0B4C0DD6" w:rsidR="62C2940E">
        <w:rPr>
          <w:rStyle w:val="normaltextrun"/>
          <w:rFonts w:ascii="Verdana" w:hAnsi="Verdana" w:eastAsia="Verdana" w:cs="Verdana"/>
          <w:b w:val="0"/>
          <w:bCs w:val="0"/>
          <w:sz w:val="18"/>
          <w:szCs w:val="18"/>
        </w:rPr>
        <w:t xml:space="preserve">Murphi AI, 2026 - Intelligent Clinical Operating System (Company Website/White Paper) Murphi AI. (2026). </w:t>
      </w:r>
      <w:r w:rsidRPr="0B4C0DD6" w:rsidR="62C2940E">
        <w:rPr>
          <w:rStyle w:val="normaltextrun"/>
          <w:rFonts w:ascii="Verdana" w:hAnsi="Verdana" w:eastAsia="Verdana" w:cs="Verdana"/>
          <w:b w:val="0"/>
          <w:bCs w:val="0"/>
          <w:i w:val="1"/>
          <w:iCs w:val="1"/>
          <w:sz w:val="18"/>
          <w:szCs w:val="18"/>
        </w:rPr>
        <w:t>Intelligent clinical operating system for chronic care</w:t>
      </w:r>
      <w:r w:rsidRPr="0B4C0DD6" w:rsidR="62C2940E">
        <w:rPr>
          <w:rStyle w:val="normaltextrun"/>
          <w:rFonts w:ascii="Verdana" w:hAnsi="Verdana" w:eastAsia="Verdana" w:cs="Verdana"/>
          <w:b w:val="0"/>
          <w:bCs w:val="0"/>
          <w:sz w:val="18"/>
          <w:szCs w:val="18"/>
        </w:rPr>
        <w:t xml:space="preserve"> [Product overview]. </w:t>
      </w:r>
      <w:hyperlink r:id="Rdd3b916e4e584221">
        <w:r w:rsidRPr="0B4C0DD6" w:rsidR="62C2940E">
          <w:rPr>
            <w:rFonts w:ascii="Aptos" w:hAnsi="Aptos" w:eastAsia="Aptos" w:cs="" w:asciiTheme="minorAscii" w:hAnsiTheme="minorAscii" w:eastAsiaTheme="minorAscii" w:cstheme="minorBidi"/>
            <w:b w:val="0"/>
            <w:bCs w:val="0"/>
            <w:color w:val="467886"/>
            <w:sz w:val="18"/>
            <w:szCs w:val="18"/>
            <w:u w:val="single"/>
            <w:lang w:eastAsia="en-US" w:bidi="ar-SA"/>
          </w:rPr>
          <w:t>https://murphi.ai/chronic-care-management-companies/</w:t>
        </w:r>
      </w:hyperlink>
      <w:r w:rsidRPr="0B4C0DD6" w:rsidR="62C2940E">
        <w:rPr>
          <w:rFonts w:ascii="Aptos" w:hAnsi="Aptos" w:eastAsia="Aptos" w:cs="" w:asciiTheme="minorAscii" w:hAnsiTheme="minorAscii" w:eastAsiaTheme="minorAscii" w:cstheme="minorBidi"/>
          <w:b w:val="0"/>
          <w:bCs w:val="0"/>
          <w:color w:val="467886"/>
          <w:sz w:val="18"/>
          <w:szCs w:val="18"/>
          <w:u w:val="single"/>
          <w:lang w:eastAsia="en-US" w:bidi="ar-SA"/>
        </w:rPr>
        <w:t xml:space="preserve"> </w:t>
      </w:r>
    </w:p>
    <w:p w:rsidR="2C3C5A6C" w:rsidP="0B4C0DD6" w:rsidRDefault="2C3C5A6C" w14:paraId="7FF922BA" w14:textId="758637F2">
      <w:pPr>
        <w:pStyle w:val="paragraph"/>
        <w:suppressLineNumbers w:val="0"/>
        <w:bidi w:val="0"/>
        <w:spacing w:before="0" w:beforeAutospacing="off" w:after="0" w:afterAutospacing="off" w:line="240" w:lineRule="auto"/>
        <w:ind w:left="720" w:right="0" w:hanging="720"/>
        <w:jc w:val="both"/>
        <w:rPr>
          <w:rStyle w:val="normaltextrun"/>
          <w:rFonts w:ascii="Verdana" w:hAnsi="Verdana" w:eastAsia="Verdana" w:cs="Verdana"/>
          <w:b w:val="0"/>
          <w:bCs w:val="0"/>
          <w:sz w:val="18"/>
          <w:szCs w:val="18"/>
        </w:rPr>
      </w:pPr>
      <w:r w:rsidRPr="0B4C0DD6" w:rsidR="62C2940E">
        <w:rPr>
          <w:rStyle w:val="normaltextrun"/>
          <w:rFonts w:ascii="Verdana" w:hAnsi="Verdana" w:eastAsia="Verdana" w:cs="Verdana"/>
          <w:b w:val="0"/>
          <w:bCs w:val="0"/>
          <w:sz w:val="18"/>
          <w:szCs w:val="18"/>
        </w:rPr>
        <w:t xml:space="preserve">Sarvari et al., 2025 - Rhazes Clinician Platform Sarvari, P., Jewell, P., Taylor, R., &amp; Arouba, I. (2025). Challenges and solutions in applying large language models to guideline-based management planning and automated medical coding in health care: Algorithm development and validation. JMIR Biomedical Engineering, 10, e66691. </w:t>
      </w:r>
      <w:hyperlink r:id="Rc4b72d4108114fdc">
        <w:r w:rsidRPr="0B4C0DD6" w:rsidR="62C2940E">
          <w:rPr>
            <w:rFonts w:ascii="Aptos" w:hAnsi="Aptos" w:eastAsia="Aptos" w:cs="" w:asciiTheme="minorAscii" w:hAnsiTheme="minorAscii" w:eastAsiaTheme="minorAscii" w:cstheme="minorBidi"/>
            <w:b w:val="0"/>
            <w:bCs w:val="0"/>
            <w:color w:val="467886"/>
            <w:sz w:val="18"/>
            <w:szCs w:val="18"/>
            <w:u w:val="single"/>
            <w:lang w:eastAsia="en-US" w:bidi="ar-SA"/>
          </w:rPr>
          <w:t>https://doi.org/10.2196/66691</w:t>
        </w:r>
      </w:hyperlink>
      <w:r w:rsidRPr="0B4C0DD6" w:rsidR="62C2940E">
        <w:rPr>
          <w:rFonts w:ascii="Aptos" w:hAnsi="Aptos" w:eastAsia="Aptos" w:cs="" w:asciiTheme="minorAscii" w:hAnsiTheme="minorAscii" w:eastAsiaTheme="minorAscii" w:cstheme="minorBidi"/>
          <w:b w:val="0"/>
          <w:bCs w:val="0"/>
          <w:color w:val="467886"/>
          <w:sz w:val="18"/>
          <w:szCs w:val="18"/>
          <w:u w:val="single"/>
          <w:lang w:eastAsia="en-US" w:bidi="ar-SA"/>
        </w:rPr>
        <w:t xml:space="preserve"> </w:t>
      </w:r>
    </w:p>
    <w:p w:rsidR="2C3C5A6C" w:rsidP="0B4C0DD6" w:rsidRDefault="2C3C5A6C" w14:paraId="6AF54067" w14:textId="40291E27">
      <w:pPr>
        <w:pStyle w:val="paragraph"/>
        <w:suppressLineNumbers w:val="0"/>
        <w:spacing w:before="0" w:beforeAutospacing="off" w:after="0" w:afterAutospacing="off" w:line="240" w:lineRule="auto"/>
        <w:ind w:left="720" w:right="0" w:hanging="720"/>
        <w:jc w:val="both"/>
        <w:rPr>
          <w:rStyle w:val="normaltextrun"/>
          <w:rFonts w:ascii="Verdana" w:hAnsi="Verdana" w:eastAsia="Verdana" w:cs="Verdana"/>
          <w:b w:val="0"/>
          <w:bCs w:val="0"/>
          <w:sz w:val="18"/>
          <w:szCs w:val="18"/>
        </w:rPr>
      </w:pPr>
      <w:r w:rsidRPr="0B4C0DD6" w:rsidR="62C2940E">
        <w:rPr>
          <w:rStyle w:val="normaltextrun"/>
          <w:rFonts w:ascii="Verdana" w:hAnsi="Verdana" w:eastAsia="Verdana" w:cs="Verdana"/>
          <w:b w:val="0"/>
          <w:bCs w:val="0"/>
          <w:sz w:val="18"/>
          <w:szCs w:val="18"/>
        </w:rPr>
        <w:t xml:space="preserve">ElSayed et al., (2025) - MCP-AI Protocol ElSayed, Z., Erickson, C., &amp; Pedapati, E. (2025). MCP-AI: Protocol-driven intelligence framework for autonomous reasoning in healthcare. arXiv preprint arXiv:2512.05365.   </w:t>
      </w:r>
      <w:hyperlink r:id="Re9f0db12f6d14035">
        <w:r w:rsidRPr="0B4C0DD6" w:rsidR="62C2940E">
          <w:rPr>
            <w:rFonts w:ascii="Aptos" w:hAnsi="Aptos" w:eastAsia="Aptos" w:cs="" w:asciiTheme="minorAscii" w:hAnsiTheme="minorAscii" w:eastAsiaTheme="minorAscii" w:cstheme="minorBidi"/>
            <w:b w:val="0"/>
            <w:bCs w:val="0"/>
            <w:noProof w:val="0"/>
            <w:color w:val="467886"/>
            <w:sz w:val="18"/>
            <w:szCs w:val="18"/>
            <w:u w:val="single"/>
            <w:lang w:val="en-US" w:eastAsia="en-US" w:bidi="ar-SA"/>
          </w:rPr>
          <w:t>https://doi.org/10.48550/arXiv.2512.05365</w:t>
        </w:r>
      </w:hyperlink>
    </w:p>
    <w:p w:rsidR="2C3C5A6C" w:rsidP="0B4C0DD6" w:rsidRDefault="2C3C5A6C" w14:paraId="192347B8" w14:textId="0A3CB898">
      <w:pPr>
        <w:pStyle w:val="paragraph"/>
        <w:suppressLineNumbers w:val="0"/>
        <w:bidi w:val="0"/>
        <w:spacing w:before="0" w:beforeAutospacing="off" w:after="0" w:afterAutospacing="off" w:line="240" w:lineRule="auto"/>
        <w:ind w:left="720" w:right="0" w:hanging="720"/>
        <w:jc w:val="both"/>
        <w:rPr>
          <w:rStyle w:val="normaltextrun"/>
          <w:rFonts w:ascii="Verdana" w:hAnsi="Verdana" w:eastAsia="Verdana" w:cs="Verdana"/>
          <w:b w:val="0"/>
          <w:bCs w:val="0"/>
          <w:noProof w:val="0"/>
          <w:sz w:val="18"/>
          <w:szCs w:val="18"/>
          <w:lang w:val="en-US"/>
        </w:rPr>
      </w:pPr>
      <w:r w:rsidRPr="0B4C0DD6" w:rsidR="62C2940E">
        <w:rPr>
          <w:rStyle w:val="normaltextrun"/>
          <w:rFonts w:ascii="Verdana" w:hAnsi="Verdana" w:eastAsia="Verdana" w:cs="Verdana"/>
          <w:b w:val="0"/>
          <w:bCs w:val="0"/>
          <w:noProof w:val="0"/>
          <w:sz w:val="18"/>
          <w:szCs w:val="18"/>
          <w:lang w:val="en-US"/>
        </w:rPr>
        <w:t xml:space="preserve">Wright, A., et al. (2025). Meeting the challenges of electronic health record (EHR) optimization. PMC – NIH. </w:t>
      </w:r>
      <w:r w:rsidRPr="0B4C0DD6" w:rsidR="62C2940E">
        <w:rPr>
          <w:rFonts w:ascii="Aptos" w:hAnsi="Aptos" w:eastAsia="Aptos" w:cs="" w:asciiTheme="minorAscii" w:hAnsiTheme="minorAscii" w:eastAsiaTheme="minorAscii" w:cstheme="minorBidi"/>
          <w:b w:val="0"/>
          <w:bCs w:val="0"/>
          <w:noProof w:val="0"/>
          <w:color w:val="467886"/>
          <w:sz w:val="18"/>
          <w:szCs w:val="18"/>
          <w:u w:val="single"/>
          <w:lang w:val="en-US" w:eastAsia="en-US" w:bidi="ar-SA"/>
        </w:rPr>
        <w:t>https://doi.org/10.1038/s41746-025-02178-w</w:t>
      </w:r>
    </w:p>
    <w:p w:rsidR="2C3C5A6C" w:rsidP="0B4C0DD6" w:rsidRDefault="2C3C5A6C" w14:paraId="2F0C80BB" w14:textId="2D91D4F3">
      <w:pPr>
        <w:pStyle w:val="paragraph"/>
        <w:suppressLineNumbers w:val="0"/>
        <w:spacing w:before="0" w:beforeAutospacing="off" w:after="0" w:afterAutospacing="off" w:line="240" w:lineRule="auto"/>
        <w:ind w:left="720" w:right="0" w:hanging="720"/>
        <w:jc w:val="both"/>
        <w:rPr>
          <w:rStyle w:val="normaltextrun"/>
          <w:rFonts w:ascii="Verdana" w:hAnsi="Verdana" w:eastAsia="Verdana" w:cs="Verdana"/>
          <w:b w:val="0"/>
          <w:bCs w:val="0"/>
          <w:sz w:val="18"/>
          <w:szCs w:val="18"/>
        </w:rPr>
      </w:pPr>
      <w:r w:rsidRPr="0B4C0DD6" w:rsidR="62C2940E">
        <w:rPr>
          <w:rStyle w:val="normaltextrun"/>
          <w:rFonts w:ascii="Verdana" w:hAnsi="Verdana" w:eastAsia="Verdana" w:cs="Verdana"/>
          <w:b w:val="0"/>
          <w:bCs w:val="0"/>
          <w:noProof w:val="0"/>
          <w:sz w:val="18"/>
          <w:szCs w:val="18"/>
          <w:lang w:val="en-US"/>
        </w:rPr>
        <w:t xml:space="preserve">Walonoski, J., et al. (2018). Synthea: An approach, method, and software mechanism for generating synthetic patients and the synthetic electronic health care record. Journal of the American Medical Informatics Association, 25(3), 230–238. </w:t>
      </w:r>
      <w:hyperlink r:id="R2be54d549dd543a2">
        <w:r w:rsidRPr="0B4C0DD6" w:rsidR="62C2940E">
          <w:rPr>
            <w:rFonts w:ascii="Aptos" w:hAnsi="Aptos" w:eastAsia="Aptos" w:cs="" w:asciiTheme="minorAscii" w:hAnsiTheme="minorAscii" w:eastAsiaTheme="minorAscii" w:cstheme="minorBidi"/>
            <w:b w:val="0"/>
            <w:bCs w:val="0"/>
            <w:noProof w:val="0"/>
            <w:color w:val="467886"/>
            <w:sz w:val="18"/>
            <w:szCs w:val="18"/>
            <w:u w:val="single"/>
            <w:lang w:val="en-US" w:eastAsia="en-US" w:bidi="ar-SA"/>
          </w:rPr>
          <w:t>https://doi.org/10.1093/jamia/ocx079</w:t>
        </w:r>
      </w:hyperlink>
    </w:p>
    <w:p w:rsidR="2C3C5A6C" w:rsidP="0B4C0DD6" w:rsidRDefault="2C3C5A6C" w14:paraId="3485664E" w14:textId="38AB45BA">
      <w:pPr>
        <w:pStyle w:val="paragraph"/>
        <w:suppressLineNumbers w:val="0"/>
        <w:bidi w:val="0"/>
        <w:spacing w:before="0" w:beforeAutospacing="off" w:after="0" w:afterAutospacing="off" w:line="240" w:lineRule="auto"/>
        <w:ind w:left="720" w:right="0" w:hanging="720"/>
        <w:jc w:val="both"/>
        <w:rPr>
          <w:rStyle w:val="normaltextrun"/>
          <w:rFonts w:ascii="Verdana" w:hAnsi="Verdana" w:eastAsia="Verdana" w:cs="Verdana"/>
          <w:b w:val="0"/>
          <w:bCs w:val="0"/>
          <w:sz w:val="18"/>
          <w:szCs w:val="18"/>
        </w:rPr>
      </w:pPr>
      <w:r w:rsidRPr="0B4C0DD6" w:rsidR="62C2940E">
        <w:rPr>
          <w:rStyle w:val="normaltextrun"/>
          <w:rFonts w:ascii="Verdana" w:hAnsi="Verdana" w:eastAsia="Verdana" w:cs="Verdana"/>
          <w:b w:val="0"/>
          <w:bCs w:val="0"/>
          <w:noProof w:val="0"/>
          <w:sz w:val="18"/>
          <w:szCs w:val="18"/>
          <w:lang w:val="en-US"/>
        </w:rPr>
        <w:t xml:space="preserve">Klang, E., Omar, M., Raut, G., Agbareia, R., Timsina, P., Freeman, R., Stump, L., Charney, A., Glicksberg, B. S., &amp; Nadkarni, G. N. (2026). Orchestrated multi agents sustain accuracy under clinical-scale workloads compared to a single agent. npj Health Systems. </w:t>
      </w:r>
      <w:hyperlink r:id="R05f639f56e9e451b">
        <w:r w:rsidRPr="0B4C0DD6" w:rsidR="62C2940E">
          <w:rPr>
            <w:rFonts w:ascii="Aptos" w:hAnsi="Aptos" w:eastAsia="Aptos" w:cs="" w:asciiTheme="minorAscii" w:hAnsiTheme="minorAscii" w:eastAsiaTheme="minorAscii" w:cstheme="minorBidi"/>
            <w:b w:val="0"/>
            <w:bCs w:val="0"/>
            <w:noProof w:val="0"/>
            <w:color w:val="467886"/>
            <w:sz w:val="18"/>
            <w:szCs w:val="18"/>
            <w:u w:val="single"/>
            <w:lang w:val="en-US" w:eastAsia="en-US" w:bidi="ar-SA"/>
          </w:rPr>
          <w:t>https://doi.org/10.1038/s44401-026-00077-0</w:t>
        </w:r>
      </w:hyperlink>
    </w:p>
    <w:p w:rsidR="2C3C5A6C" w:rsidP="0B4C0DD6" w:rsidRDefault="2C3C5A6C" w14:paraId="14E8D762" w14:textId="7C614165">
      <w:pPr>
        <w:spacing w:before="0" w:beforeAutospacing="off" w:after="0" w:afterAutospacing="off"/>
        <w:ind w:left="720" w:right="0" w:hanging="720"/>
        <w:jc w:val="both"/>
        <w:rPr>
          <w:rFonts w:ascii="Verdana" w:hAnsi="Verdana" w:eastAsia="Verdana" w:cs="Verdana"/>
          <w:b w:val="0"/>
          <w:bCs w:val="0"/>
          <w:sz w:val="18"/>
          <w:szCs w:val="18"/>
        </w:rPr>
      </w:pPr>
      <w:r w:rsidRPr="0B4C0DD6" w:rsidR="62C2940E">
        <w:rPr>
          <w:rFonts w:ascii="Verdana" w:hAnsi="Verdana" w:eastAsia="Verdana" w:cs="Verdana"/>
          <w:b w:val="0"/>
          <w:bCs w:val="0"/>
          <w:noProof w:val="0"/>
          <w:sz w:val="18"/>
          <w:szCs w:val="18"/>
          <w:lang w:val="en-US"/>
        </w:rPr>
        <w:t xml:space="preserve">Tiga Health. (2025). What are the major barriers to interoperability in healthcare? </w:t>
      </w:r>
      <w:hyperlink r:id="R428ebfd3514b4480">
        <w:r w:rsidRPr="0B4C0DD6" w:rsidR="62C2940E">
          <w:rPr>
            <w:rStyle w:val="Hyperlink"/>
            <w:rFonts w:ascii="Verdana" w:hAnsi="Verdana" w:eastAsia="Verdana" w:cs="Verdana"/>
            <w:b w:val="0"/>
            <w:bCs w:val="0"/>
            <w:noProof w:val="0"/>
            <w:sz w:val="18"/>
            <w:szCs w:val="18"/>
            <w:lang w:val="en-US"/>
          </w:rPr>
          <w:t>https://tigahealth.com/how-to-overcome-healthcare-interoperability-challenges</w:t>
        </w:r>
      </w:hyperlink>
    </w:p>
    <w:p w:rsidR="2C3C5A6C" w:rsidP="0B4C0DD6" w:rsidRDefault="2C3C5A6C" w14:paraId="5F574B5E" w14:textId="0BAE508B">
      <w:pPr>
        <w:pStyle w:val="paragraph"/>
        <w:suppressLineNumbers w:val="0"/>
        <w:bidi w:val="0"/>
        <w:spacing w:before="0" w:beforeAutospacing="off" w:after="0" w:afterAutospacing="off" w:line="240" w:lineRule="auto"/>
        <w:ind w:left="720" w:right="0" w:hanging="720"/>
        <w:jc w:val="both"/>
        <w:rPr>
          <w:rStyle w:val="normaltextrun"/>
          <w:rFonts w:ascii="Verdana" w:hAnsi="Verdana" w:eastAsia="Verdana" w:cs="Verdana"/>
          <w:b w:val="0"/>
          <w:bCs w:val="0"/>
          <w:noProof w:val="0"/>
          <w:sz w:val="18"/>
          <w:szCs w:val="18"/>
          <w:lang w:val="en-US"/>
        </w:rPr>
      </w:pPr>
      <w:r w:rsidRPr="0B4C0DD6" w:rsidR="62C2940E">
        <w:rPr>
          <w:rStyle w:val="normaltextrun"/>
          <w:rFonts w:ascii="Verdana" w:hAnsi="Verdana" w:eastAsia="Verdana" w:cs="Verdana"/>
          <w:b w:val="0"/>
          <w:bCs w:val="0"/>
          <w:noProof w:val="0"/>
          <w:sz w:val="18"/>
          <w:szCs w:val="18"/>
          <w:lang w:val="en-US"/>
        </w:rPr>
        <w:t xml:space="preserve">National Academies of Sciences, Engineering, and Medicine. (2019). Taking action against clinician burnout: A systems approach to professional well-being. National Academies Press. </w:t>
      </w:r>
      <w:hyperlink r:id="Rd215f7d74e0e4a44">
        <w:r w:rsidRPr="0B4C0DD6" w:rsidR="62C2940E">
          <w:rPr>
            <w:rFonts w:ascii="Aptos" w:hAnsi="Aptos" w:eastAsia="Aptos" w:cs="" w:asciiTheme="minorAscii" w:hAnsiTheme="minorAscii" w:eastAsiaTheme="minorAscii" w:cstheme="minorBidi"/>
            <w:strike w:val="0"/>
            <w:dstrike w:val="0"/>
            <w:noProof w:val="0"/>
            <w:color w:val="467886"/>
            <w:sz w:val="18"/>
            <w:szCs w:val="18"/>
            <w:u w:val="single"/>
            <w:lang w:val="en-US" w:eastAsia="en-US" w:bidi="ar-SA"/>
          </w:rPr>
          <w:t>https://doi.org/10.17226/25521</w:t>
        </w:r>
      </w:hyperlink>
    </w:p>
    <w:p w:rsidR="2C3C5A6C" w:rsidP="0B4C0DD6" w:rsidRDefault="2C3C5A6C" w14:paraId="583D1B68" w14:textId="7019EF26">
      <w:pPr>
        <w:pStyle w:val="paragraph"/>
        <w:suppressLineNumbers w:val="0"/>
        <w:bidi w:val="0"/>
        <w:spacing w:before="0" w:beforeAutospacing="off" w:after="0" w:afterAutospacing="off" w:line="240" w:lineRule="auto"/>
        <w:ind w:left="720" w:right="0" w:hanging="720"/>
        <w:jc w:val="both"/>
        <w:rPr>
          <w:rFonts w:ascii="Aptos" w:hAnsi="Aptos" w:eastAsia="Aptos" w:cs="" w:asciiTheme="minorAscii" w:hAnsiTheme="minorAscii" w:eastAsiaTheme="minorAscii" w:cstheme="minorBidi"/>
          <w:strike w:val="0"/>
          <w:dstrike w:val="0"/>
          <w:color w:val="467886"/>
          <w:sz w:val="18"/>
          <w:szCs w:val="18"/>
          <w:u w:val="single"/>
          <w:lang w:eastAsia="en-US" w:bidi="ar-SA"/>
        </w:rPr>
      </w:pPr>
      <w:r w:rsidRPr="0B4C0DD6" w:rsidR="62C2940E">
        <w:rPr>
          <w:rStyle w:val="normaltextrun"/>
          <w:rFonts w:ascii="Verdana" w:hAnsi="Verdana" w:eastAsia="Verdana" w:cs="Verdana"/>
          <w:b w:val="0"/>
          <w:bCs w:val="0"/>
          <w:noProof w:val="0"/>
          <w:sz w:val="18"/>
          <w:szCs w:val="18"/>
          <w:lang w:val="en-US"/>
        </w:rPr>
        <w:t xml:space="preserve">Athenahealth. (2024). Tackling physician burnout in independent practices. </w:t>
      </w:r>
      <w:hyperlink r:id="Ref595f110d714320">
        <w:r w:rsidRPr="0B4C0DD6" w:rsidR="62C2940E">
          <w:rPr>
            <w:rFonts w:ascii="Aptos" w:hAnsi="Aptos" w:eastAsia="Aptos" w:cs="" w:asciiTheme="minorAscii" w:hAnsiTheme="minorAscii" w:eastAsiaTheme="minorAscii" w:cstheme="minorBidi"/>
            <w:strike w:val="0"/>
            <w:dstrike w:val="0"/>
            <w:noProof w:val="0"/>
            <w:color w:val="467886"/>
            <w:sz w:val="18"/>
            <w:szCs w:val="18"/>
            <w:u w:val="single"/>
            <w:lang w:val="en-US" w:eastAsia="en-US" w:bidi="ar-SA"/>
          </w:rPr>
          <w:t>https://athenahealth.com/resources/blog/how-independent-practices-avoid-burnout</w:t>
        </w:r>
      </w:hyperlink>
    </w:p>
    <w:p w:rsidR="2C3C5A6C" w:rsidP="0B4C0DD6" w:rsidRDefault="2C3C5A6C" w14:paraId="7BA93594" w14:textId="4E725677">
      <w:pPr>
        <w:pStyle w:val="paragraph"/>
        <w:suppressLineNumbers w:val="0"/>
        <w:bidi w:val="0"/>
        <w:spacing w:before="0" w:beforeAutospacing="off" w:after="0" w:afterAutospacing="off" w:line="240" w:lineRule="auto"/>
        <w:ind w:left="720" w:right="0" w:hanging="720"/>
        <w:jc w:val="both"/>
        <w:rPr>
          <w:rStyle w:val="normaltextrun"/>
          <w:rFonts w:ascii="Verdana" w:hAnsi="Verdana" w:eastAsia="Verdana" w:cs="Verdana"/>
          <w:b w:val="0"/>
          <w:bCs w:val="0"/>
          <w:sz w:val="18"/>
          <w:szCs w:val="18"/>
        </w:rPr>
      </w:pPr>
      <w:r w:rsidRPr="0B4C0DD6" w:rsidR="62C2940E">
        <w:rPr>
          <w:rStyle w:val="normaltextrun"/>
          <w:rFonts w:ascii="Verdana" w:hAnsi="Verdana" w:eastAsia="Verdana" w:cs="Verdana"/>
          <w:b w:val="0"/>
          <w:bCs w:val="0"/>
          <w:noProof w:val="0"/>
          <w:sz w:val="18"/>
          <w:szCs w:val="18"/>
          <w:lang w:val="en-US"/>
        </w:rPr>
        <w:t xml:space="preserve">Tabari, P., Costagliola, G., De Rosa, M., &amp; Boeker, M. (2024). State-of-the-art Fast Healthcare Interoperability Resources (FHIR)-based data model and structure implementations: Systematic scoping review. JMIR Medical Informatics, 12, e58445. </w:t>
      </w:r>
      <w:hyperlink r:id="Ra3e0c99e98cd475a">
        <w:r w:rsidRPr="0B4C0DD6" w:rsidR="62C2940E">
          <w:rPr>
            <w:rFonts w:ascii="Aptos" w:hAnsi="Aptos" w:eastAsia="Aptos" w:cs="" w:asciiTheme="minorAscii" w:hAnsiTheme="minorAscii" w:eastAsiaTheme="minorAscii" w:cstheme="minorBidi"/>
            <w:strike w:val="0"/>
            <w:dstrike w:val="0"/>
            <w:noProof w:val="0"/>
            <w:color w:val="467886"/>
            <w:sz w:val="18"/>
            <w:szCs w:val="18"/>
            <w:u w:val="single"/>
            <w:lang w:val="en-US" w:eastAsia="en-US" w:bidi="ar-SA"/>
          </w:rPr>
          <w:t>https://doi.org/10.2196/58445</w:t>
        </w:r>
      </w:hyperlink>
    </w:p>
    <w:p w:rsidR="2C3C5A6C" w:rsidP="0B4C0DD6" w:rsidRDefault="2C3C5A6C" w14:paraId="7331FCDC" w14:textId="216B72A3">
      <w:pPr>
        <w:spacing w:before="0" w:beforeAutospacing="off" w:after="0" w:afterAutospacing="off"/>
        <w:ind w:left="720" w:right="0" w:hanging="720"/>
        <w:jc w:val="both"/>
      </w:pPr>
      <w:r w:rsidRPr="0B4C0DD6" w:rsidR="62C2940E">
        <w:rPr>
          <w:rFonts w:ascii="Verdana" w:hAnsi="Verdana" w:eastAsia="Verdana" w:cs="Verdana"/>
          <w:noProof w:val="0"/>
          <w:sz w:val="18"/>
          <w:szCs w:val="18"/>
          <w:lang w:val="en-US"/>
        </w:rPr>
        <w:t xml:space="preserve">National Academies of Sciences, Engineering, and Medicine. (2019). </w:t>
      </w:r>
      <w:r w:rsidRPr="0B4C0DD6" w:rsidR="62C2940E">
        <w:rPr>
          <w:rFonts w:ascii="Verdana" w:hAnsi="Verdana" w:eastAsia="Verdana" w:cs="Verdana"/>
          <w:i w:val="1"/>
          <w:iCs w:val="1"/>
          <w:noProof w:val="0"/>
          <w:sz w:val="18"/>
          <w:szCs w:val="18"/>
          <w:lang w:val="en-US"/>
        </w:rPr>
        <w:t>Taking action against clinician burnout: A systems approach to professional well-being.</w:t>
      </w:r>
      <w:r w:rsidRPr="0B4C0DD6" w:rsidR="62C2940E">
        <w:rPr>
          <w:rFonts w:ascii="Verdana" w:hAnsi="Verdana" w:eastAsia="Verdana" w:cs="Verdana"/>
          <w:noProof w:val="0"/>
          <w:sz w:val="18"/>
          <w:szCs w:val="18"/>
          <w:lang w:val="en-US"/>
        </w:rPr>
        <w:t xml:space="preserve"> National Academies Press. </w:t>
      </w:r>
      <w:hyperlink r:id="R747f426525f5456b">
        <w:r w:rsidRPr="0B4C0DD6" w:rsidR="62C2940E">
          <w:rPr>
            <w:rStyle w:val="Hyperlink"/>
            <w:rFonts w:ascii="Verdana" w:hAnsi="Verdana" w:eastAsia="Verdana" w:cs="Verdana"/>
            <w:strike w:val="0"/>
            <w:dstrike w:val="0"/>
            <w:noProof w:val="0"/>
            <w:color w:val="467886"/>
            <w:sz w:val="18"/>
            <w:szCs w:val="18"/>
            <w:u w:val="single"/>
            <w:lang w:val="en-US"/>
          </w:rPr>
          <w:t>https://doi.org/10.17226/25521</w:t>
        </w:r>
      </w:hyperlink>
    </w:p>
    <w:p w:rsidR="2C3C5A6C" w:rsidP="0B4C0DD6" w:rsidRDefault="2C3C5A6C" w14:paraId="04109433" w14:textId="0183729C">
      <w:pPr>
        <w:spacing w:before="0" w:beforeAutospacing="off" w:after="0" w:afterAutospacing="off"/>
        <w:ind w:left="720" w:right="0" w:hanging="720"/>
        <w:jc w:val="both"/>
      </w:pPr>
      <w:r w:rsidRPr="295D06E8" w:rsidR="62C2940E">
        <w:rPr>
          <w:rFonts w:ascii="Verdana" w:hAnsi="Verdana" w:eastAsia="Verdana" w:cs="Verdana"/>
          <w:noProof w:val="0"/>
          <w:sz w:val="18"/>
          <w:szCs w:val="18"/>
          <w:lang w:val="en-US"/>
        </w:rPr>
        <w:t xml:space="preserve">Wu, Y., Wu, M., Wang, C., Lin, J., Liu, J., &amp; Liu, S. (2024). Evaluating the prevalence of burnout among health care professionals related to electronic health record use: Systematic review and meta-analysis. </w:t>
      </w:r>
      <w:r w:rsidRPr="295D06E8" w:rsidR="62C2940E">
        <w:rPr>
          <w:rFonts w:ascii="Verdana" w:hAnsi="Verdana" w:eastAsia="Verdana" w:cs="Verdana"/>
          <w:i w:val="1"/>
          <w:iCs w:val="1"/>
          <w:noProof w:val="0"/>
          <w:sz w:val="18"/>
          <w:szCs w:val="18"/>
          <w:lang w:val="en-US"/>
        </w:rPr>
        <w:t>JMIR Medical Informatics, 12</w:t>
      </w:r>
      <w:r w:rsidRPr="295D06E8" w:rsidR="62C2940E">
        <w:rPr>
          <w:rFonts w:ascii="Verdana" w:hAnsi="Verdana" w:eastAsia="Verdana" w:cs="Verdana"/>
          <w:noProof w:val="0"/>
          <w:sz w:val="18"/>
          <w:szCs w:val="18"/>
          <w:lang w:val="en-US"/>
        </w:rPr>
        <w:t xml:space="preserve">, e54811. </w:t>
      </w:r>
      <w:hyperlink r:id="R9d3f0e6dfaa948cd">
        <w:r w:rsidRPr="295D06E8" w:rsidR="62C2940E">
          <w:rPr>
            <w:rStyle w:val="Hyperlink"/>
            <w:rFonts w:ascii="Verdana" w:hAnsi="Verdana" w:eastAsia="Verdana" w:cs="Verdana"/>
            <w:strike w:val="0"/>
            <w:dstrike w:val="0"/>
            <w:noProof w:val="0"/>
            <w:color w:val="467886"/>
            <w:sz w:val="18"/>
            <w:szCs w:val="18"/>
            <w:u w:val="single"/>
            <w:lang w:val="en-US"/>
          </w:rPr>
          <w:t>https://doi.org/10.2196/54811</w:t>
        </w:r>
      </w:hyperlink>
    </w:p>
    <w:p w:rsidR="295D06E8" w:rsidP="295D06E8" w:rsidRDefault="295D06E8" w14:paraId="5B4C674F" w14:textId="6193263E">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295D06E8" w:rsidP="295D06E8" w:rsidRDefault="295D06E8" w14:paraId="783011E0" w14:textId="6178A6BE">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295D06E8" w:rsidP="295D06E8" w:rsidRDefault="295D06E8" w14:paraId="099EBA97" w14:textId="7A478684">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48BEA5B4" w14:textId="64D1881F">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590B9CB" w14:textId="1BCF9CC3">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20DF71D" w14:textId="5EFAD830">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168105E4" w14:textId="14E897F8">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578FDE2F" w14:textId="5189A476">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67214BC4" w14:textId="3AF653C9">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6C3B7B1A" w14:textId="7FC72033">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4B9F1159" w14:textId="63917FB6">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5C36FD8F" w14:textId="0EC98A57">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6C470E21" w14:textId="70F002CE">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42AA176" w14:textId="3F0E6F91">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336248D7" w14:textId="6EB69826">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5A4E6ECD" w14:textId="2C2FA9AC">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460B9055" w14:textId="466BEEAD">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7B8ECCB6" w14:textId="42E408B5">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0BC6D25C" w14:textId="62C6CDE8">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602D7358" w14:textId="0F705585">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3913C9CD" w14:textId="68E97795">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064D182E" w14:textId="33BE66D4">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0F453B5F" w14:textId="6BAD84CF">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7099A9D5" w14:textId="7E1FE316">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128932FC" w14:textId="46D0D733">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6B30BCB7" w14:textId="50B9B902">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34204DE5" w14:textId="36745DC5">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C9E5493" w14:textId="2C84B02F">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295D06E8" w:rsidP="295D06E8" w:rsidRDefault="295D06E8" w14:paraId="01BAE183" w14:textId="44A48983">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295D06E8" w:rsidP="295D06E8" w:rsidRDefault="295D06E8" w14:paraId="22B7B329" w14:textId="5ECE6669">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295D06E8" w:rsidP="295D06E8" w:rsidRDefault="295D06E8" w14:paraId="4C84E8D6" w14:textId="3B907665">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295D06E8" w:rsidP="295D06E8" w:rsidRDefault="295D06E8" w14:paraId="62A4E5AC" w14:textId="526595DF">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295D06E8" w:rsidP="295D06E8" w:rsidRDefault="295D06E8" w14:paraId="364BE01C" w14:textId="31B3B040">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295D06E8" w:rsidP="295D06E8" w:rsidRDefault="295D06E8" w14:paraId="6E205F95" w14:textId="4223B42D">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295D06E8" w:rsidP="295D06E8" w:rsidRDefault="295D06E8" w14:paraId="3E243FC4" w14:textId="57B5B934">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07330DB4" w14:textId="73C3B9B5">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59E28B4B" w14:textId="793A273C">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2893016E" w14:textId="7B773BBE">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1EB9B68F" w14:textId="560898B6">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2CA01A1B" w14:textId="3641A115">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66A098CF" w14:textId="170A686C">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74444380" w14:textId="4EA2172B">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7BF81286" w14:textId="3387F66B">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7C150436" w14:textId="7E5E8BB9">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3090E676" w14:textId="6EE00156">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4919E93F" w14:textId="1DE69423">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3003EA3F" w14:textId="123D417B">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14560DB8" w14:textId="7745F944">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170A9B37" w14:textId="40534472">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097B4397" w14:textId="687B3E82">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15F53D49" w14:textId="77D658FA">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24EA30B2" w14:textId="7D876A07">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41F6944E" w:rsidP="41F6944E" w:rsidRDefault="41F6944E" w14:paraId="3F40C5F5" w14:textId="3FDFE98D">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01D23B84" w14:textId="100FC170">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0BFB4E7F" w14:textId="4BBF29D1">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6AE094C7" w14:textId="7BD619A9">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52CF4351" w14:textId="06B1992E">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4D41D701" w14:textId="2056A80C">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42CCD8C9" w14:textId="3771ADED">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7F04427A" w14:textId="69B21C01">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4E520BC5" w14:textId="59794255">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E859E36" w14:textId="47ACB921">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8E54563" w14:textId="7B699E0A">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2E75137" w14:textId="741EF522">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0D96D95A" w14:textId="1E40A698">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74FF14AB" w14:textId="6021A62B">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4FA1B95F" w14:textId="63A81D21">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09CD0D1C" w14:textId="03D51950">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42DE908C" w14:textId="39BD8330">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7B36A31B" w14:textId="3DB02281">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A5EF360" w14:textId="1695C45B">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078A0984" w14:textId="5B16085F">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0F3D052" w14:textId="4EE051EC">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600DBAAA" w14:textId="3AEE21A7">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1B95E1B" w14:textId="6EEA816F">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A29D8EF" w14:textId="603B215D">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37EB2C4E" w14:textId="24F7ED5F">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64501B2" w14:textId="7285C697">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7CEB5E24" w14:textId="1DA8D32A">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7873630B" w14:textId="07564F22">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7862B736" w14:textId="03CD5A44">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5EDE1142" w14:textId="33F5F572">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705B34FC" w14:textId="53C0ED96">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49890846" w14:textId="25A07278">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38633244" w14:textId="238DAF7E">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2E68751" w14:textId="5278F40D">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1CFCCF11" w14:textId="028A671C">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1D3DF669" w14:textId="633C3A79">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E0053DF" w14:textId="212CAAC2">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772224A0" w14:textId="1F259C85">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0C7FC393" w14:textId="41A9D7BF">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4013EB9F" w14:textId="0D3E2761">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4AD432A" w14:textId="0CFC1046">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135FE481" w14:textId="177A3CA7">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6F960686" w14:textId="27E1D3FF">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2A4FF3C8" w14:textId="155FEFA9">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49F6497B" w14:textId="05FB9B6F">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666A6BA5" w14:textId="5521A014">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7A63D130" w14:textId="586AFE21">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484661DB" w14:textId="5DA3BD3F">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636F6669" w14:textId="5E7B6BE2">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4D917994" w14:textId="2AAF5882">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176102CA" w14:textId="7F407825">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1AA66032" w14:textId="492271A7">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08B9AC2B" w:rsidP="08B9AC2B" w:rsidRDefault="08B9AC2B" w14:paraId="5E06E906" w14:textId="0A1C1DE7">
      <w:pPr>
        <w:spacing w:before="0" w:beforeAutospacing="off" w:after="0" w:afterAutospacing="off"/>
        <w:ind w:left="720" w:right="0" w:hanging="720"/>
        <w:jc w:val="both"/>
        <w:rPr>
          <w:rFonts w:ascii="Verdana" w:hAnsi="Verdana" w:eastAsia="Verdana" w:cs="Verdana"/>
          <w:strike w:val="0"/>
          <w:dstrike w:val="0"/>
          <w:noProof w:val="0"/>
          <w:color w:val="467886"/>
          <w:sz w:val="18"/>
          <w:szCs w:val="18"/>
          <w:u w:val="single"/>
          <w:lang w:val="en-US"/>
        </w:rPr>
      </w:pPr>
    </w:p>
    <w:p w:rsidR="2C3C5A6C" w:rsidP="4D694C64" w:rsidRDefault="2C3C5A6C" w14:paraId="2F959BC2" w14:textId="5CF84929">
      <w:pPr>
        <w:pStyle w:val="ListParagraph"/>
        <w:numPr>
          <w:ilvl w:val="0"/>
          <w:numId w:val="4"/>
        </w:numPr>
        <w:spacing w:beforeAutospacing="on" w:afterAutospacing="on"/>
        <w:jc w:val="both"/>
        <w:rPr>
          <w:rFonts w:ascii="Verdana" w:hAnsi="Verdana" w:eastAsia="Verdana" w:cs="Verdana"/>
          <w:b w:val="1"/>
          <w:bCs w:val="1"/>
          <w:i w:val="0"/>
          <w:iCs w:val="0"/>
          <w:caps w:val="0"/>
          <w:smallCaps w:val="0"/>
          <w:noProof w:val="0"/>
          <w:color w:val="000000" w:themeColor="text1" w:themeTint="FF" w:themeShade="FF"/>
          <w:sz w:val="18"/>
          <w:szCs w:val="18"/>
          <w:lang w:val="en-US"/>
        </w:rPr>
      </w:pPr>
      <w:r w:rsidRPr="0B4C0DD6" w:rsidR="12678C79">
        <w:rPr>
          <w:rFonts w:ascii="Verdana" w:hAnsi="Verdana" w:eastAsia="Verdana" w:cs="Verdana"/>
          <w:b w:val="1"/>
          <w:bCs w:val="1"/>
          <w:i w:val="0"/>
          <w:iCs w:val="0"/>
          <w:caps w:val="0"/>
          <w:smallCaps w:val="0"/>
          <w:noProof w:val="0"/>
          <w:color w:val="000000" w:themeColor="text1" w:themeTint="FF" w:themeShade="FF"/>
          <w:sz w:val="18"/>
          <w:szCs w:val="18"/>
          <w:lang w:val="en-US"/>
        </w:rPr>
        <w:t>Appendix</w:t>
      </w:r>
    </w:p>
    <w:p w:rsidR="53A6100C" w:rsidP="295D06E8" w:rsidRDefault="53A6100C" w14:paraId="2E939C0C" w14:textId="4D2059BE">
      <w:pPr>
        <w:spacing w:before="240" w:beforeAutospacing="off" w:after="240" w:afterAutospacing="off"/>
        <w:ind/>
        <w:jc w:val="both"/>
        <w:rPr>
          <w:rFonts w:ascii="Verdana" w:hAnsi="Verdana" w:eastAsia="Verdana" w:cs="Verdana"/>
          <w:b w:val="1"/>
          <w:bCs w:val="1"/>
          <w:noProof w:val="0"/>
          <w:sz w:val="18"/>
          <w:szCs w:val="18"/>
          <w:lang w:val="en-US"/>
        </w:rPr>
      </w:pPr>
      <w:r w:rsidRPr="295D06E8" w:rsidR="728A3CC4">
        <w:rPr>
          <w:rFonts w:ascii="Verdana" w:hAnsi="Verdana" w:eastAsia="Verdana" w:cs="Verdana"/>
          <w:b w:val="1"/>
          <w:bCs w:val="1"/>
          <w:noProof w:val="0"/>
          <w:sz w:val="18"/>
          <w:szCs w:val="18"/>
          <w:lang w:val="en-US"/>
        </w:rPr>
        <w:t>Table</w:t>
      </w:r>
      <w:r w:rsidRPr="295D06E8" w:rsidR="033C4494">
        <w:rPr>
          <w:rFonts w:ascii="Verdana" w:hAnsi="Verdana" w:eastAsia="Verdana" w:cs="Verdana"/>
          <w:b w:val="1"/>
          <w:bCs w:val="1"/>
          <w:noProof w:val="0"/>
          <w:sz w:val="18"/>
          <w:szCs w:val="18"/>
          <w:lang w:val="en-US"/>
        </w:rPr>
        <w:t xml:space="preserve"> 1.</w:t>
      </w:r>
      <w:r w:rsidRPr="295D06E8" w:rsidR="728A3CC4">
        <w:rPr>
          <w:rFonts w:ascii="Verdana" w:hAnsi="Verdana" w:eastAsia="Verdana" w:cs="Verdana"/>
          <w:b w:val="1"/>
          <w:bCs w:val="1"/>
          <w:noProof w:val="0"/>
          <w:sz w:val="18"/>
          <w:szCs w:val="18"/>
          <w:lang w:val="en-US"/>
        </w:rPr>
        <w:t xml:space="preserve"> </w:t>
      </w:r>
      <w:r w:rsidRPr="295D06E8" w:rsidR="68BF142A">
        <w:rPr>
          <w:rFonts w:ascii="Verdana" w:hAnsi="Verdana" w:eastAsia="Verdana" w:cs="Verdana"/>
          <w:b w:val="1"/>
          <w:bCs w:val="1"/>
          <w:noProof w:val="0"/>
          <w:sz w:val="18"/>
          <w:szCs w:val="18"/>
          <w:lang w:val="en-US"/>
        </w:rPr>
        <w:t>Synthesis Matrix</w:t>
      </w:r>
    </w:p>
    <w:tbl>
      <w:tblPr>
        <w:tblStyle w:val="TableNormal"/>
        <w:bidiVisual w:val="0"/>
        <w:tblW w:w="11292" w:type="dxa"/>
        <w:tblInd w:w="-930" w:type="dxa"/>
        <w:tblBorders>
          <w:top w:val="single" w:sz="6"/>
          <w:left w:val="single" w:sz="6"/>
          <w:bottom w:val="single" w:sz="6"/>
          <w:right w:val="single" w:sz="6"/>
        </w:tblBorders>
        <w:tblLook w:val="0600" w:firstRow="0" w:lastRow="0" w:firstColumn="0" w:lastColumn="0" w:noHBand="1" w:noVBand="1"/>
      </w:tblPr>
      <w:tblGrid>
        <w:gridCol w:w="1775"/>
        <w:gridCol w:w="2100"/>
        <w:gridCol w:w="2149"/>
        <w:gridCol w:w="2364"/>
        <w:gridCol w:w="2904"/>
      </w:tblGrid>
      <w:tr w:rsidR="0B4C0DD6" w:rsidTr="4B341F6F" w14:paraId="5603F1FE">
        <w:trPr>
          <w:trHeight w:val="345"/>
        </w:trPr>
        <w:tc>
          <w:tcPr>
            <w:tcW w:w="177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5009B4A8" w14:textId="2C4D9547">
            <w:pPr>
              <w:pStyle w:val="NormalWeb"/>
              <w:spacing w:before="0" w:beforeAutospacing="off" w:after="0" w:afterAutospacing="off" w:line="243" w:lineRule="exact"/>
              <w:rPr>
                <w:rFonts w:ascii="Verdana" w:hAnsi="Verdana" w:eastAsia="Verdana" w:cs="Verdana"/>
                <w:b w:val="0"/>
                <w:bCs w:val="0"/>
                <w:i w:val="0"/>
                <w:iCs w:val="0"/>
                <w:color w:val="000000" w:themeColor="text1" w:themeTint="FF" w:themeShade="FF"/>
                <w:sz w:val="18"/>
                <w:szCs w:val="18"/>
              </w:rPr>
            </w:pPr>
            <w:r w:rsidRPr="0B4C0DD6" w:rsidR="0B4C0DD6">
              <w:rPr>
                <w:rFonts w:ascii="Verdana" w:hAnsi="Verdana" w:eastAsia="Verdana" w:cs="Verdana"/>
                <w:b w:val="0"/>
                <w:bCs w:val="0"/>
                <w:i w:val="0"/>
                <w:iCs w:val="0"/>
                <w:color w:val="000000" w:themeColor="text1" w:themeTint="FF" w:themeShade="FF"/>
                <w:sz w:val="18"/>
                <w:szCs w:val="18"/>
                <w:lang w:val="en-US"/>
              </w:rPr>
              <w:t>Criteria </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3ACCFCAE" w14:textId="481F7A0B">
            <w:pPr>
              <w:spacing w:before="0" w:beforeAutospacing="off" w:after="0" w:afterAutospacing="off"/>
              <w:rPr>
                <w:rFonts w:ascii="Verdana" w:hAnsi="Verdana" w:eastAsia="Verdana" w:cs="Verdana"/>
                <w:b w:val="1"/>
                <w:bCs w:val="1"/>
                <w:sz w:val="18"/>
                <w:szCs w:val="18"/>
              </w:rPr>
            </w:pPr>
            <w:r w:rsidRPr="0B4C0DD6" w:rsidR="0B4C0DD6">
              <w:rPr>
                <w:rFonts w:ascii="Verdana" w:hAnsi="Verdana" w:eastAsia="Verdana" w:cs="Verdana"/>
                <w:b w:val="1"/>
                <w:bCs w:val="1"/>
                <w:sz w:val="18"/>
                <w:szCs w:val="18"/>
              </w:rPr>
              <w:t>Arunasalam et al. (2024)</w:t>
            </w:r>
          </w:p>
        </w:tc>
        <w:tc>
          <w:tcPr>
            <w:tcW w:w="2149"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67CCD59E" w14:textId="65C71BE2">
            <w:pPr>
              <w:spacing w:before="0" w:beforeAutospacing="off" w:after="0" w:afterAutospacing="off"/>
              <w:rPr>
                <w:rFonts w:ascii="Verdana" w:hAnsi="Verdana" w:eastAsia="Verdana" w:cs="Verdana"/>
                <w:b w:val="1"/>
                <w:bCs w:val="1"/>
                <w:sz w:val="18"/>
                <w:szCs w:val="18"/>
              </w:rPr>
            </w:pPr>
            <w:r w:rsidRPr="0B4C0DD6" w:rsidR="0B4C0DD6">
              <w:rPr>
                <w:rFonts w:ascii="Verdana" w:hAnsi="Verdana" w:eastAsia="Verdana" w:cs="Verdana"/>
                <w:b w:val="1"/>
                <w:bCs w:val="1"/>
                <w:sz w:val="18"/>
                <w:szCs w:val="18"/>
              </w:rPr>
              <w:t>Klang et al. (2026)</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52692643" w14:textId="470A9E02">
            <w:pPr>
              <w:spacing w:before="0" w:beforeAutospacing="off" w:after="0" w:afterAutospacing="off"/>
              <w:rPr>
                <w:rFonts w:ascii="Verdana" w:hAnsi="Verdana" w:eastAsia="Verdana" w:cs="Verdana"/>
                <w:b w:val="1"/>
                <w:bCs w:val="1"/>
                <w:sz w:val="18"/>
                <w:szCs w:val="18"/>
              </w:rPr>
            </w:pPr>
            <w:r w:rsidRPr="0B4C0DD6" w:rsidR="0B4C0DD6">
              <w:rPr>
                <w:rFonts w:ascii="Verdana" w:hAnsi="Verdana" w:eastAsia="Verdana" w:cs="Verdana"/>
                <w:b w:val="1"/>
                <w:bCs w:val="1"/>
                <w:sz w:val="18"/>
                <w:szCs w:val="18"/>
              </w:rPr>
              <w:t>Elgammal et al. (2025)</w:t>
            </w:r>
          </w:p>
        </w:tc>
        <w:tc>
          <w:tcPr>
            <w:tcW w:w="2904"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19381C47" w:rsidP="4B341F6F" w:rsidRDefault="19381C47" w14:paraId="75F43B11" w14:textId="1A81C070">
            <w:pPr>
              <w:pStyle w:val="Normal"/>
              <w:bidi w:val="0"/>
              <w:spacing w:line="240" w:lineRule="auto"/>
              <w:jc w:val="left"/>
              <w:rPr>
                <w:rFonts w:ascii="Verdana" w:hAnsi="Verdana" w:eastAsia="Verdana" w:cs="Verdana"/>
                <w:b w:val="1"/>
                <w:bCs w:val="1"/>
                <w:sz w:val="18"/>
                <w:szCs w:val="18"/>
                <w:lang w:val="en-US"/>
              </w:rPr>
            </w:pPr>
            <w:r w:rsidRPr="4B341F6F" w:rsidR="19381C47">
              <w:rPr>
                <w:rFonts w:ascii="Verdana" w:hAnsi="Verdana" w:eastAsia="Verdana" w:cs="Verdana"/>
                <w:b w:val="1"/>
                <w:bCs w:val="1"/>
                <w:sz w:val="18"/>
                <w:szCs w:val="18"/>
                <w:lang w:val="en-US"/>
              </w:rPr>
              <w:t>My Analysis</w:t>
            </w:r>
          </w:p>
        </w:tc>
      </w:tr>
      <w:tr w:rsidR="0B4C0DD6" w:rsidTr="4B341F6F" w14:paraId="07197885">
        <w:trPr>
          <w:trHeight w:val="510"/>
        </w:trPr>
        <w:tc>
          <w:tcPr>
            <w:tcW w:w="177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0E23DBD0" w14:textId="51384B50">
            <w:pPr>
              <w:spacing w:before="0" w:beforeAutospacing="off" w:after="0" w:afterAutospacing="off"/>
              <w:rPr>
                <w:rFonts w:ascii="Verdana" w:hAnsi="Verdana" w:eastAsia="Verdana" w:cs="Verdana"/>
                <w:b w:val="1"/>
                <w:bCs w:val="1"/>
                <w:sz w:val="18"/>
                <w:szCs w:val="18"/>
              </w:rPr>
            </w:pPr>
            <w:r w:rsidRPr="0B4C0DD6" w:rsidR="0B4C0DD6">
              <w:rPr>
                <w:rFonts w:ascii="Verdana" w:hAnsi="Verdana" w:eastAsia="Verdana" w:cs="Verdana"/>
                <w:b w:val="1"/>
                <w:bCs w:val="1"/>
                <w:sz w:val="18"/>
                <w:szCs w:val="18"/>
              </w:rPr>
              <w:t>Criterion 1: Addressing the "Passive System" Gap</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7205688E" w14:textId="05A175A8">
            <w:pPr>
              <w:spacing w:before="0" w:beforeAutospacing="off" w:after="0" w:afterAutospacing="off"/>
              <w:rPr>
                <w:rFonts w:ascii="Verdana" w:hAnsi="Verdana" w:eastAsia="Verdana" w:cs="Verdana"/>
                <w:sz w:val="18"/>
                <w:szCs w:val="18"/>
              </w:rPr>
            </w:pPr>
            <w:r w:rsidRPr="0B4C0DD6" w:rsidR="0B4C0DD6">
              <w:rPr>
                <w:rFonts w:ascii="Verdana" w:hAnsi="Verdana" w:eastAsia="Verdana" w:cs="Verdana"/>
                <w:sz w:val="18"/>
                <w:szCs w:val="18"/>
              </w:rPr>
              <w:t xml:space="preserve">Introduces </w:t>
            </w:r>
            <w:r w:rsidRPr="0B4C0DD6" w:rsidR="0B4C0DD6">
              <w:rPr>
                <w:rFonts w:ascii="Verdana" w:hAnsi="Verdana" w:eastAsia="Verdana" w:cs="Verdana"/>
                <w:b w:val="1"/>
                <w:bCs w:val="1"/>
                <w:sz w:val="18"/>
                <w:szCs w:val="18"/>
              </w:rPr>
              <w:t>MCP-AI</w:t>
            </w:r>
            <w:r w:rsidRPr="0B4C0DD6" w:rsidR="0B4C0DD6">
              <w:rPr>
                <w:rFonts w:ascii="Verdana" w:hAnsi="Verdana" w:eastAsia="Verdana" w:cs="Verdana"/>
                <w:sz w:val="18"/>
                <w:szCs w:val="18"/>
              </w:rPr>
              <w:t xml:space="preserve"> to create "memory objects," shifting EHRs from digital file cabinets to state-aware, longitudinal reasoning engines.</w:t>
            </w:r>
          </w:p>
        </w:tc>
        <w:tc>
          <w:tcPr>
            <w:tcW w:w="2149"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5B6EB2AC" w14:textId="06EF1294">
            <w:pPr>
              <w:spacing w:before="0" w:beforeAutospacing="off" w:after="0" w:afterAutospacing="off"/>
              <w:rPr>
                <w:rFonts w:ascii="Verdana" w:hAnsi="Verdana" w:eastAsia="Verdana" w:cs="Verdana"/>
                <w:sz w:val="18"/>
                <w:szCs w:val="18"/>
              </w:rPr>
            </w:pPr>
            <w:r w:rsidRPr="0B4C0DD6" w:rsidR="0B4C0DD6">
              <w:rPr>
                <w:rFonts w:ascii="Verdana" w:hAnsi="Verdana" w:eastAsia="Verdana" w:cs="Verdana"/>
                <w:sz w:val="18"/>
                <w:szCs w:val="18"/>
              </w:rPr>
              <w:t xml:space="preserve">Proves that a central </w:t>
            </w:r>
            <w:r w:rsidRPr="0B4C0DD6" w:rsidR="0B4C0DD6">
              <w:rPr>
                <w:rFonts w:ascii="Verdana" w:hAnsi="Verdana" w:eastAsia="Verdana" w:cs="Verdana"/>
                <w:b w:val="1"/>
                <w:bCs w:val="1"/>
                <w:sz w:val="18"/>
                <w:szCs w:val="18"/>
              </w:rPr>
              <w:t>orchestrator</w:t>
            </w:r>
            <w:r w:rsidRPr="0B4C0DD6" w:rsidR="0B4C0DD6">
              <w:rPr>
                <w:rFonts w:ascii="Verdana" w:hAnsi="Verdana" w:eastAsia="Verdana" w:cs="Verdana"/>
                <w:sz w:val="18"/>
                <w:szCs w:val="18"/>
              </w:rPr>
              <w:t xml:space="preserve"> can proactively manage clinical "traffic" rather than waiting for manual user prompts.</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61008ACF" w14:textId="72B8CA05">
            <w:pPr>
              <w:spacing w:before="0" w:beforeAutospacing="off" w:after="0" w:afterAutospacing="off"/>
              <w:rPr>
                <w:rFonts w:ascii="Verdana" w:hAnsi="Verdana" w:eastAsia="Verdana" w:cs="Verdana"/>
                <w:sz w:val="18"/>
                <w:szCs w:val="18"/>
              </w:rPr>
            </w:pPr>
            <w:r w:rsidRPr="0B4C0DD6" w:rsidR="0B4C0DD6">
              <w:rPr>
                <w:rFonts w:ascii="Verdana" w:hAnsi="Verdana" w:eastAsia="Verdana" w:cs="Verdana"/>
                <w:sz w:val="18"/>
                <w:szCs w:val="18"/>
              </w:rPr>
              <w:t xml:space="preserve">Introduces </w:t>
            </w:r>
            <w:r w:rsidRPr="0B4C0DD6" w:rsidR="0B4C0DD6">
              <w:rPr>
                <w:rFonts w:ascii="Verdana" w:hAnsi="Verdana" w:eastAsia="Verdana" w:cs="Verdana"/>
                <w:b w:val="1"/>
                <w:bCs w:val="1"/>
                <w:sz w:val="18"/>
                <w:szCs w:val="18"/>
              </w:rPr>
              <w:t>Patient Medical Digital Twins (PMDT)</w:t>
            </w:r>
            <w:r w:rsidRPr="0B4C0DD6" w:rsidR="0B4C0DD6">
              <w:rPr>
                <w:rFonts w:ascii="Verdana" w:hAnsi="Verdana" w:eastAsia="Verdana" w:cs="Verdana"/>
                <w:sz w:val="18"/>
                <w:szCs w:val="18"/>
              </w:rPr>
              <w:t xml:space="preserve"> to enable preventive, prescriptive analytics instead of isolated, organ-specific data snapshots.</w:t>
            </w:r>
          </w:p>
        </w:tc>
        <w:tc>
          <w:tcPr>
            <w:tcW w:w="2904"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4B341F6F" w:rsidP="4B341F6F" w:rsidRDefault="4B341F6F" w14:paraId="6B14BCF0" w14:textId="0FA928ED">
            <w:pPr>
              <w:pStyle w:val="Normal"/>
              <w:suppressLineNumbers w:val="0"/>
              <w:bidi w:val="0"/>
              <w:spacing w:before="0" w:beforeAutospacing="off" w:after="0" w:afterAutospacing="off" w:line="240" w:lineRule="auto"/>
              <w:ind w:left="0" w:right="0"/>
              <w:jc w:val="left"/>
              <w:rPr>
                <w:rFonts w:ascii="Verdana" w:hAnsi="Verdana" w:eastAsia="Verdana" w:cs="Verdana"/>
                <w:sz w:val="18"/>
                <w:szCs w:val="18"/>
                <w:lang w:val="en-US"/>
              </w:rPr>
            </w:pPr>
            <w:r w:rsidRPr="4B341F6F" w:rsidR="4B341F6F">
              <w:rPr>
                <w:rFonts w:ascii="Verdana" w:hAnsi="Verdana" w:eastAsia="Verdana" w:cs="Verdana"/>
                <w:sz w:val="18"/>
                <w:szCs w:val="18"/>
                <w:lang w:val="en-US"/>
              </w:rPr>
              <w:t>My agent bridges this gap by implementing a "push" model. I will build an active reasoning layer that monitors clinical timelines to identify care gaps (e.g., missed labs) in real-time.</w:t>
            </w:r>
          </w:p>
        </w:tc>
      </w:tr>
      <w:tr w:rsidR="0B4C0DD6" w:rsidTr="4B341F6F" w14:paraId="0BA16EB0">
        <w:trPr>
          <w:trHeight w:val="495"/>
        </w:trPr>
        <w:tc>
          <w:tcPr>
            <w:tcW w:w="177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61D50F04" w14:textId="78164E5C">
            <w:pPr>
              <w:spacing w:before="0" w:beforeAutospacing="off" w:after="0" w:afterAutospacing="off"/>
              <w:rPr>
                <w:rFonts w:ascii="Verdana" w:hAnsi="Verdana" w:eastAsia="Verdana" w:cs="Verdana"/>
                <w:b w:val="1"/>
                <w:bCs w:val="1"/>
                <w:sz w:val="18"/>
                <w:szCs w:val="18"/>
              </w:rPr>
            </w:pPr>
            <w:r w:rsidRPr="0B4C0DD6" w:rsidR="0B4C0DD6">
              <w:rPr>
                <w:rFonts w:ascii="Verdana" w:hAnsi="Verdana" w:eastAsia="Verdana" w:cs="Verdana"/>
                <w:b w:val="1"/>
                <w:bCs w:val="1"/>
                <w:sz w:val="18"/>
                <w:szCs w:val="18"/>
              </w:rPr>
              <w:t>Criterion 2: Improving Clinical Scalability/Efficiency</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493C4839" w14:textId="6580D8AD">
            <w:pPr>
              <w:spacing w:before="0" w:beforeAutospacing="off" w:after="0" w:afterAutospacing="off"/>
              <w:rPr>
                <w:rFonts w:ascii="Verdana" w:hAnsi="Verdana" w:eastAsia="Verdana" w:cs="Verdana"/>
                <w:sz w:val="18"/>
                <w:szCs w:val="18"/>
              </w:rPr>
            </w:pPr>
            <w:r w:rsidRPr="0B4C0DD6" w:rsidR="0B4C0DD6">
              <w:rPr>
                <w:rFonts w:ascii="Verdana" w:hAnsi="Verdana" w:eastAsia="Verdana" w:cs="Verdana"/>
                <w:sz w:val="18"/>
                <w:szCs w:val="18"/>
              </w:rPr>
              <w:t>Argues for the automation of uncompensated administrative labor to scale Chronic Care Management (CCM) programs.</w:t>
            </w:r>
          </w:p>
        </w:tc>
        <w:tc>
          <w:tcPr>
            <w:tcW w:w="2149"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68811422" w14:textId="25ABC047">
            <w:pPr>
              <w:spacing w:before="0" w:beforeAutospacing="off" w:after="0" w:afterAutospacing="off"/>
              <w:rPr>
                <w:rFonts w:ascii="Verdana" w:hAnsi="Verdana" w:eastAsia="Verdana" w:cs="Verdana"/>
                <w:sz w:val="18"/>
                <w:szCs w:val="18"/>
              </w:rPr>
            </w:pPr>
            <w:r w:rsidRPr="0B4C0DD6" w:rsidR="0B4C0DD6">
              <w:rPr>
                <w:rFonts w:ascii="Verdana" w:hAnsi="Verdana" w:eastAsia="Verdana" w:cs="Verdana"/>
                <w:sz w:val="18"/>
                <w:szCs w:val="18"/>
              </w:rPr>
              <w:t xml:space="preserve">Demonstrates that orchestrated multi-agent systems use </w:t>
            </w:r>
            <w:r w:rsidRPr="0B4C0DD6" w:rsidR="0B4C0DD6">
              <w:rPr>
                <w:rFonts w:ascii="Verdana" w:hAnsi="Verdana" w:eastAsia="Verdana" w:cs="Verdana"/>
                <w:b w:val="1"/>
                <w:bCs w:val="1"/>
                <w:sz w:val="18"/>
                <w:szCs w:val="18"/>
              </w:rPr>
              <w:t>65x fewer compute resources</w:t>
            </w:r>
            <w:r w:rsidRPr="0B4C0DD6" w:rsidR="0B4C0DD6">
              <w:rPr>
                <w:rFonts w:ascii="Verdana" w:hAnsi="Verdana" w:eastAsia="Verdana" w:cs="Verdana"/>
                <w:sz w:val="18"/>
                <w:szCs w:val="18"/>
              </w:rPr>
              <w:t xml:space="preserve"> and maintain accuracy under clinical-scale workloads.</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391E6ECE" w14:textId="255522D5">
            <w:pPr>
              <w:spacing w:before="0" w:beforeAutospacing="off" w:after="0" w:afterAutospacing="off"/>
              <w:rPr>
                <w:rFonts w:ascii="Verdana" w:hAnsi="Verdana" w:eastAsia="Verdana" w:cs="Verdana"/>
                <w:sz w:val="18"/>
                <w:szCs w:val="18"/>
              </w:rPr>
            </w:pPr>
            <w:r w:rsidRPr="0B4C0DD6" w:rsidR="0B4C0DD6">
              <w:rPr>
                <w:rFonts w:ascii="Verdana" w:hAnsi="Verdana" w:eastAsia="Verdana" w:cs="Verdana"/>
                <w:sz w:val="18"/>
                <w:szCs w:val="18"/>
              </w:rPr>
              <w:t>Features a modular, layered structure (SDA-FEF) intended to provide a foundation for targeted development and high scalability.</w:t>
            </w:r>
          </w:p>
        </w:tc>
        <w:tc>
          <w:tcPr>
            <w:tcW w:w="2904"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4B341F6F" w:rsidP="4B341F6F" w:rsidRDefault="4B341F6F" w14:paraId="2875295B" w14:textId="7DB4F5AF">
            <w:pPr>
              <w:pStyle w:val="Normal"/>
              <w:suppressLineNumbers w:val="0"/>
              <w:bidi w:val="0"/>
              <w:spacing w:before="0" w:beforeAutospacing="off" w:after="0" w:afterAutospacing="off" w:line="240" w:lineRule="auto"/>
              <w:ind w:left="0" w:right="0"/>
              <w:jc w:val="left"/>
              <w:rPr>
                <w:rFonts w:ascii="Verdana" w:hAnsi="Verdana" w:eastAsia="Verdana" w:cs="Verdana"/>
                <w:sz w:val="18"/>
                <w:szCs w:val="18"/>
                <w:lang w:val="en-US"/>
              </w:rPr>
            </w:pPr>
            <w:r w:rsidRPr="4B341F6F" w:rsidR="4B341F6F">
              <w:rPr>
                <w:rFonts w:ascii="Verdana" w:hAnsi="Verdana" w:eastAsia="Verdana" w:cs="Verdana"/>
                <w:sz w:val="18"/>
                <w:szCs w:val="18"/>
                <w:lang w:val="en-US"/>
              </w:rPr>
              <w:t>I will utilize a distributed Multi-Agent System (MAS) architecture to replicate these efficiency gains, allowing the product to scale across thousands of patient trajectories without performance degradation.</w:t>
            </w:r>
          </w:p>
        </w:tc>
      </w:tr>
      <w:tr w:rsidR="0B4C0DD6" w:rsidTr="4B341F6F" w14:paraId="73E53963">
        <w:trPr>
          <w:trHeight w:val="495"/>
        </w:trPr>
        <w:tc>
          <w:tcPr>
            <w:tcW w:w="177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54B42AA9" w14:textId="3D5B13FF">
            <w:pPr>
              <w:spacing w:before="0" w:beforeAutospacing="off" w:after="0" w:afterAutospacing="off"/>
              <w:rPr>
                <w:rFonts w:ascii="Verdana" w:hAnsi="Verdana" w:eastAsia="Verdana" w:cs="Verdana"/>
                <w:b w:val="1"/>
                <w:bCs w:val="1"/>
                <w:sz w:val="18"/>
                <w:szCs w:val="18"/>
              </w:rPr>
            </w:pPr>
            <w:r w:rsidRPr="0B4C0DD6" w:rsidR="0B4C0DD6">
              <w:rPr>
                <w:rFonts w:ascii="Verdana" w:hAnsi="Verdana" w:eastAsia="Verdana" w:cs="Verdana"/>
                <w:b w:val="1"/>
                <w:bCs w:val="1"/>
                <w:sz w:val="18"/>
                <w:szCs w:val="18"/>
              </w:rPr>
              <w:t>Criterion 3: Semantic Interoperability &amp; Logic</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6897AB40" w14:textId="024064D4">
            <w:pPr>
              <w:spacing w:before="0" w:beforeAutospacing="off" w:after="0" w:afterAutospacing="off"/>
              <w:rPr>
                <w:rFonts w:ascii="Verdana" w:hAnsi="Verdana" w:eastAsia="Verdana" w:cs="Verdana"/>
                <w:sz w:val="18"/>
                <w:szCs w:val="18"/>
              </w:rPr>
            </w:pPr>
            <w:r w:rsidRPr="0B4C0DD6" w:rsidR="0B4C0DD6">
              <w:rPr>
                <w:rFonts w:ascii="Verdana" w:hAnsi="Verdana" w:eastAsia="Verdana" w:cs="Verdana"/>
                <w:sz w:val="18"/>
                <w:szCs w:val="18"/>
              </w:rPr>
              <w:t>Positions the Model Context Protocol (MCP) as the "connective tissue" for secure, standardized interactions between LLMs and medical databases.</w:t>
            </w:r>
          </w:p>
        </w:tc>
        <w:tc>
          <w:tcPr>
            <w:tcW w:w="2149"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10A2CFA4" w14:textId="4B28EE37">
            <w:pPr>
              <w:spacing w:before="0" w:beforeAutospacing="off" w:after="0" w:afterAutospacing="off"/>
              <w:rPr>
                <w:rFonts w:ascii="Verdana" w:hAnsi="Verdana" w:eastAsia="Verdana" w:cs="Verdana"/>
                <w:sz w:val="18"/>
                <w:szCs w:val="18"/>
              </w:rPr>
            </w:pPr>
            <w:r w:rsidRPr="295D06E8" w:rsidR="366C1814">
              <w:rPr>
                <w:rFonts w:ascii="Verdana" w:hAnsi="Verdana" w:eastAsia="Verdana" w:cs="Verdana"/>
                <w:sz w:val="18"/>
                <w:szCs w:val="18"/>
              </w:rPr>
              <w:t>Identifies</w:t>
            </w:r>
            <w:r w:rsidRPr="295D06E8" w:rsidR="366C1814">
              <w:rPr>
                <w:rFonts w:ascii="Verdana" w:hAnsi="Verdana" w:eastAsia="Verdana" w:cs="Verdana"/>
                <w:sz w:val="18"/>
                <w:szCs w:val="18"/>
              </w:rPr>
              <w:t xml:space="preserve"> </w:t>
            </w:r>
            <w:r w:rsidRPr="295D06E8" w:rsidR="3B0A8411">
              <w:rPr>
                <w:rFonts w:ascii="Verdana" w:hAnsi="Verdana" w:eastAsia="Verdana" w:cs="Verdana"/>
                <w:sz w:val="18"/>
                <w:szCs w:val="18"/>
              </w:rPr>
              <w:t>that specialized agent</w:t>
            </w:r>
            <w:r w:rsidRPr="295D06E8" w:rsidR="366C1814">
              <w:rPr>
                <w:rFonts w:ascii="Verdana" w:hAnsi="Verdana" w:eastAsia="Verdana" w:cs="Verdana"/>
                <w:sz w:val="18"/>
                <w:szCs w:val="18"/>
              </w:rPr>
              <w:t xml:space="preserve"> (focused on finding info vs. extracting data) </w:t>
            </w:r>
            <w:r w:rsidRPr="295D06E8" w:rsidR="4BA74E18">
              <w:rPr>
                <w:rFonts w:ascii="Verdana" w:hAnsi="Verdana" w:eastAsia="Verdana" w:cs="Verdana"/>
                <w:sz w:val="18"/>
                <w:szCs w:val="18"/>
              </w:rPr>
              <w:t>to prevent</w:t>
            </w:r>
            <w:r w:rsidRPr="295D06E8" w:rsidR="366C1814">
              <w:rPr>
                <w:rFonts w:ascii="Verdana" w:hAnsi="Verdana" w:eastAsia="Verdana" w:cs="Verdana"/>
                <w:sz w:val="18"/>
                <w:szCs w:val="18"/>
              </w:rPr>
              <w:t xml:space="preserve"> logic breakdown during heavy simultaneous tasks.</w:t>
            </w:r>
          </w:p>
        </w:tc>
        <w:tc>
          <w:tcPr>
            <w:tcW w:w="2364"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0B4C0DD6" w:rsidP="0B4C0DD6" w:rsidRDefault="0B4C0DD6" w14:paraId="7F44ACCD" w14:textId="63D0761F">
            <w:pPr>
              <w:spacing w:before="0" w:beforeAutospacing="off" w:after="0" w:afterAutospacing="off"/>
              <w:rPr>
                <w:rFonts w:ascii="Verdana" w:hAnsi="Verdana" w:eastAsia="Verdana" w:cs="Verdana"/>
                <w:sz w:val="18"/>
                <w:szCs w:val="18"/>
              </w:rPr>
            </w:pPr>
            <w:r w:rsidRPr="0B4C0DD6" w:rsidR="0B4C0DD6">
              <w:rPr>
                <w:rFonts w:ascii="Verdana" w:hAnsi="Verdana" w:eastAsia="Verdana" w:cs="Verdana"/>
                <w:sz w:val="18"/>
                <w:szCs w:val="18"/>
              </w:rPr>
              <w:t xml:space="preserve">Utilizes </w:t>
            </w:r>
            <w:r w:rsidRPr="0B4C0DD6" w:rsidR="0B4C0DD6">
              <w:rPr>
                <w:rFonts w:ascii="Verdana" w:hAnsi="Verdana" w:eastAsia="Verdana" w:cs="Verdana"/>
                <w:b w:val="1"/>
                <w:bCs w:val="1"/>
                <w:sz w:val="18"/>
                <w:szCs w:val="18"/>
              </w:rPr>
              <w:t>OWL 2.0</w:t>
            </w:r>
            <w:r w:rsidRPr="0B4C0DD6" w:rsidR="0B4C0DD6">
              <w:rPr>
                <w:rFonts w:ascii="Verdana" w:hAnsi="Verdana" w:eastAsia="Verdana" w:cs="Verdana"/>
                <w:sz w:val="18"/>
                <w:szCs w:val="18"/>
              </w:rPr>
              <w:t xml:space="preserve"> and </w:t>
            </w:r>
            <w:r w:rsidRPr="0B4C0DD6" w:rsidR="0B4C0DD6">
              <w:rPr>
                <w:rFonts w:ascii="Verdana" w:hAnsi="Verdana" w:eastAsia="Verdana" w:cs="Verdana"/>
                <w:b w:val="1"/>
                <w:bCs w:val="1"/>
                <w:sz w:val="18"/>
                <w:szCs w:val="18"/>
              </w:rPr>
              <w:t>Basic Formal Ontology (BFO)</w:t>
            </w:r>
            <w:r w:rsidRPr="0B4C0DD6" w:rsidR="0B4C0DD6">
              <w:rPr>
                <w:rFonts w:ascii="Verdana" w:hAnsi="Verdana" w:eastAsia="Verdana" w:cs="Verdana"/>
                <w:sz w:val="18"/>
                <w:szCs w:val="18"/>
              </w:rPr>
              <w:t xml:space="preserve"> to unify multimodal data (genomic, behavioral, physiological) into a coherent model.</w:t>
            </w:r>
          </w:p>
        </w:tc>
        <w:tc>
          <w:tcPr>
            <w:tcW w:w="2904"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4B341F6F" w:rsidP="4B341F6F" w:rsidRDefault="4B341F6F" w14:paraId="04D8E9E3" w14:textId="444CE7C2">
            <w:pPr>
              <w:pStyle w:val="Normal"/>
              <w:suppressLineNumbers w:val="0"/>
              <w:bidi w:val="0"/>
              <w:spacing w:before="0" w:beforeAutospacing="off" w:after="0" w:afterAutospacing="off" w:line="240" w:lineRule="auto"/>
              <w:ind w:left="0" w:right="0"/>
              <w:jc w:val="left"/>
              <w:rPr>
                <w:rFonts w:ascii="Verdana" w:hAnsi="Verdana" w:eastAsia="Verdana" w:cs="Verdana"/>
                <w:sz w:val="18"/>
                <w:szCs w:val="18"/>
                <w:lang w:val="en-US"/>
              </w:rPr>
            </w:pPr>
            <w:r w:rsidRPr="4B341F6F" w:rsidR="4B341F6F">
              <w:rPr>
                <w:rFonts w:ascii="Verdana" w:hAnsi="Verdana" w:eastAsia="Verdana" w:cs="Verdana"/>
                <w:sz w:val="18"/>
                <w:szCs w:val="18"/>
                <w:lang w:val="en-US"/>
              </w:rPr>
              <w:t>I will implement the PMDT framework to ensure my agent's logic is grounded in standardized ontologies. This resolves the "Note2FHIR" accuracy gap by mapping unstructured text to validated medical codes.</w:t>
            </w:r>
          </w:p>
        </w:tc>
      </w:tr>
    </w:tbl>
    <w:p w:rsidR="3900FC09" w:rsidP="295D06E8" w:rsidRDefault="3900FC09" w14:paraId="50DD1CD4" w14:textId="31E0A75D">
      <w:pPr>
        <w:spacing w:before="240" w:beforeAutospacing="off" w:after="240" w:afterAutospacing="off"/>
        <w:jc w:val="both"/>
        <w:rPr>
          <w:rFonts w:ascii="Verdana" w:hAnsi="Verdana" w:eastAsia="Verdana" w:cs="Verdana"/>
          <w:b w:val="1"/>
          <w:bCs w:val="1"/>
          <w:noProof w:val="0"/>
          <w:sz w:val="18"/>
          <w:szCs w:val="18"/>
          <w:lang w:val="en-US"/>
        </w:rPr>
      </w:pPr>
      <w:r w:rsidRPr="295D06E8" w:rsidR="3900FC09">
        <w:rPr>
          <w:rFonts w:ascii="Verdana" w:hAnsi="Verdana" w:eastAsia="Verdana" w:cs="Verdana"/>
          <w:b w:val="1"/>
          <w:bCs w:val="1"/>
          <w:noProof w:val="0"/>
          <w:sz w:val="18"/>
          <w:szCs w:val="18"/>
          <w:lang w:val="en-US"/>
        </w:rPr>
        <w:t xml:space="preserve">Table 2. Feature </w:t>
      </w:r>
      <w:r w:rsidRPr="295D06E8" w:rsidR="4A0BA60B">
        <w:rPr>
          <w:rFonts w:ascii="Verdana" w:hAnsi="Verdana" w:eastAsia="Verdana" w:cs="Verdana"/>
          <w:b w:val="1"/>
          <w:bCs w:val="1"/>
          <w:noProof w:val="0"/>
          <w:sz w:val="18"/>
          <w:szCs w:val="18"/>
          <w:lang w:val="en-US"/>
        </w:rPr>
        <w:t>List (</w:t>
      </w:r>
      <w:r w:rsidRPr="295D06E8" w:rsidR="4A0BA60B">
        <w:rPr>
          <w:rFonts w:ascii="Verdana" w:hAnsi="Verdana" w:eastAsia="Verdana" w:cs="Verdana"/>
          <w:b w:val="1"/>
          <w:bCs w:val="1"/>
          <w:noProof w:val="0"/>
          <w:sz w:val="18"/>
          <w:szCs w:val="18"/>
          <w:lang w:val="en-US"/>
        </w:rPr>
        <w:t>current vs future)</w:t>
      </w:r>
    </w:p>
    <w:tbl>
      <w:tblPr>
        <w:tblStyle w:val="TableNormal"/>
        <w:bidiVisual w:val="0"/>
        <w:tblW w:w="0" w:type="auto"/>
        <w:tblInd w:w="-930" w:type="dxa"/>
        <w:tblBorders>
          <w:top w:val="single" w:sz="6"/>
          <w:left w:val="single" w:sz="6"/>
          <w:bottom w:val="single" w:sz="6"/>
          <w:right w:val="single" w:sz="6"/>
        </w:tblBorders>
        <w:tblLook w:val="0600" w:firstRow="0" w:lastRow="0" w:firstColumn="0" w:lastColumn="0" w:noHBand="1" w:noVBand="1"/>
      </w:tblPr>
      <w:tblGrid>
        <w:gridCol w:w="2685"/>
        <w:gridCol w:w="2865"/>
        <w:gridCol w:w="2850"/>
        <w:gridCol w:w="2895"/>
      </w:tblGrid>
      <w:tr w:rsidR="295D06E8" w:rsidTr="295D06E8" w14:paraId="4A884660">
        <w:trPr>
          <w:trHeight w:val="345"/>
        </w:trPr>
        <w:tc>
          <w:tcPr>
            <w:tcW w:w="268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4AC41B16" w14:textId="314F6E98">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Feature Category</w:t>
            </w:r>
          </w:p>
        </w:tc>
        <w:tc>
          <w:tcPr>
            <w:tcW w:w="286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4829B350" w14:textId="104DC36F">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Legacy EHR/CCM (Baseline)</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0BAC0EE7" w14:textId="7E8A45FB">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Proposed Coordination Agent (Current Build)</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253BD8A0" w14:textId="011A6C5E">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Future State Roadmap (Post-Capstone)</w:t>
            </w:r>
          </w:p>
        </w:tc>
      </w:tr>
      <w:tr w:rsidR="295D06E8" w:rsidTr="295D06E8" w14:paraId="13D9F96E">
        <w:trPr>
          <w:trHeight w:val="510"/>
        </w:trPr>
        <w:tc>
          <w:tcPr>
            <w:tcW w:w="268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30D71D2D" w14:textId="5076281A">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System State</w:t>
            </w:r>
          </w:p>
        </w:tc>
        <w:tc>
          <w:tcPr>
            <w:tcW w:w="286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6CF071C8" w14:textId="4FED166D">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Passive/Stateless: Acts as a digital filing cabinet requiring manual lookups.</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6E9855CC" w14:textId="46217B0D">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 xml:space="preserve">Active/State-Aware: </w:t>
            </w:r>
            <w:r w:rsidRPr="295D06E8" w:rsidR="295D06E8">
              <w:rPr>
                <w:rFonts w:ascii="Verdana" w:hAnsi="Verdana" w:eastAsia="Verdana" w:cs="Verdana"/>
                <w:b w:val="0"/>
                <w:bCs w:val="0"/>
                <w:i w:val="0"/>
                <w:iCs w:val="0"/>
                <w:color w:val="000000" w:themeColor="text1" w:themeTint="FF" w:themeShade="FF"/>
                <w:sz w:val="18"/>
                <w:szCs w:val="18"/>
              </w:rPr>
              <w:t>Maintains</w:t>
            </w:r>
            <w:r w:rsidRPr="295D06E8" w:rsidR="295D06E8">
              <w:rPr>
                <w:rFonts w:ascii="Verdana" w:hAnsi="Verdana" w:eastAsia="Verdana" w:cs="Verdana"/>
                <w:b w:val="0"/>
                <w:bCs w:val="0"/>
                <w:i w:val="0"/>
                <w:iCs w:val="0"/>
                <w:color w:val="000000" w:themeColor="text1" w:themeTint="FF" w:themeShade="FF"/>
                <w:sz w:val="18"/>
                <w:szCs w:val="18"/>
              </w:rPr>
              <w:t xml:space="preserve"> a "memory object" via MCP-AI to preserve longitudinal context.</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77D9B8E8" w14:textId="0B12D668">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Predictive/Prescriptive: Uses Digital Twins to simulate disease progression over time.</w:t>
            </w:r>
          </w:p>
        </w:tc>
      </w:tr>
      <w:tr w:rsidR="295D06E8" w:rsidTr="295D06E8" w14:paraId="68768EB4">
        <w:trPr>
          <w:trHeight w:val="495"/>
        </w:trPr>
        <w:tc>
          <w:tcPr>
            <w:tcW w:w="268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03E2222D" w14:textId="3B27A6A4">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Data Interaction</w:t>
            </w:r>
          </w:p>
        </w:tc>
        <w:tc>
          <w:tcPr>
            <w:tcW w:w="286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4168AB5A" w14:textId="1DEB4591">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Manual Retrieval: Clinicians must proactively query the system for updates.</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44EF9DB2" w14:textId="22FFD3BC">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Proactive Nudging: Automatically detects care gaps and alerts providers in real-time.</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62628AFB" w14:textId="339A602F">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Autonomous Negotiation: Agents negotiate with pharmacy and insurance APIs for prior-auth and refills.</w:t>
            </w:r>
          </w:p>
        </w:tc>
      </w:tr>
      <w:tr w:rsidR="295D06E8" w:rsidTr="295D06E8" w14:paraId="1A64E53E">
        <w:trPr>
          <w:trHeight w:val="495"/>
        </w:trPr>
        <w:tc>
          <w:tcPr>
            <w:tcW w:w="268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4B4BB1E7" w14:textId="0E749D2D">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Architecture</w:t>
            </w:r>
          </w:p>
        </w:tc>
        <w:tc>
          <w:tcPr>
            <w:tcW w:w="286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35FA5065" w14:textId="3DA7FA70">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Monolithic: Single system handles all tasks; accuracy drops under high workloads.</w:t>
            </w:r>
          </w:p>
        </w:tc>
        <w:tc>
          <w:tcPr>
            <w:tcW w:w="2850"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430C393B" w14:textId="60211344">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Orchestrated MAS: Work is divided among specialized agents, improving efficiency by 65x.</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30" w:type="dxa"/>
              <w:left w:w="60" w:type="dxa"/>
              <w:bottom w:w="30" w:type="dxa"/>
              <w:right w:w="60" w:type="dxa"/>
            </w:tcMar>
            <w:vAlign w:val="top"/>
          </w:tcPr>
          <w:p w:rsidR="295D06E8" w:rsidP="295D06E8" w:rsidRDefault="295D06E8" w14:paraId="27FC8EEC" w14:textId="4AD92586">
            <w:pPr>
              <w:pStyle w:val="NormalWeb"/>
              <w:suppressLineNumbers w:val="0"/>
              <w:bidi w:val="0"/>
              <w:spacing w:before="0" w:beforeAutospacing="off" w:after="0" w:afterAutospacing="off" w:line="243" w:lineRule="exact"/>
              <w:ind w:left="0" w:right="0"/>
              <w:jc w:val="left"/>
              <w:rPr>
                <w:rFonts w:ascii="Verdana" w:hAnsi="Verdana" w:eastAsia="Verdana" w:cs="Verdana"/>
                <w:b w:val="0"/>
                <w:bCs w:val="0"/>
                <w:i w:val="0"/>
                <w:iCs w:val="0"/>
                <w:color w:val="000000" w:themeColor="text1" w:themeTint="FF" w:themeShade="FF"/>
                <w:sz w:val="18"/>
                <w:szCs w:val="18"/>
              </w:rPr>
            </w:pPr>
            <w:r w:rsidRPr="295D06E8" w:rsidR="295D06E8">
              <w:rPr>
                <w:rFonts w:ascii="Verdana" w:hAnsi="Verdana" w:eastAsia="Verdana" w:cs="Verdana"/>
                <w:b w:val="0"/>
                <w:bCs w:val="0"/>
                <w:i w:val="0"/>
                <w:iCs w:val="0"/>
                <w:color w:val="000000" w:themeColor="text1" w:themeTint="FF" w:themeShade="FF"/>
                <w:sz w:val="18"/>
                <w:szCs w:val="18"/>
              </w:rPr>
              <w:t>Swarm Intelligence: Multi-agent swarms handle complex, cross-departmental coordination.</w:t>
            </w:r>
          </w:p>
        </w:tc>
      </w:tr>
    </w:tbl>
    <w:p w:rsidR="53A6100C" w:rsidP="0B4C0DD6" w:rsidRDefault="53A6100C" w14:paraId="3926C0BF" w14:textId="10B5FC35">
      <w:pPr>
        <w:pStyle w:val="Normal"/>
        <w:bidi w:val="0"/>
        <w:spacing w:before="120" w:beforeAutospacing="off" w:after="240" w:afterAutospacing="off"/>
        <w:ind w:left="4392" w:hanging="0"/>
        <w:jc w:val="both"/>
        <w:rPr>
          <w:rFonts w:ascii="Verdana" w:hAnsi="Verdana" w:eastAsia="Verdana" w:cs="Verdana"/>
          <w:b w:val="0"/>
          <w:bCs w:val="0"/>
          <w:i w:val="0"/>
          <w:iCs w:val="0"/>
          <w:caps w:val="0"/>
          <w:smallCaps w:val="0"/>
          <w:noProof w:val="0"/>
          <w:color w:val="000000" w:themeColor="text1" w:themeTint="FF" w:themeShade="FF"/>
          <w:sz w:val="18"/>
          <w:szCs w:val="18"/>
          <w:lang w:val="en-US"/>
        </w:rPr>
      </w:pPr>
    </w:p>
    <w:p w:rsidR="00062655" w:rsidP="2C3C5A6C" w:rsidRDefault="00062655" w14:paraId="01130634" w14:textId="16AD9D49">
      <w:pPr>
        <w:spacing w:before="0" w:beforeAutospacing="off" w:after="0" w:afterAutospacing="off"/>
        <w:ind w:left="720" w:right="0" w:hanging="720"/>
        <w:jc w:val="both"/>
        <w:rPr>
          <w:rFonts w:ascii="Verdana" w:hAnsi="Verdana" w:eastAsia="Verdana" w:cs="Verdana"/>
          <w:b w:val="0"/>
          <w:bCs w:val="0"/>
          <w:noProof w:val="0"/>
          <w:sz w:val="18"/>
          <w:szCs w:val="18"/>
          <w:lang w:val="en-US"/>
        </w:rPr>
      </w:pPr>
    </w:p>
    <w:p w:rsidR="00062655" w:rsidP="2C3C5A6C" w:rsidRDefault="00062655" w14:paraId="4CB01B61" w14:textId="2049F28F">
      <w:pPr>
        <w:jc w:val="both"/>
        <w:rPr>
          <w:rFonts w:ascii="Verdana" w:hAnsi="Verdana" w:eastAsia="Verdana" w:cs="Verdana"/>
          <w:sz w:val="18"/>
          <w:szCs w:val="18"/>
        </w:rPr>
      </w:pPr>
    </w:p>
    <w:sectPr w:rsidR="00062655" w:rsidSect="00062655">
      <w:type w:val="continuous"/>
      <w:pgSz w:w="12240" w:h="15840" w:orient="portrait"/>
      <w:pgMar w:top="1440" w:right="1440" w:bottom="1440" w:left="1440" w:header="720" w:footer="720" w:gutter="0"/>
      <w:cols w:space="720" w:num="2"/>
      <w:docGrid w:linePitch="360"/>
      <w:headerReference w:type="default" r:id="Red74bb90d41b4be3"/>
      <w:footerReference w:type="default" r:id="R91a59f54726a424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B4C0DD6" w:rsidTr="0B4C0DD6" w14:paraId="275F6FD3">
      <w:trPr>
        <w:trHeight w:val="300"/>
      </w:trPr>
      <w:tc>
        <w:tcPr>
          <w:tcW w:w="3120" w:type="dxa"/>
          <w:tcMar/>
        </w:tcPr>
        <w:p w:rsidR="0B4C0DD6" w:rsidP="0B4C0DD6" w:rsidRDefault="0B4C0DD6" w14:paraId="35178BD8" w14:textId="0ED45BE7">
          <w:pPr>
            <w:pStyle w:val="Header"/>
            <w:bidi w:val="0"/>
            <w:ind w:left="-115"/>
            <w:jc w:val="left"/>
          </w:pPr>
        </w:p>
      </w:tc>
      <w:tc>
        <w:tcPr>
          <w:tcW w:w="3120" w:type="dxa"/>
          <w:tcMar/>
        </w:tcPr>
        <w:p w:rsidR="0B4C0DD6" w:rsidP="0B4C0DD6" w:rsidRDefault="0B4C0DD6" w14:paraId="61008386" w14:textId="037582AE">
          <w:pPr>
            <w:pStyle w:val="Header"/>
            <w:bidi w:val="0"/>
            <w:jc w:val="center"/>
          </w:pPr>
        </w:p>
      </w:tc>
      <w:tc>
        <w:tcPr>
          <w:tcW w:w="3120" w:type="dxa"/>
          <w:tcMar/>
        </w:tcPr>
        <w:p w:rsidR="0B4C0DD6" w:rsidP="0B4C0DD6" w:rsidRDefault="0B4C0DD6" w14:paraId="6355B65D" w14:textId="4BC13D3B">
          <w:pPr>
            <w:pStyle w:val="Header"/>
            <w:bidi w:val="0"/>
            <w:ind w:right="-115"/>
            <w:jc w:val="right"/>
          </w:pPr>
        </w:p>
      </w:tc>
    </w:tr>
  </w:tbl>
  <w:p w:rsidR="0B4C0DD6" w:rsidP="0B4C0DD6" w:rsidRDefault="0B4C0DD6" w14:paraId="26B0D162" w14:textId="0F4B4F69">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B4C0DD6" w:rsidTr="0B4C0DD6" w14:paraId="5496B30B">
      <w:trPr>
        <w:trHeight w:val="300"/>
      </w:trPr>
      <w:tc>
        <w:tcPr>
          <w:tcW w:w="3120" w:type="dxa"/>
          <w:tcMar/>
        </w:tcPr>
        <w:p w:rsidR="0B4C0DD6" w:rsidP="0B4C0DD6" w:rsidRDefault="0B4C0DD6" w14:paraId="5BF08776" w14:textId="5DA848F3">
          <w:pPr>
            <w:pStyle w:val="Header"/>
            <w:bidi w:val="0"/>
            <w:ind w:left="-115"/>
            <w:jc w:val="left"/>
          </w:pPr>
        </w:p>
      </w:tc>
      <w:tc>
        <w:tcPr>
          <w:tcW w:w="3120" w:type="dxa"/>
          <w:tcMar/>
        </w:tcPr>
        <w:p w:rsidR="0B4C0DD6" w:rsidP="0B4C0DD6" w:rsidRDefault="0B4C0DD6" w14:paraId="4953BDA9" w14:textId="0CBE4FF5">
          <w:pPr>
            <w:pStyle w:val="Header"/>
            <w:bidi w:val="0"/>
            <w:jc w:val="center"/>
          </w:pPr>
        </w:p>
      </w:tc>
      <w:tc>
        <w:tcPr>
          <w:tcW w:w="3120" w:type="dxa"/>
          <w:tcMar/>
        </w:tcPr>
        <w:p w:rsidR="0B4C0DD6" w:rsidP="0B4C0DD6" w:rsidRDefault="0B4C0DD6" w14:paraId="4F24CA21" w14:textId="73320C1E">
          <w:pPr>
            <w:pStyle w:val="Header"/>
            <w:bidi w:val="0"/>
            <w:ind w:right="-115"/>
            <w:jc w:val="right"/>
          </w:pPr>
        </w:p>
      </w:tc>
    </w:tr>
  </w:tbl>
  <w:p w:rsidR="0B4C0DD6" w:rsidP="0B4C0DD6" w:rsidRDefault="0B4C0DD6" w14:paraId="7756FC27" w14:textId="053D092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B4C0DD6" w:rsidTr="0B4C0DD6" w14:paraId="5148B15D">
      <w:trPr>
        <w:trHeight w:val="300"/>
      </w:trPr>
      <w:tc>
        <w:tcPr>
          <w:tcW w:w="3120" w:type="dxa"/>
          <w:tcMar/>
        </w:tcPr>
        <w:p w:rsidR="0B4C0DD6" w:rsidP="0B4C0DD6" w:rsidRDefault="0B4C0DD6" w14:paraId="24B6ACEE" w14:textId="0C1DE69D">
          <w:pPr>
            <w:pStyle w:val="Header"/>
            <w:bidi w:val="0"/>
            <w:ind w:left="-115"/>
            <w:jc w:val="left"/>
          </w:pPr>
        </w:p>
      </w:tc>
      <w:tc>
        <w:tcPr>
          <w:tcW w:w="3120" w:type="dxa"/>
          <w:tcMar/>
        </w:tcPr>
        <w:p w:rsidR="0B4C0DD6" w:rsidP="0B4C0DD6" w:rsidRDefault="0B4C0DD6" w14:paraId="082C00D8" w14:textId="127D3B5A">
          <w:pPr>
            <w:pStyle w:val="Header"/>
            <w:bidi w:val="0"/>
            <w:jc w:val="center"/>
          </w:pPr>
        </w:p>
      </w:tc>
      <w:tc>
        <w:tcPr>
          <w:tcW w:w="3120" w:type="dxa"/>
          <w:tcMar/>
        </w:tcPr>
        <w:p w:rsidR="0B4C0DD6" w:rsidP="0B4C0DD6" w:rsidRDefault="0B4C0DD6" w14:paraId="7D997049" w14:textId="03539267">
          <w:pPr>
            <w:pStyle w:val="Header"/>
            <w:bidi w:val="0"/>
            <w:ind w:right="-115"/>
            <w:jc w:val="right"/>
          </w:pPr>
        </w:p>
      </w:tc>
    </w:tr>
  </w:tbl>
  <w:p w:rsidR="0B4C0DD6" w:rsidP="0B4C0DD6" w:rsidRDefault="0B4C0DD6" w14:paraId="666C5CF9" w14:textId="494C01E0">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B4C0DD6" w:rsidTr="0B4C0DD6" w14:paraId="3D5E3D96">
      <w:trPr>
        <w:trHeight w:val="300"/>
      </w:trPr>
      <w:tc>
        <w:tcPr>
          <w:tcW w:w="3120" w:type="dxa"/>
          <w:tcMar/>
        </w:tcPr>
        <w:p w:rsidR="0B4C0DD6" w:rsidP="0B4C0DD6" w:rsidRDefault="0B4C0DD6" w14:paraId="7CB4775E" w14:textId="1CEC9039">
          <w:pPr>
            <w:pStyle w:val="Header"/>
            <w:bidi w:val="0"/>
            <w:ind w:left="-115"/>
            <w:jc w:val="left"/>
          </w:pPr>
        </w:p>
      </w:tc>
      <w:tc>
        <w:tcPr>
          <w:tcW w:w="3120" w:type="dxa"/>
          <w:tcMar/>
        </w:tcPr>
        <w:p w:rsidR="0B4C0DD6" w:rsidP="0B4C0DD6" w:rsidRDefault="0B4C0DD6" w14:paraId="1CBA083E" w14:textId="57846CAB">
          <w:pPr>
            <w:pStyle w:val="Header"/>
            <w:bidi w:val="0"/>
            <w:jc w:val="center"/>
          </w:pPr>
        </w:p>
      </w:tc>
      <w:tc>
        <w:tcPr>
          <w:tcW w:w="3120" w:type="dxa"/>
          <w:tcMar/>
        </w:tcPr>
        <w:p w:rsidR="0B4C0DD6" w:rsidP="0B4C0DD6" w:rsidRDefault="0B4C0DD6" w14:paraId="13BE2621" w14:textId="049C0DD6">
          <w:pPr>
            <w:pStyle w:val="Header"/>
            <w:bidi w:val="0"/>
            <w:ind w:right="-115"/>
            <w:jc w:val="right"/>
          </w:pPr>
        </w:p>
      </w:tc>
    </w:tr>
  </w:tbl>
  <w:p w:rsidR="0B4C0DD6" w:rsidP="0B4C0DD6" w:rsidRDefault="0B4C0DD6" w14:paraId="4FF08EC6" w14:textId="4876A95F">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385a018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9">
    <w:nsid w:val="bc0fe2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8">
    <w:nsid w:val="35f01d0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7">
    <w:nsid w:val="7cbe42f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6">
    <w:nsid w:val="24affb4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5">
    <w:nsid w:val="60e47a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0d25b2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3">
    <w:nsid w:val="401b3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eb72c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1">
    <w:nsid w:val="22357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86b3dc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9">
    <w:nsid w:val="5166dc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a41d1ab"/>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7">
    <w:nsid w:val="7eaa2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c03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4ba46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2D00A67"/>
    <w:multiLevelType w:val="hybridMultilevel"/>
    <w:tmpl w:val="522E1F8C"/>
    <w:lvl w:ilvl="0" w:tplc="33EAE748">
      <w:start w:val="1"/>
      <w:numFmt w:val="decimal"/>
      <w:lvlText w:val="%1."/>
      <w:lvlJc w:val="left"/>
      <w:pPr>
        <w:ind w:left="1440" w:hanging="360"/>
      </w:pPr>
      <w:rPr>
        <w:rFonts w:hint="default" w:eastAsiaTheme="major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FA700FC"/>
    <w:multiLevelType w:val="multilevel"/>
    <w:tmpl w:val="FCAE582C"/>
    <w:lvl w:ilvl="0">
      <w:start w:val="1"/>
      <w:numFmt w:val="decimal"/>
      <w:lvlText w:val="%1"/>
      <w:lvlJc w:val="left"/>
      <w:pPr>
        <w:ind w:left="360" w:hanging="360"/>
      </w:pPr>
      <w:rPr>
        <w:rFonts w:hint="default" w:eastAsiaTheme="majorEastAsia"/>
      </w:rPr>
    </w:lvl>
    <w:lvl w:ilvl="1">
      <w:start w:val="1"/>
      <w:numFmt w:val="decimal"/>
      <w:lvlText w:val="%1.%2"/>
      <w:lvlJc w:val="left"/>
      <w:pPr>
        <w:ind w:left="1440" w:hanging="720"/>
      </w:pPr>
      <w:rPr>
        <w:rFonts w:hint="default" w:eastAsiaTheme="majorEastAsia"/>
      </w:rPr>
    </w:lvl>
    <w:lvl w:ilvl="2">
      <w:start w:val="1"/>
      <w:numFmt w:val="decimal"/>
      <w:lvlText w:val="%1.%2.%3"/>
      <w:lvlJc w:val="left"/>
      <w:pPr>
        <w:ind w:left="2160" w:hanging="720"/>
      </w:pPr>
      <w:rPr>
        <w:rFonts w:hint="default" w:eastAsiaTheme="majorEastAsia"/>
      </w:rPr>
    </w:lvl>
    <w:lvl w:ilvl="3">
      <w:start w:val="1"/>
      <w:numFmt w:val="decimal"/>
      <w:lvlText w:val="%1.%2.%3.%4"/>
      <w:lvlJc w:val="left"/>
      <w:pPr>
        <w:ind w:left="3240" w:hanging="1080"/>
      </w:pPr>
      <w:rPr>
        <w:rFonts w:hint="default" w:eastAsiaTheme="majorEastAsia"/>
      </w:rPr>
    </w:lvl>
    <w:lvl w:ilvl="4">
      <w:start w:val="1"/>
      <w:numFmt w:val="decimal"/>
      <w:lvlText w:val="%1.%2.%3.%4.%5"/>
      <w:lvlJc w:val="left"/>
      <w:pPr>
        <w:ind w:left="3960" w:hanging="1080"/>
      </w:pPr>
      <w:rPr>
        <w:rFonts w:hint="default" w:eastAsiaTheme="majorEastAsia"/>
      </w:rPr>
    </w:lvl>
    <w:lvl w:ilvl="5">
      <w:start w:val="1"/>
      <w:numFmt w:val="decimal"/>
      <w:lvlText w:val="%1.%2.%3.%4.%5.%6"/>
      <w:lvlJc w:val="left"/>
      <w:pPr>
        <w:ind w:left="5040" w:hanging="1440"/>
      </w:pPr>
      <w:rPr>
        <w:rFonts w:hint="default" w:eastAsiaTheme="majorEastAsia"/>
      </w:rPr>
    </w:lvl>
    <w:lvl w:ilvl="6">
      <w:start w:val="1"/>
      <w:numFmt w:val="decimal"/>
      <w:lvlText w:val="%1.%2.%3.%4.%5.%6.%7"/>
      <w:lvlJc w:val="left"/>
      <w:pPr>
        <w:ind w:left="6120" w:hanging="1800"/>
      </w:pPr>
      <w:rPr>
        <w:rFonts w:hint="default" w:eastAsiaTheme="majorEastAsia"/>
      </w:rPr>
    </w:lvl>
    <w:lvl w:ilvl="7">
      <w:start w:val="1"/>
      <w:numFmt w:val="decimal"/>
      <w:lvlText w:val="%1.%2.%3.%4.%5.%6.%7.%8"/>
      <w:lvlJc w:val="left"/>
      <w:pPr>
        <w:ind w:left="6840" w:hanging="1800"/>
      </w:pPr>
      <w:rPr>
        <w:rFonts w:hint="default" w:eastAsiaTheme="majorEastAsia"/>
      </w:rPr>
    </w:lvl>
    <w:lvl w:ilvl="8">
      <w:start w:val="1"/>
      <w:numFmt w:val="decimal"/>
      <w:lvlText w:val="%1.%2.%3.%4.%5.%6.%7.%8.%9"/>
      <w:lvlJc w:val="left"/>
      <w:pPr>
        <w:ind w:left="7920" w:hanging="2160"/>
      </w:pPr>
      <w:rPr>
        <w:rFonts w:hint="default" w:eastAsiaTheme="majorEastAsia"/>
      </w:rPr>
    </w:lvl>
  </w:abstractNum>
  <w:abstractNum w:abstractNumId="2" w15:restartNumberingAfterBreak="0">
    <w:nsid w:val="527816E6"/>
    <w:multiLevelType w:val="multilevel"/>
    <w:tmpl w:val="42F2AD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64222F07"/>
    <w:multiLevelType w:val="multilevel"/>
    <w:tmpl w:val="CE30C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764C1A"/>
    <w:multiLevelType w:val="multilevel"/>
    <w:tmpl w:val="AAA2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399984234">
    <w:abstractNumId w:val="4"/>
  </w:num>
  <w:num w:numId="2" w16cid:durableId="1890805214">
    <w:abstractNumId w:val="1"/>
  </w:num>
  <w:num w:numId="3" w16cid:durableId="1716194667">
    <w:abstractNumId w:val="3"/>
  </w:num>
  <w:num w:numId="4" w16cid:durableId="2093306512">
    <w:abstractNumId w:val="0"/>
  </w:num>
  <w:num w:numId="5" w16cid:durableId="269702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55"/>
    <w:rsid w:val="00062655"/>
    <w:rsid w:val="00422A49"/>
    <w:rsid w:val="00542BFE"/>
    <w:rsid w:val="007034DF"/>
    <w:rsid w:val="00836112"/>
    <w:rsid w:val="00D07B48"/>
    <w:rsid w:val="00DF62A8"/>
    <w:rsid w:val="00F6D39F"/>
    <w:rsid w:val="015477EF"/>
    <w:rsid w:val="015B0A44"/>
    <w:rsid w:val="0203AADA"/>
    <w:rsid w:val="0236074C"/>
    <w:rsid w:val="0248A53B"/>
    <w:rsid w:val="024EEC49"/>
    <w:rsid w:val="033C4494"/>
    <w:rsid w:val="03F7AC05"/>
    <w:rsid w:val="041D2B2C"/>
    <w:rsid w:val="04801BE6"/>
    <w:rsid w:val="04801BE6"/>
    <w:rsid w:val="049944C2"/>
    <w:rsid w:val="04E0D4AB"/>
    <w:rsid w:val="04E12499"/>
    <w:rsid w:val="0517C3D2"/>
    <w:rsid w:val="0522A034"/>
    <w:rsid w:val="06173F0F"/>
    <w:rsid w:val="061A0528"/>
    <w:rsid w:val="075C51F9"/>
    <w:rsid w:val="07C597BF"/>
    <w:rsid w:val="07FB667C"/>
    <w:rsid w:val="08B9AC2B"/>
    <w:rsid w:val="08C5CE9C"/>
    <w:rsid w:val="08FBE5F4"/>
    <w:rsid w:val="09232372"/>
    <w:rsid w:val="09C8E903"/>
    <w:rsid w:val="09D5B439"/>
    <w:rsid w:val="0A58AA60"/>
    <w:rsid w:val="0AA59862"/>
    <w:rsid w:val="0AA697A7"/>
    <w:rsid w:val="0AF0D58D"/>
    <w:rsid w:val="0B13DBE4"/>
    <w:rsid w:val="0B4C0DD6"/>
    <w:rsid w:val="0E3FFB66"/>
    <w:rsid w:val="0ECC7364"/>
    <w:rsid w:val="0ED58798"/>
    <w:rsid w:val="0FE65F8E"/>
    <w:rsid w:val="1022C332"/>
    <w:rsid w:val="1022C332"/>
    <w:rsid w:val="10BB83E8"/>
    <w:rsid w:val="10CB9CBE"/>
    <w:rsid w:val="10F40459"/>
    <w:rsid w:val="111FC657"/>
    <w:rsid w:val="117DE09A"/>
    <w:rsid w:val="11B03051"/>
    <w:rsid w:val="12678C79"/>
    <w:rsid w:val="12FD60D9"/>
    <w:rsid w:val="1359B19B"/>
    <w:rsid w:val="13CB258A"/>
    <w:rsid w:val="14365E32"/>
    <w:rsid w:val="14841BB5"/>
    <w:rsid w:val="14FA7360"/>
    <w:rsid w:val="150741D9"/>
    <w:rsid w:val="15DD0662"/>
    <w:rsid w:val="177F6D6C"/>
    <w:rsid w:val="1789653B"/>
    <w:rsid w:val="1825D981"/>
    <w:rsid w:val="18807603"/>
    <w:rsid w:val="19381C47"/>
    <w:rsid w:val="196C93B3"/>
    <w:rsid w:val="1997B73C"/>
    <w:rsid w:val="19F7EBA8"/>
    <w:rsid w:val="1A8F8D03"/>
    <w:rsid w:val="1B065DA7"/>
    <w:rsid w:val="1B1C177D"/>
    <w:rsid w:val="1B8529FF"/>
    <w:rsid w:val="1C4DDE85"/>
    <w:rsid w:val="1C741FA6"/>
    <w:rsid w:val="1CB0BE5D"/>
    <w:rsid w:val="1CB2A04B"/>
    <w:rsid w:val="1CC361FF"/>
    <w:rsid w:val="1CD5AA1C"/>
    <w:rsid w:val="1CEAB56B"/>
    <w:rsid w:val="1D4D795B"/>
    <w:rsid w:val="1DCA6213"/>
    <w:rsid w:val="1F450F67"/>
    <w:rsid w:val="1F9C93D6"/>
    <w:rsid w:val="20021C60"/>
    <w:rsid w:val="204A8802"/>
    <w:rsid w:val="20849DE7"/>
    <w:rsid w:val="213DF824"/>
    <w:rsid w:val="21DCE266"/>
    <w:rsid w:val="220CFA20"/>
    <w:rsid w:val="2222853C"/>
    <w:rsid w:val="233E40F7"/>
    <w:rsid w:val="233E40F7"/>
    <w:rsid w:val="23775B9F"/>
    <w:rsid w:val="237F5E50"/>
    <w:rsid w:val="23A16C0B"/>
    <w:rsid w:val="23D79A40"/>
    <w:rsid w:val="2472B5D3"/>
    <w:rsid w:val="2479BCB9"/>
    <w:rsid w:val="248C7339"/>
    <w:rsid w:val="248C7339"/>
    <w:rsid w:val="24B9E496"/>
    <w:rsid w:val="26C6F09E"/>
    <w:rsid w:val="272D0F5E"/>
    <w:rsid w:val="27846174"/>
    <w:rsid w:val="28AC011E"/>
    <w:rsid w:val="28C03EC2"/>
    <w:rsid w:val="292D81F1"/>
    <w:rsid w:val="29461B44"/>
    <w:rsid w:val="295D06E8"/>
    <w:rsid w:val="2993D6E8"/>
    <w:rsid w:val="299B6FC7"/>
    <w:rsid w:val="29D1D693"/>
    <w:rsid w:val="29FAB35B"/>
    <w:rsid w:val="2A290733"/>
    <w:rsid w:val="2A38B03F"/>
    <w:rsid w:val="2A38B03F"/>
    <w:rsid w:val="2A8485A7"/>
    <w:rsid w:val="2AB686C2"/>
    <w:rsid w:val="2AD7D37C"/>
    <w:rsid w:val="2B0B230E"/>
    <w:rsid w:val="2B2CF888"/>
    <w:rsid w:val="2B422FB1"/>
    <w:rsid w:val="2B479620"/>
    <w:rsid w:val="2B7ABA38"/>
    <w:rsid w:val="2C10AEEE"/>
    <w:rsid w:val="2C3C5A6C"/>
    <w:rsid w:val="2C4AEDC7"/>
    <w:rsid w:val="2C73045C"/>
    <w:rsid w:val="2C9F180A"/>
    <w:rsid w:val="2D5B618D"/>
    <w:rsid w:val="2DDD7341"/>
    <w:rsid w:val="2E86D457"/>
    <w:rsid w:val="2E972765"/>
    <w:rsid w:val="2F85C031"/>
    <w:rsid w:val="2FD08BFB"/>
    <w:rsid w:val="3011924E"/>
    <w:rsid w:val="306E28EE"/>
    <w:rsid w:val="30CB7E40"/>
    <w:rsid w:val="311B33A1"/>
    <w:rsid w:val="313C4DC4"/>
    <w:rsid w:val="315D4331"/>
    <w:rsid w:val="31F61668"/>
    <w:rsid w:val="3234EFD5"/>
    <w:rsid w:val="32457282"/>
    <w:rsid w:val="3292307D"/>
    <w:rsid w:val="32929725"/>
    <w:rsid w:val="33A056CF"/>
    <w:rsid w:val="33B49844"/>
    <w:rsid w:val="33B4D11C"/>
    <w:rsid w:val="33E5E1A8"/>
    <w:rsid w:val="3471A06A"/>
    <w:rsid w:val="3547B2E1"/>
    <w:rsid w:val="366C1814"/>
    <w:rsid w:val="366C32D7"/>
    <w:rsid w:val="3709ECF6"/>
    <w:rsid w:val="37E77C6C"/>
    <w:rsid w:val="385A0386"/>
    <w:rsid w:val="38B5BE4D"/>
    <w:rsid w:val="38BDFF7A"/>
    <w:rsid w:val="3900FC09"/>
    <w:rsid w:val="391095D6"/>
    <w:rsid w:val="391973C0"/>
    <w:rsid w:val="398BB1D0"/>
    <w:rsid w:val="39A80B43"/>
    <w:rsid w:val="39C0A71A"/>
    <w:rsid w:val="3A3A333B"/>
    <w:rsid w:val="3A45F4D4"/>
    <w:rsid w:val="3A45F4D4"/>
    <w:rsid w:val="3A8CE4AE"/>
    <w:rsid w:val="3AA00C7F"/>
    <w:rsid w:val="3AC518BA"/>
    <w:rsid w:val="3B0A8411"/>
    <w:rsid w:val="3B152446"/>
    <w:rsid w:val="3C307DF1"/>
    <w:rsid w:val="3C58B650"/>
    <w:rsid w:val="3CD2A155"/>
    <w:rsid w:val="3D71B148"/>
    <w:rsid w:val="3DB67382"/>
    <w:rsid w:val="3E32AF6D"/>
    <w:rsid w:val="3E587110"/>
    <w:rsid w:val="3E850D89"/>
    <w:rsid w:val="3EE3DF0A"/>
    <w:rsid w:val="3F2ECF84"/>
    <w:rsid w:val="40CDF17E"/>
    <w:rsid w:val="419C8E2F"/>
    <w:rsid w:val="41C7B7C2"/>
    <w:rsid w:val="41F6944E"/>
    <w:rsid w:val="422626FC"/>
    <w:rsid w:val="42D5B5BB"/>
    <w:rsid w:val="43789284"/>
    <w:rsid w:val="438050ED"/>
    <w:rsid w:val="43D44D82"/>
    <w:rsid w:val="44504A3B"/>
    <w:rsid w:val="44790FEB"/>
    <w:rsid w:val="453A3D4B"/>
    <w:rsid w:val="461BEBD9"/>
    <w:rsid w:val="46721532"/>
    <w:rsid w:val="469838CB"/>
    <w:rsid w:val="46A7D3AD"/>
    <w:rsid w:val="4725640B"/>
    <w:rsid w:val="47CB22E4"/>
    <w:rsid w:val="4834B25C"/>
    <w:rsid w:val="48514F95"/>
    <w:rsid w:val="486808F4"/>
    <w:rsid w:val="48D8B70E"/>
    <w:rsid w:val="48E44D85"/>
    <w:rsid w:val="49185182"/>
    <w:rsid w:val="498D193B"/>
    <w:rsid w:val="49F86B92"/>
    <w:rsid w:val="4A0BA60B"/>
    <w:rsid w:val="4A38CE76"/>
    <w:rsid w:val="4A83C27E"/>
    <w:rsid w:val="4B1BC9ED"/>
    <w:rsid w:val="4B1E821C"/>
    <w:rsid w:val="4B341F6F"/>
    <w:rsid w:val="4B89C71B"/>
    <w:rsid w:val="4BA74E18"/>
    <w:rsid w:val="4C0BB9CA"/>
    <w:rsid w:val="4C358D66"/>
    <w:rsid w:val="4C37E587"/>
    <w:rsid w:val="4D3E82B7"/>
    <w:rsid w:val="4D694C64"/>
    <w:rsid w:val="4D8F9985"/>
    <w:rsid w:val="4DDAEA0D"/>
    <w:rsid w:val="4EB1B09E"/>
    <w:rsid w:val="4EE2A7D1"/>
    <w:rsid w:val="4FBF6B12"/>
    <w:rsid w:val="50ECF36F"/>
    <w:rsid w:val="50F0B4B0"/>
    <w:rsid w:val="51AF38EE"/>
    <w:rsid w:val="51CB2AD7"/>
    <w:rsid w:val="51FA69AE"/>
    <w:rsid w:val="52183D0D"/>
    <w:rsid w:val="528D5D55"/>
    <w:rsid w:val="528F9257"/>
    <w:rsid w:val="52B6F2C6"/>
    <w:rsid w:val="52CF6825"/>
    <w:rsid w:val="53A6100C"/>
    <w:rsid w:val="545D077E"/>
    <w:rsid w:val="54717862"/>
    <w:rsid w:val="5481667A"/>
    <w:rsid w:val="54AE83E9"/>
    <w:rsid w:val="562D837A"/>
    <w:rsid w:val="562D837A"/>
    <w:rsid w:val="563B738B"/>
    <w:rsid w:val="580B565E"/>
    <w:rsid w:val="58594073"/>
    <w:rsid w:val="589382FE"/>
    <w:rsid w:val="58BA1C21"/>
    <w:rsid w:val="58D26AF3"/>
    <w:rsid w:val="58E5BF87"/>
    <w:rsid w:val="59B90E05"/>
    <w:rsid w:val="59C9E0C8"/>
    <w:rsid w:val="5A0A605A"/>
    <w:rsid w:val="5A7ACEA7"/>
    <w:rsid w:val="5A840D36"/>
    <w:rsid w:val="5AAD2A75"/>
    <w:rsid w:val="5B7089D2"/>
    <w:rsid w:val="5B99669C"/>
    <w:rsid w:val="5BAD5E3C"/>
    <w:rsid w:val="5BAE0402"/>
    <w:rsid w:val="5C7A9A94"/>
    <w:rsid w:val="5CE8BEF0"/>
    <w:rsid w:val="5D530F60"/>
    <w:rsid w:val="5DB1026A"/>
    <w:rsid w:val="5DCBBA58"/>
    <w:rsid w:val="5E42D9A8"/>
    <w:rsid w:val="5E4B640D"/>
    <w:rsid w:val="5E917F4B"/>
    <w:rsid w:val="5E9DBB87"/>
    <w:rsid w:val="5EA85AC6"/>
    <w:rsid w:val="5ED1DE51"/>
    <w:rsid w:val="5F194FC6"/>
    <w:rsid w:val="5F7C3298"/>
    <w:rsid w:val="5F9DD76C"/>
    <w:rsid w:val="602170C2"/>
    <w:rsid w:val="60BBB8E1"/>
    <w:rsid w:val="60CB2332"/>
    <w:rsid w:val="60E126AB"/>
    <w:rsid w:val="613E6855"/>
    <w:rsid w:val="614E9BD7"/>
    <w:rsid w:val="62B5DBA6"/>
    <w:rsid w:val="62C2940E"/>
    <w:rsid w:val="63651CBD"/>
    <w:rsid w:val="64009A4E"/>
    <w:rsid w:val="646686BD"/>
    <w:rsid w:val="6538BAAF"/>
    <w:rsid w:val="6586B3E4"/>
    <w:rsid w:val="659F583F"/>
    <w:rsid w:val="65A4FA3D"/>
    <w:rsid w:val="65C4A9A4"/>
    <w:rsid w:val="65C6810A"/>
    <w:rsid w:val="660F6121"/>
    <w:rsid w:val="667D0FCB"/>
    <w:rsid w:val="66BD7297"/>
    <w:rsid w:val="673B882F"/>
    <w:rsid w:val="6745B93A"/>
    <w:rsid w:val="68BF142A"/>
    <w:rsid w:val="6916079E"/>
    <w:rsid w:val="69502599"/>
    <w:rsid w:val="696F03DB"/>
    <w:rsid w:val="696F03DB"/>
    <w:rsid w:val="69893971"/>
    <w:rsid w:val="69930671"/>
    <w:rsid w:val="69B3936F"/>
    <w:rsid w:val="69C72FDC"/>
    <w:rsid w:val="6A522729"/>
    <w:rsid w:val="6A555C79"/>
    <w:rsid w:val="6B8FC126"/>
    <w:rsid w:val="6BA9873E"/>
    <w:rsid w:val="6C2DFBEC"/>
    <w:rsid w:val="6C7EB447"/>
    <w:rsid w:val="6CB9E3C9"/>
    <w:rsid w:val="6CCDCD30"/>
    <w:rsid w:val="6D0382E8"/>
    <w:rsid w:val="6D0382E8"/>
    <w:rsid w:val="6D77DA45"/>
    <w:rsid w:val="6D8ED9CC"/>
    <w:rsid w:val="6D8ED9CC"/>
    <w:rsid w:val="6DC57863"/>
    <w:rsid w:val="6E0A6E36"/>
    <w:rsid w:val="6E38EE11"/>
    <w:rsid w:val="6E3A1447"/>
    <w:rsid w:val="6F2081A3"/>
    <w:rsid w:val="6F47F379"/>
    <w:rsid w:val="6F68139D"/>
    <w:rsid w:val="6F870F70"/>
    <w:rsid w:val="6FA517D6"/>
    <w:rsid w:val="7000F0C2"/>
    <w:rsid w:val="702CAE32"/>
    <w:rsid w:val="709D5650"/>
    <w:rsid w:val="70C1D78B"/>
    <w:rsid w:val="70D3FBD5"/>
    <w:rsid w:val="70D7EF44"/>
    <w:rsid w:val="71872AE2"/>
    <w:rsid w:val="71BE1151"/>
    <w:rsid w:val="71F12225"/>
    <w:rsid w:val="722C99B1"/>
    <w:rsid w:val="722C99B1"/>
    <w:rsid w:val="72716589"/>
    <w:rsid w:val="728A3CC4"/>
    <w:rsid w:val="7383E5F9"/>
    <w:rsid w:val="74281F2F"/>
    <w:rsid w:val="75A12588"/>
    <w:rsid w:val="75B1EAEC"/>
    <w:rsid w:val="75C9EB1C"/>
    <w:rsid w:val="75C9EB1C"/>
    <w:rsid w:val="75D26200"/>
    <w:rsid w:val="7655EDD1"/>
    <w:rsid w:val="7659A366"/>
    <w:rsid w:val="76E94A0C"/>
    <w:rsid w:val="7734005B"/>
    <w:rsid w:val="777DD54D"/>
    <w:rsid w:val="77837D00"/>
    <w:rsid w:val="77BF6599"/>
    <w:rsid w:val="77EDC64E"/>
    <w:rsid w:val="7800E4DF"/>
    <w:rsid w:val="784EF90C"/>
    <w:rsid w:val="7926E845"/>
    <w:rsid w:val="79A9954C"/>
    <w:rsid w:val="7A50B9AC"/>
    <w:rsid w:val="7AEEA0E7"/>
    <w:rsid w:val="7B5439A1"/>
    <w:rsid w:val="7B56A0D5"/>
    <w:rsid w:val="7C23272A"/>
    <w:rsid w:val="7C855AF2"/>
    <w:rsid w:val="7D7E04BD"/>
    <w:rsid w:val="7DA88B62"/>
    <w:rsid w:val="7DB2CE14"/>
    <w:rsid w:val="7E5CC4D5"/>
    <w:rsid w:val="7E61416C"/>
    <w:rsid w:val="7E7C5A5A"/>
    <w:rsid w:val="7F38C866"/>
    <w:rsid w:val="7F4C530B"/>
    <w:rsid w:val="7F764856"/>
    <w:rsid w:val="7F8B5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F89347"/>
  <w15:chartTrackingRefBased/>
  <w15:docId w15:val="{671C2530-46B0-FB46-ABC7-EDDE41419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2655"/>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06265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65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6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6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6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65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6265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6265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6265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6265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6265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6265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6265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6265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62655"/>
    <w:rPr>
      <w:rFonts w:eastAsiaTheme="majorEastAsia" w:cstheme="majorBidi"/>
      <w:color w:val="272727" w:themeColor="text1" w:themeTint="D8"/>
    </w:rPr>
  </w:style>
  <w:style w:type="paragraph" w:styleId="Title">
    <w:name w:val="Title"/>
    <w:basedOn w:val="Normal"/>
    <w:next w:val="Normal"/>
    <w:link w:val="TitleChar"/>
    <w:uiPriority w:val="10"/>
    <w:qFormat/>
    <w:rsid w:val="0006265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6265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6265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62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655"/>
    <w:pPr>
      <w:spacing w:before="160"/>
      <w:jc w:val="center"/>
    </w:pPr>
    <w:rPr>
      <w:i/>
      <w:iCs/>
      <w:color w:val="404040" w:themeColor="text1" w:themeTint="BF"/>
    </w:rPr>
  </w:style>
  <w:style w:type="character" w:styleId="QuoteChar" w:customStyle="1">
    <w:name w:val="Quote Char"/>
    <w:basedOn w:val="DefaultParagraphFont"/>
    <w:link w:val="Quote"/>
    <w:uiPriority w:val="29"/>
    <w:rsid w:val="00062655"/>
    <w:rPr>
      <w:i/>
      <w:iCs/>
      <w:color w:val="404040" w:themeColor="text1" w:themeTint="BF"/>
    </w:rPr>
  </w:style>
  <w:style w:type="paragraph" w:styleId="ListParagraph">
    <w:name w:val="List Paragraph"/>
    <w:basedOn w:val="Normal"/>
    <w:uiPriority w:val="34"/>
    <w:qFormat/>
    <w:rsid w:val="00062655"/>
    <w:pPr>
      <w:ind w:left="720"/>
      <w:contextualSpacing/>
    </w:pPr>
  </w:style>
  <w:style w:type="character" w:styleId="IntenseEmphasis">
    <w:name w:val="Intense Emphasis"/>
    <w:basedOn w:val="DefaultParagraphFont"/>
    <w:uiPriority w:val="21"/>
    <w:qFormat/>
    <w:rsid w:val="00062655"/>
    <w:rPr>
      <w:i/>
      <w:iCs/>
      <w:color w:val="0F4761" w:themeColor="accent1" w:themeShade="BF"/>
    </w:rPr>
  </w:style>
  <w:style w:type="paragraph" w:styleId="IntenseQuote">
    <w:name w:val="Intense Quote"/>
    <w:basedOn w:val="Normal"/>
    <w:next w:val="Normal"/>
    <w:link w:val="IntenseQuoteChar"/>
    <w:uiPriority w:val="30"/>
    <w:qFormat/>
    <w:rsid w:val="0006265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62655"/>
    <w:rPr>
      <w:i/>
      <w:iCs/>
      <w:color w:val="0F4761" w:themeColor="accent1" w:themeShade="BF"/>
    </w:rPr>
  </w:style>
  <w:style w:type="character" w:styleId="IntenseReference">
    <w:name w:val="Intense Reference"/>
    <w:basedOn w:val="DefaultParagraphFont"/>
    <w:uiPriority w:val="32"/>
    <w:qFormat/>
    <w:rsid w:val="00062655"/>
    <w:rPr>
      <w:b/>
      <w:bCs/>
      <w:smallCaps/>
      <w:color w:val="0F4761" w:themeColor="accent1" w:themeShade="BF"/>
      <w:spacing w:val="5"/>
    </w:rPr>
  </w:style>
  <w:style w:type="paragraph" w:styleId="paragraph" w:customStyle="1">
    <w:name w:val="paragraph"/>
    <w:basedOn w:val="Normal"/>
    <w:rsid w:val="00062655"/>
    <w:pPr>
      <w:spacing w:before="100" w:beforeAutospacing="1" w:after="100" w:afterAutospacing="1"/>
    </w:pPr>
  </w:style>
  <w:style w:type="character" w:styleId="normaltextrun" w:customStyle="1">
    <w:name w:val="normaltextrun"/>
    <w:basedOn w:val="DefaultParagraphFont"/>
    <w:rsid w:val="00062655"/>
  </w:style>
  <w:style w:type="character" w:styleId="apple-converted-space" w:customStyle="1">
    <w:name w:val="apple-converted-space"/>
    <w:basedOn w:val="DefaultParagraphFont"/>
    <w:rsid w:val="00062655"/>
  </w:style>
  <w:style w:type="character" w:styleId="eop" w:customStyle="1">
    <w:name w:val="eop"/>
    <w:basedOn w:val="DefaultParagraphFont"/>
    <w:rsid w:val="00062655"/>
  </w:style>
  <w:style w:type="character" w:styleId="scxw109834649" w:customStyle="1">
    <w:name w:val="scxw109834649"/>
    <w:basedOn w:val="DefaultParagraphFont"/>
    <w:rsid w:val="00062655"/>
  </w:style>
  <w:style w:type="paragraph" w:styleId="NormalWeb">
    <w:name w:val="Normal (Web)"/>
    <w:basedOn w:val="Normal"/>
    <w:uiPriority w:val="99"/>
    <w:unhideWhenUsed/>
    <w:rsid w:val="00062655"/>
    <w:pPr>
      <w:spacing w:before="100" w:beforeAutospacing="1" w:after="100" w:afterAutospacing="1"/>
    </w:pPr>
  </w:style>
  <w:style w:type="character" w:styleId="Hyperlink">
    <w:name w:val="Hyperlink"/>
    <w:basedOn w:val="DefaultParagraphFont"/>
    <w:uiPriority w:val="99"/>
    <w:unhideWhenUsed/>
    <w:rsid w:val="00062655"/>
    <w:rPr>
      <w:color w:val="467886" w:themeColor="hyperlink"/>
      <w:u w:val="single"/>
    </w:rPr>
  </w:style>
  <w:style w:type="character" w:styleId="scxw236376618" w:customStyle="1">
    <w:name w:val="scxw236376618"/>
    <w:basedOn w:val="DefaultParagraphFont"/>
    <w:rsid w:val="00062655"/>
  </w:style>
  <w:style w:type="character" w:styleId="Strong">
    <w:name w:val="Strong"/>
    <w:basedOn w:val="DefaultParagraphFont"/>
    <w:uiPriority w:val="22"/>
    <w:qFormat/>
    <w:rsid w:val="007034DF"/>
    <w:rPr>
      <w:b/>
      <w:bCs/>
    </w:rPr>
  </w:style>
  <w:style w:type="character" w:styleId="Emphasis">
    <w:name w:val="Emphasis"/>
    <w:basedOn w:val="DefaultParagraphFont"/>
    <w:uiPriority w:val="20"/>
    <w:qFormat/>
    <w:rsid w:val="007034DF"/>
    <w:rPr>
      <w:i/>
      <w:iCs/>
    </w:rPr>
  </w:style>
  <w:style w:type="paragraph" w:styleId="APALevel2" w:customStyle="true">
    <w:uiPriority w:val="1"/>
    <w:name w:val="APA Level 2"/>
    <w:basedOn w:val="Normal"/>
    <w:rsid w:val="299B6FC7"/>
    <w:rPr>
      <w:b w:val="1"/>
      <w:bCs w:val="1"/>
      <w:sz w:val="24"/>
      <w:szCs w:val="24"/>
    </w:rPr>
    <w:pPr>
      <w:keepNext w:val="1"/>
      <w:keepLines w:val="1"/>
      <w:widowControl w:val="0"/>
      <w:tabs>
        <w:tab w:val="right" w:leader="dot" w:pos="8640"/>
      </w:tabs>
      <w:jc w:val="left"/>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0B4C0DD6"/>
    <w:pPr>
      <w:tabs>
        <w:tab w:val="center" w:leader="none" w:pos="4680"/>
        <w:tab w:val="right" w:leader="none" w:pos="9360"/>
      </w:tabs>
    </w:pPr>
  </w:style>
  <w:style w:type="paragraph" w:styleId="Footer">
    <w:uiPriority w:val="99"/>
    <w:name w:val="footer"/>
    <w:basedOn w:val="Normal"/>
    <w:unhideWhenUsed/>
    <w:rsid w:val="0B4C0DD6"/>
    <w:pPr>
      <w:tabs>
        <w:tab w:val="center" w:leader="none" w:pos="4680"/>
        <w:tab w:val="right" w:leader="none"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visweswaransivakuma@cityu.edu" TargetMode="External" Id="rId6" /><Relationship Type="http://schemas.openxmlformats.org/officeDocument/2006/relationships/hyperlink" Target="mailto:guptaayushkumar@cityuniversity.edu" TargetMode="External" Id="rId5" /><Relationship Type="http://schemas.openxmlformats.org/officeDocument/2006/relationships/webSettings" Target="webSettings.xml" Id="rId4" /><Relationship Type="http://schemas.openxmlformats.org/officeDocument/2006/relationships/header" Target="header.xml" Id="Rccdc241c2c2e4da7" /><Relationship Type="http://schemas.openxmlformats.org/officeDocument/2006/relationships/footer" Target="footer.xml" Id="R595396103c664c53" /><Relationship Type="http://schemas.openxmlformats.org/officeDocument/2006/relationships/hyperlink" Target="https://arxiv.org/abs/2512.05365" TargetMode="External" Id="R01244404ba9e497f" /><Relationship Type="http://schemas.openxmlformats.org/officeDocument/2006/relationships/hyperlink" Target="https://pmc.ncbi.nlm.nih.gov/articles/PMC12769529" TargetMode="External" Id="Radc9bfb384604db9" /><Relationship Type="http://schemas.openxmlformats.org/officeDocument/2006/relationships/hyperlink" Target="https://doi.org/10.1093/jamia/ocx079" TargetMode="External" Id="Rab1acacb4a1a4c5d" /><Relationship Type="http://schemas.openxmlformats.org/officeDocument/2006/relationships/hyperlink" Target="https://doi.org/10.1007/s10115-026-02699-0" TargetMode="External" Id="Rdaff4f4b4e0b47b5" /><Relationship Type="http://schemas.openxmlformats.org/officeDocument/2006/relationships/hyperlink" Target="https://doi.org/10.1145/3746252.3760894" TargetMode="External" Id="R3bad6d436b5943de" /><Relationship Type="http://schemas.openxmlformats.org/officeDocument/2006/relationships/hyperlink" Target="https://doi.org/10.1007/s11606-024-08930-4" TargetMode="External" Id="Rc54e6905212b4cde" /><Relationship Type="http://schemas.openxmlformats.org/officeDocument/2006/relationships/hyperlink" Target="https://doi.org/10.7326/M18-1422" TargetMode="External" Id="R66c3a26575c04146" /><Relationship Type="http://schemas.openxmlformats.org/officeDocument/2006/relationships/hyperlink" Target="https://doi.org/10.48550/arXiv.2510.09134" TargetMode="External" Id="Rf5980f474e4e491c" /><Relationship Type="http://schemas.openxmlformats.org/officeDocument/2006/relationships/hyperlink" Target="https://murphi.ai/chronic-care-management-companies/" TargetMode="External" Id="Rdd3b916e4e584221" /><Relationship Type="http://schemas.openxmlformats.org/officeDocument/2006/relationships/hyperlink" Target="https://doi.org/10.2196/66691" TargetMode="External" Id="Rc4b72d4108114fdc" /><Relationship Type="http://schemas.openxmlformats.org/officeDocument/2006/relationships/hyperlink" Target="https://doi.org/10.48550/arXiv.2512.05365" TargetMode="External" Id="Re9f0db12f6d14035" /><Relationship Type="http://schemas.openxmlformats.org/officeDocument/2006/relationships/hyperlink" Target="https://doi.org/10.1093/jamia/ocx079" TargetMode="External" Id="R2be54d549dd543a2" /><Relationship Type="http://schemas.openxmlformats.org/officeDocument/2006/relationships/hyperlink" Target="https://doi.org/10.1038/s44401-026-00077-0" TargetMode="External" Id="R05f639f56e9e451b" /><Relationship Type="http://schemas.openxmlformats.org/officeDocument/2006/relationships/hyperlink" Target="https://tigahealth.com/how-to-overcome-healthcare-interoperability-challenges" TargetMode="External" Id="R428ebfd3514b4480" /><Relationship Type="http://schemas.openxmlformats.org/officeDocument/2006/relationships/hyperlink" Target="https://doi.org/10.17226/25521" TargetMode="External" Id="Rd215f7d74e0e4a44" /><Relationship Type="http://schemas.openxmlformats.org/officeDocument/2006/relationships/hyperlink" Target="https://athenahealth.com/resources/blog/how-independent-practices-avoid-burnout" TargetMode="External" Id="Ref595f110d714320" /><Relationship Type="http://schemas.openxmlformats.org/officeDocument/2006/relationships/hyperlink" Target="https://doi.org/10.2196/58445" TargetMode="External" Id="Ra3e0c99e98cd475a" /><Relationship Type="http://schemas.openxmlformats.org/officeDocument/2006/relationships/hyperlink" Target="https://doi.org/10.17226/25521" TargetMode="External" Id="R747f426525f5456b" /><Relationship Type="http://schemas.openxmlformats.org/officeDocument/2006/relationships/header" Target="header2.xml" Id="Red74bb90d41b4be3" /><Relationship Type="http://schemas.openxmlformats.org/officeDocument/2006/relationships/footer" Target="footer2.xml" Id="R91a59f54726a424e" /><Relationship Type="http://schemas.openxmlformats.org/officeDocument/2006/relationships/hyperlink" Target="https://doi.org/10.2196/54811" TargetMode="External" Id="R9d3f0e6dfaa948cd" /><Relationship Type="http://schemas.openxmlformats.org/officeDocument/2006/relationships/image" Target="/media/image.png" Id="rId1716402009" /><Relationship Type="http://schemas.openxmlformats.org/officeDocument/2006/relationships/image" Target="/media/image2.png" Id="rId204627553" /><Relationship Type="http://schemas.openxmlformats.org/officeDocument/2006/relationships/image" Target="/media/image3.png" Id="rId1600870907" /><Relationship Type="http://schemas.openxmlformats.org/officeDocument/2006/relationships/image" Target="/media/image4.png" Id="rId105810420" /><Relationship Type="http://schemas.openxmlformats.org/officeDocument/2006/relationships/image" Target="/media/image5.png" Id="rId2083173030" /><Relationship Type="http://schemas.openxmlformats.org/officeDocument/2006/relationships/image" Target="/media/image6.png" Id="rId946570449" /><Relationship Type="http://schemas.openxmlformats.org/officeDocument/2006/relationships/image" Target="/media/image7.png" Id="rId8402094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Ayush Kumar Gupta</dc:creator>
  <keywords/>
  <dc:description/>
  <lastModifiedBy>Ayush Kumar Gupta</lastModifiedBy>
  <revision>17</revision>
  <dcterms:created xsi:type="dcterms:W3CDTF">2026-04-12T10:05:00.0000000Z</dcterms:created>
  <dcterms:modified xsi:type="dcterms:W3CDTF">2026-05-31T09:14:00.8275364Z</dcterms:modified>
</coreProperties>
</file>