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ind w:left="720" w:firstLine="0"/>
        <w:rPr>
          <w:i w:val="1"/>
          <w:b w:val="1"/>
          <w:sz w:val="20"/>
          <w:szCs w:val="20"/>
          <w:u w:val="single"/>
          <w:rFonts w:ascii="Arial" w:hAnsi="Arial" w:cs="Arial"/>
        </w:rPr>
      </w:pPr>
      <w:r>
        <w:rPr>
          <w:i w:val="1"/>
          <w:b w:val="1"/>
          <w:sz w:val="20"/>
          <w:szCs w:val="20"/>
          <w:u w:val="single"/>
          <w:rFonts w:ascii="Arial" w:hAnsi="Arial" w:cs="Arial"/>
        </w:rPr>
        <w:t xml:space="preserve">STRICTLY PERSONAL AND CONFIDENTIAL</w:t>
      </w: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February 01, 2019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jc w:val="right"/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Reference No. : ESOP-09-G-T2/ 5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Sandip Mondal</w:t>
      </w: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Employee Code: </w:t>
      </w:r>
      <w:r>
        <w:rPr>
          <w:b w:val="1"/>
          <w:color w:val="000000"/>
          <w:sz w:val="20"/>
          <w:szCs w:val="20"/>
          <w:rFonts w:ascii="Arial" w:hAnsi="Arial" w:cs="Arial"/>
        </w:rPr>
        <w:t>6461</w:t>
      </w:r>
    </w:p>
    <w:p>
      <w:pPr>
        <w:ind w:left="284" w:hanging="142"/>
        <w:rPr>
          <w:b w:val="1"/>
          <w:sz w:val="20"/>
          <w:szCs w:val="20"/>
          <w:rFonts w:ascii="Arial" w:hAnsi="Arial" w:cs="Arial"/>
        </w:rPr>
      </w:pPr>
    </w:p>
    <w:p>
      <w:pPr>
        <w:ind w:left="284" w:hanging="142"/>
        <w:rPr>
          <w:sz w:val="20"/>
          <w:szCs w:val="20"/>
          <w:rFonts w:ascii="Arial" w:hAnsi="Arial" w:cs="Arial"/>
        </w:rPr>
      </w:pPr>
      <w:r>
        <w:rPr>
          <w:b w:val="1"/>
          <w:sz w:val="20"/>
          <w:szCs w:val="20"/>
          <w:rFonts w:ascii="Arial" w:hAnsi="Arial" w:cs="Arial"/>
        </w:rPr>
        <w:t xml:space="preserve">Sub: Letter of Grant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Dear Sandip Mondal,</w:t>
      </w:r>
    </w:p>
    <w:p>
      <w:pPr>
        <w:jc w:val="both"/>
        <w:ind w:left="284" w:hanging="142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We wish to inform that the Nomination and Remuneration Committee of Directors of the Company (NRC) has </w:t>
      </w:r>
      <w:r>
        <w:rPr>
          <w:sz w:val="20"/>
          <w:szCs w:val="20"/>
          <w:rFonts w:ascii="Arial" w:hAnsi="Arial" w:cs="Arial"/>
        </w:rPr>
        <w:t xml:space="preserve">approved the Grant of </w:t>
      </w:r>
      <w:r>
        <w:rPr>
          <w:b w:val="1"/>
          <w:sz w:val="20"/>
          <w:szCs w:val="20"/>
          <w:rFonts w:ascii="Arial" w:hAnsi="Arial" w:cs="Arial"/>
        </w:rPr>
        <w:t xml:space="preserve">2000 </w:t>
      </w:r>
      <w:r>
        <w:rPr>
          <w:sz w:val="20"/>
          <w:szCs w:val="20"/>
          <w:rFonts w:ascii="Arial" w:hAnsi="Arial" w:cs="Arial"/>
        </w:rPr>
        <w:t xml:space="preserve">stock options representing </w:t>
      </w:r>
      <w:r>
        <w:rPr>
          <w:b w:val="1"/>
          <w:color w:val="000000"/>
          <w:sz w:val="20"/>
          <w:szCs w:val="20"/>
          <w:rFonts w:ascii="Arial" w:hAnsi="Arial" w:cs="Arial"/>
        </w:rPr>
        <w:t xml:space="preserve">2000 </w:t>
      </w:r>
      <w:r>
        <w:rPr>
          <w:sz w:val="20"/>
          <w:szCs w:val="20"/>
          <w:rFonts w:ascii="Arial" w:hAnsi="Arial" w:cs="Arial"/>
        </w:rPr>
        <w:t xml:space="preserve">equity shares of Rs. 10/- </w:t>
      </w:r>
      <w:r>
        <w:rPr>
          <w:sz w:val="20"/>
          <w:szCs w:val="20"/>
          <w:rFonts w:ascii="Arial" w:hAnsi="Arial" w:cs="Arial"/>
        </w:rPr>
        <w:t xml:space="preserve">each of the Company to you, at a Grant Price of Rs. </w:t>
      </w:r>
      <w:r>
        <w:rPr>
          <w:b w:val="1"/>
          <w:color w:val="000000"/>
          <w:sz w:val="20"/>
          <w:szCs w:val="20"/>
          <w:rFonts w:ascii="Arial" w:hAnsi="Arial" w:cs="Arial"/>
        </w:rPr>
        <w:t>25.7</w:t>
      </w:r>
      <w:r>
        <w:rPr>
          <w:sz w:val="20"/>
          <w:szCs w:val="20"/>
          <w:rFonts w:ascii="Arial" w:hAnsi="Arial" w:cs="Arial"/>
        </w:rPr>
        <w:t xml:space="preserve"> per Option under HDFC ERGO Employee Stock </w:t>
      </w:r>
      <w:r>
        <w:rPr>
          <w:sz w:val="20"/>
          <w:szCs w:val="20"/>
          <w:rFonts w:ascii="Arial" w:hAnsi="Arial" w:cs="Arial"/>
        </w:rPr>
        <w:t xml:space="preserve">Option Plan – 2009 (ESOP 2009) – </w:t>
      </w:r>
      <w:r>
        <w:rPr>
          <w:b w:val="1"/>
          <w:sz w:val="20"/>
          <w:szCs w:val="20"/>
          <w:rFonts w:ascii="Arial" w:hAnsi="Arial" w:cs="Arial"/>
        </w:rPr>
        <w:t>TRANCH-II.</w:t>
      </w:r>
      <w:r>
        <w:rPr>
          <w:sz w:val="20"/>
          <w:szCs w:val="20"/>
          <w:rFonts w:ascii="Arial" w:hAnsi="Arial" w:cs="Arial"/>
        </w:rPr>
        <w:t xml:space="preserve"> The Grant Date is </w:t>
      </w:r>
      <w:r>
        <w:rPr>
          <w:b w:val="1"/>
          <w:sz w:val="20"/>
          <w:szCs w:val="20"/>
          <w:rFonts w:ascii="Arial" w:hAnsi="Arial" w:cs="Arial"/>
        </w:rPr>
        <w:t>February 01, 2019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In accordance with the provisions of ESOP-2009, the tax, if any, on the perquisite value of the Options exercised </w:t>
      </w:r>
      <w:r>
        <w:rPr>
          <w:sz w:val="20"/>
          <w:szCs w:val="20"/>
          <w:rFonts w:ascii="Arial" w:hAnsi="Arial" w:cs="Arial"/>
        </w:rPr>
        <w:t xml:space="preserve">shall be paid by you at the time of Exercise of the Options.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Subject to fulfilling the vesting conditions, Options granted to you on </w:t>
      </w:r>
      <w:r>
        <w:rPr>
          <w:b w:val="1"/>
          <w:sz w:val="20"/>
          <w:szCs w:val="20"/>
          <w:rFonts w:ascii="Arial" w:hAnsi="Arial" w:cs="Arial"/>
        </w:rPr>
        <w:t>February 01, 2019</w:t>
      </w:r>
      <w:r>
        <w:rPr>
          <w:sz w:val="20"/>
          <w:szCs w:val="20"/>
          <w:rFonts w:ascii="Arial" w:hAnsi="Arial" w:cs="Arial"/>
        </w:rPr>
        <w:t xml:space="preserve">, would vest as follows:</w:t>
      </w:r>
    </w:p>
    <w:p>
      <w:pPr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01-02-2021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01-02-2022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50% granted options would Vest on 01-02-2023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The options granted to you will be subject to the terms and conditions stipulated in ESOP-2009.</w:t>
      </w:r>
    </w:p>
    <w:p>
      <w:pPr>
        <w:jc w:val="both"/>
        <w:ind w:left="142" w:firstLine="0"/>
        <w:tabs>
          <w:tab w:val="left" w:pos="2445"/>
        </w:tabs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ab/>
      </w: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A copy of ESOP-2009 and a statement detailing the salient terms and conditions of Grant under </w:t>
      </w:r>
      <w:r>
        <w:rPr>
          <w:b w:val="1"/>
          <w:sz w:val="20"/>
          <w:szCs w:val="20"/>
          <w:rFonts w:ascii="Arial" w:hAnsi="Arial" w:cs="Arial"/>
        </w:rPr>
        <w:t>TRANCH-II</w:t>
      </w:r>
      <w:r>
        <w:rPr>
          <w:sz w:val="20"/>
          <w:szCs w:val="20"/>
          <w:rFonts w:ascii="Arial" w:hAnsi="Arial" w:cs="Arial"/>
        </w:rPr>
        <w:t xml:space="preserve"> </w:t>
      </w:r>
      <w:r>
        <w:rPr>
          <w:sz w:val="20"/>
          <w:szCs w:val="20"/>
          <w:rFonts w:ascii="Arial" w:hAnsi="Arial" w:cs="Arial"/>
        </w:rPr>
        <w:t xml:space="preserve">(Annexure-A) are enclosed herewith. We request you to kindly go through the provisions contained in ESOP-2009 </w:t>
      </w:r>
      <w:r>
        <w:rPr>
          <w:sz w:val="20"/>
          <w:szCs w:val="20"/>
          <w:rFonts w:ascii="Arial" w:hAnsi="Arial" w:cs="Arial"/>
        </w:rPr>
        <w:t xml:space="preserve">and Annexure-A.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color w:val="000000"/>
          <w:sz w:val="20"/>
          <w:szCs w:val="20"/>
          <w:rFonts w:ascii="Arial" w:hAnsi="Arial" w:cs="Arial"/>
          <w:lang w:eastAsia="en-IN"/>
        </w:rPr>
      </w:pP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We advise you to keep the contents of this Grant Letter strictly confidential and not to discuss with any colleague or </w:t>
      </w: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other person.</w:t>
      </w: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  <w:r>
        <w:rPr>
          <w:sz w:val="20"/>
          <w:szCs w:val="20"/>
          <w:rFonts w:ascii="Arial" w:hAnsi="Arial" w:cs="Arial"/>
          <w:lang w:val="en-IN"/>
        </w:rPr>
        <w:t xml:space="preserve">Thanking You,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For HDFC ERGO General Insurance Company Limited</w:t>
      </w: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highlight w:val="yellow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Nagendra Saikumar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Head - Human Resources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 xml:space="preserve">Confidential </w:t>
      </w:r>
    </w:p>
    <w:p>
      <w:pPr>
        <w:jc w:val="right"/>
        <w:rPr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Annexure – A 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HDFC ERGO EMPLOYEES STOCK OPTION PLAN – 2009 (ESOP-2009)</w:t>
      </w:r>
    </w:p>
    <w:p>
      <w:pPr>
        <w:jc w:val="center"/>
        <w:rPr>
          <w:rFonts w:ascii="Arial" w:hAnsi="Arial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GRANT OF OPTIONS ON </w:t>
      </w: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>February 01, 2019</w:t>
      </w:r>
      <w:r>
        <w:rPr>
          <w:sz w:val="20"/>
          <w:szCs w:val="20"/>
          <w:u w:val="single"/>
          <w:rFonts w:ascii="Arial" w:hAnsi="Arial" w:cs="Arial"/>
          <w:lang w:val="en-IN"/>
        </w:rPr>
        <w:t xml:space="preserve"> UNDER TRANCHE -</w:t>
      </w:r>
      <w:r>
        <w:rPr>
          <w:sz w:val="20"/>
          <w:szCs w:val="20"/>
          <w:rFonts w:ascii="Arial" w:hAnsi="Arial" w:cs="Arial"/>
        </w:rPr>
        <w:t>-</w:t>
      </w:r>
      <w:r>
        <w:rPr>
          <w:b w:val="1"/>
          <w:sz w:val="20"/>
          <w:szCs w:val="20"/>
          <w:rFonts w:ascii="Arial" w:hAnsi="Arial" w:cs="Arial"/>
        </w:rPr>
        <w:t>TRANCH-II</w:t>
      </w: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SALIENT TERMS AND CONDITIONS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10343" w:type="dxa"/>
        <w:tblLook w:val="0004A0" w:firstRow="1" w:lastRow="0" w:firstColumn="1" w:lastColumn="0" w:noHBand="0" w:noVBand="1"/>
        <w:tblLayout w:type="fixed"/>
      </w:tblPr>
      <w:tblGrid>
        <w:gridCol w:w="805"/>
        <w:gridCol w:w="1784"/>
        <w:gridCol w:w="775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805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Sr.No.</w:t>
            </w:r>
          </w:p>
        </w:tc>
        <w:tc>
          <w:tcPr>
            <w:tcW w:type="dxa" w:w="178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Subject</w:t>
            </w:r>
          </w:p>
        </w:tc>
        <w:tc>
          <w:tcPr>
            <w:tcW w:type="dxa" w:w="7754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Particulars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Date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February 01, 2019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Price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Rs. </w:t>
            </w:r>
            <w:r>
              <w:rPr>
                <w:b w:val="1"/>
                <w:color w:val="000000"/>
                <w:sz w:val="20"/>
                <w:szCs w:val="20"/>
                <w:rFonts w:ascii="Arial" w:hAnsi="Arial" w:cs="Arial"/>
                <w:lang w:val="en-IN"/>
              </w:rPr>
              <w:t>25.7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 per Option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3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Conditions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Employee has to be on the rolls of the Company / Subsidiary Company on </w:t>
            </w:r>
            <w:r>
              <w:rPr>
                <w:rFonts w:ascii="Arial" w:hAnsi="Arial" w:cs="Arial"/>
                <w:lang w:val="en-IN"/>
              </w:rPr>
              <w:t xml:space="preserve">the date of Vesting </w:t>
            </w:r>
          </w:p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No violation of the terms of employment/service or policies or procedures or </w:t>
            </w:r>
            <w:r>
              <w:rPr>
                <w:rFonts w:ascii="Arial" w:hAnsi="Arial" w:cs="Arial"/>
                <w:lang w:val="en-IN"/>
              </w:rPr>
              <w:t xml:space="preserve">codes of the Company.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4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Period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Subject to fulfilling pre-vesting conditions, granted Options would vest as follows: </w:t>
            </w:r>
          </w:p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01-02-2021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01-02-2022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50% granted options would Vest on 01-02-2023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5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Period 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5 (Five) years from the date of respective vesting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6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Window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Specified period(s) determined by NRC from time to time, during which the Options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vested could be exercised and the same shall occur at least once in a financial year.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intimation about the exercise window would be duly communicated.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7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Perquisite Tax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Applicable tax on Options granted and exercised would have to be fully borne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Eligible Employees as per the prevalent tax laws. As per the provisions of Income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Tax Act 1961, as applicable as on the date of grant, tax on perquisite value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exercised will be borne by the Eligible Employees. Perquisite value per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 is the difference between the Fair Market Value (FMV) of the share as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determined by a Category-I Merchant Banker and the exercise price.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8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Voting Rights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respect of Shares allotted pursuant to exercise of Options before the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any recognized stock exchange in India, voting rights would be exercised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by HDFC and / or ERGO International AG. In this regard, Option Grantees need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submit a Power of Attorney, as per format prescribed at Annexure -1,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9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Restriction 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transfer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Shares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case of any Eligible Employee ceasing to be in employment / service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Company and / or Subsidiary Company, as the case may be, prior to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 recognized stock exchange in India, all Shares held by such employee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as on the date of submission of letter of resignation and that may be allotted upon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thereafter, if any, are required to be sold to HDFC and / or ERGO at a price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to be determined by an independent valuer as prescribed under ESOP-2009, within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15 days of the date of resignation becoming effective. The decision of the NRC 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this regard shall be final and biding.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this regard, Option Grantee need to submit an undertaking to abide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– 2009, as per format prescribed at Annexure -2,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10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Confidentiality 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shall keep the details of the Options Granted to them strictly confidential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and shall not share / disclose the said details with / to any other Employee / or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third party. In case of non-adherence, NRC will have the authority to withdraw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Granted and / or to deal with such cases as it may deem fit in its absolute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discretion.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Statement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Risks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All investments in Shares or options on shares are subject to risk as the value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may go down or go up. In addition, Options are subject to the following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additional risks: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Concentration: The risk arising out of any fall in value of shares is aggravated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employee’s holding is concentrated in the shares of a single company.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Leverage: Any change in the value of the share can lead to a significantly larger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change in the value of the Option as an option amounts to a levered position in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Illiquidity: The Options cannot be transferred to anybody, and therefore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cannot mitigate their risks by selling the whole or part of the Options so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granted to the employees before they are exercised. Further, since the Company’s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are not listed, even shares allotted pursuant to exercise cannot be sold freely.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terms of ESOP-2009, till the shares of the Company are not listed on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recognized stock exchanges, in case any employee wishes to sell the shares, he is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required to sell the same to the promoter Shareholders, in accordance with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-2009.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Vesting: The Options will lapse if the employment is terminated prior to Vesting. Even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after the Options are vested, the unexercised Options may be forfeited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 is terminated for gross misconduct.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Others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For detailed features, terms and conditions of Options granted, please refer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ESOP-2009. Capitalized terms used herein, shall have the same meaning as set out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HDFC ERGO Employee Stock Options Plan 2009. </w:t>
            </w:r>
          </w:p>
        </w:tc>
      </w:tr>
    </w:tbl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sectPr>
          <w:titlePg/>
          <w:headerReference w:type="default" r:id="rId5"/>
          <w:footerReference w:type="default" r:id="rId6"/>
          <w:headerReference w:type="first" r:id="rId7"/>
          <w:footerReference w:type="first" r:id="rId8"/>
          <w:pgSz w:w="12240" w:h="15840"/>
          <w:pgMar w:top="709" w:left="851" w:bottom="709" w:right="900" w:header="426" w:footer="305" w:gutter="0"/>
          <w:pgNumType w:fmt="decimal" w:start="1"/>
          <w:docGrid w:type="default" w:linePitch="360" w:charSpace="0"/>
        </w:sectPr>
        <w:rPr/>
      </w:pPr>
    </w:p>
    <w:p>
      <w:pPr>
        <w:jc w:val="both"/>
        <w:ind w:left="142" w:right="677" w:firstLine="0"/>
        <w:rPr>
          <w:rFonts w:ascii="Arial" w:hAnsi="Arial"/>
        </w:rPr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jc w:val="both"/>
        <w:ind w:left="142" w:right="677" w:firstLine="0"/>
        <w:rPr/>
      </w:pPr>
    </w:p>
    <w:p>
      <w:pPr>
        <w:rPr/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rPr/>
      </w:pPr>
    </w:p>
    <w:p>
      <w:pPr>
        <w:rPr/>
      </w:pPr>
    </w:p>
    <w:sectPr>
      <w:type w:val="continuous"/>
      <w:pgSz w:w="12240" w:h="15840"/>
      <w:pgMar w:top="709" w:left="851" w:bottom="709" w:right="900" w:header="426" w:footer="305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134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</w:fonts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right"/>
      <w:rPr>
        <w:rFonts w:ascii="Arial" w:hAnsi="Arial" w:cs="Arial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HDFC ERGO General Insurance Company Limited.(Formerly HDFC General Insurance Limited). CIN: U66030MH2007PLC177117. 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Registered &amp; Corporate Office: 1st Floor,HDFC House, 165 - 166 Backbay Reclamation,H. T. Parekh Marg, Churchgate, Mumbai – 400 020.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Customer Service Address: D-301, 3rd Floor, Eastern Business District (Magnet Mall), LBS Marg, Bhandup (West), Mumbai - 400 078.</w:t>
    </w:r>
  </w:p>
  <w:p>
    <w:pPr>
      <w:pStyle w:val="PO171"/>
      <w:jc w:val="center"/>
      <w:spacing w:lineRule="auto" w:line="360"/>
      <w:ind w:right="-1" w:firstLine="0"/>
      <w:rPr/>
    </w:pPr>
    <w:r>
      <w:rPr>
        <w:sz w:val="15"/>
        <w:szCs w:val="15"/>
        <w:rFonts w:ascii="Arial Narrow" w:hAnsi="Arial Narrow" w:cs="Arial"/>
      </w:rPr>
      <w:t xml:space="preserve">Tel.: +91 22 6638 3600 | Customer Service No: 022 - 6234 6234 / 0120 - 6234 6234 | care@hdfcergo.com | </w:t>
    </w:r>
    <w:r>
      <w:fldChar w:fldCharType="begin"/>
    </w:r>
    <w:r>
      <w:instrText xml:space="preserve">HYPERLINK "http://www.hdfcergo.com/"</w:instrText>
    </w:r>
    <w:r>
      <w:fldChar w:fldCharType="separate"/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h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d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f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e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r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g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m</w:t>
    </w:r>
    <w:r>
      <w:rPr>
        <w:sz w:val="24"/>
        <w:szCs w:val="24"/>
        <w:lang w:eastAsia="en-US" w:val="en-US"/>
      </w:rPr>
      <w:fldChar w:fldCharType="end"/>
    </w:r>
    <w:r>
      <w:rPr>
        <w:sz w:val="15"/>
        <w:szCs w:val="15"/>
        <w:rFonts w:ascii="Arial Narrow" w:hAnsi="Arial Narrow" w:cs="Arial"/>
      </w:rPr>
      <w:t>.</w:t>
    </w:r>
    <w:r>
      <w:rPr>
        <w:sz w:val="18"/>
        <w:szCs w:val="18"/>
      </w:rPr>
      <w:t xml:space="preserve">IRDAIReg No. 146. 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rPr/>
    </w:pPr>
  </w:p>
  <w:p>
    <w:pPr>
      <w:pStyle w:val="PO170"/>
      <w:ind w:left="720" w:firstLine="0"/>
      <w:tabs>
        <w:tab w:val="clear" w:pos="4320"/>
        <w:tab w:val="center" w:pos="5670"/>
        <w:tab w:val="clear" w:pos="8640"/>
        <w:tab w:val="right" w:pos="9214"/>
      </w:tabs>
      <w:rPr>
        <w:b w:val="1"/>
        <w:rFonts w:ascii="Arial" w:hAnsi="Arial" w:cs="Arial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tbl>
    <w:tblID w:val="0"/>
    <w:tblPr>
      <w:tblStyle w:val="PO37"/>
      <w:tblCellMar>
        <w:left w:w="108" w:type="dxa"/>
        <w:top w:w="0" w:type="dxa"/>
        <w:right w:w="108" w:type="dxa"/>
        <w:bottom w:w="0" w:type="dxa"/>
      </w:tblCellMar>
      <w:tblW w:w="11239" w:type="dxa"/>
      <w:tblLook w:val="0004A0" w:firstRow="1" w:lastRow="0" w:firstColumn="1" w:lastColumn="0" w:noHBand="0" w:noVBand="1"/>
      <w:tblLayout w:type="fixed"/>
    </w:tblPr>
    <w:tblGrid>
      <w:gridCol w:w="7198"/>
      <w:gridCol w:w="4041"/>
    </w:tblGrid>
    <w:tr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atleast" w:val="808"/>
      </w:trPr>
      <w:tc>
        <w:tcPr>
          <w:tcW w:type="dxa" w:w="7198"/>
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sz w:val="22"/>
              <w:szCs w:val="22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  <w:r>
            <w:rPr>
              <w:b w:val="1"/>
              <w:sz w:val="22"/>
              <w:szCs w:val="22"/>
              <w:rFonts w:ascii="Arial" w:hAnsi="Arial" w:cs="Arial"/>
            </w:rPr>
            <w:t xml:space="preserve">HDFC ERGO  General Insurance</w:t>
          </w:r>
        </w:p>
      </w:tc>
      <w:tc>
        <w:tcPr>
          <w:tcW w:type="dxa" w:w="4041"/>
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pStyle w:val="PO170"/>
            <w:jc w:val="right"/>
            <w:tabs>
              <w:tab w:val="clear" w:pos="4320"/>
              <w:tab w:val="center" w:pos="5670"/>
              <w:tab w:val="clear" w:pos="8640"/>
              <w:tab w:val="right" w:pos="9214"/>
            </w:tabs>
            <w:rPr>
              <w:b w:val="1"/>
              <w:rFonts w:ascii="Arial" w:hAnsi="Arial" w:cs="Arial"/>
            </w:rPr>
          </w:pPr>
          <w:r>
            <w:rPr>
              <w:sz w:val="20"/>
            </w:rPr>
            <w:drawing>
              <wp:inline distT="0" distB="0" distL="0" distR="0">
                <wp:extent cx="1009650" cy="1013460"/>
                <wp:effectExtent l="0" t="0" r="0" b="0"/>
                <wp:docPr id="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:/Users/adms.dotnet2/AppData/Roaming/PolarisOffice8/ETemp/14292_18604016/image1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285" cy="1014095"/>
                        </a:xfrm>
                        <a:prstGeom prst="rect"/>
                        <a:ln cap="flat"/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PO170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pPr>
        <w:ind w:left="720" w:hanging="360"/>
        <w:rPr/>
      </w:pPr>
      <w:rPr/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nothing"/>
      <w:pPr>
        <w:ind w:firstLine="0"/>
        <w:rPr/>
      </w:pPr>
      <w:rPr/>
      <w:lvlText w:val=""/>
    </w:lvl>
    <w:lvl w:ilvl="1">
      <w:lvlJc w:val="left"/>
      <w:numFmt w:val="bullet"/>
      <w:start w:val="1"/>
      <w:suff w:val="nothing"/>
      <w:pPr>
        <w:ind w:firstLine="0"/>
        <w:rPr/>
      </w:pPr>
      <w:rPr/>
      <w:lvlText w:val=""/>
    </w:lvl>
    <w:lvl w:ilvl="2">
      <w:lvlJc w:val="left"/>
      <w:numFmt w:val="bullet"/>
      <w:start w:val="1"/>
      <w:suff w:val="nothing"/>
      <w:pPr>
        <w:ind w:firstLine="0"/>
        <w:rPr/>
      </w:pPr>
      <w:rPr/>
      <w:lvlText w:val=""/>
    </w:lvl>
    <w:lvl w:ilvl="3">
      <w:lvlJc w:val="left"/>
      <w:numFmt w:val="bullet"/>
      <w:start w:val="1"/>
      <w:suff w:val="nothing"/>
      <w:pPr>
        <w:ind w:firstLine="0"/>
        <w:rPr/>
      </w:pPr>
      <w:rPr/>
      <w:lvlText w:val=""/>
    </w:lvl>
    <w:lvl w:ilvl="4">
      <w:lvlJc w:val="left"/>
      <w:numFmt w:val="bullet"/>
      <w:start w:val="1"/>
      <w:suff w:val="nothing"/>
      <w:pPr>
        <w:ind w:firstLine="0"/>
        <w:rPr/>
      </w:pPr>
      <w:rPr/>
      <w:lvlText w:val=""/>
    </w:lvl>
    <w:lvl w:ilvl="5">
      <w:lvlJc w:val="left"/>
      <w:numFmt w:val="bullet"/>
      <w:start w:val="1"/>
      <w:suff w:val="nothing"/>
      <w:pPr>
        <w:ind w:firstLine="0"/>
        <w:rPr/>
      </w:pPr>
      <w:rPr/>
      <w:lvlText w:val=""/>
    </w:lvl>
    <w:lvl w:ilvl="6">
      <w:lvlJc w:val="left"/>
      <w:numFmt w:val="bullet"/>
      <w:start w:val="1"/>
      <w:suff w:val="nothing"/>
      <w:pPr>
        <w:ind w:firstLine="0"/>
        <w:rPr/>
      </w:pPr>
      <w:rPr/>
      <w:lvlText w:val=""/>
    </w:lvl>
    <w:lvl w:ilvl="7">
      <w:lvlJc w:val="left"/>
      <w:numFmt w:val="bullet"/>
      <w:start w:val="1"/>
      <w:suff w:val="nothing"/>
      <w:pPr>
        <w:ind w:firstLine="0"/>
        <w:rPr/>
      </w:pPr>
      <w:rPr/>
      <w:lvlText w:val=""/>
    </w:lvl>
    <w:lvl w:ilvl="8">
      <w:lvlJc w:val="left"/>
      <w:numFmt w:val="bullet"/>
      <w:start w:val="1"/>
      <w:suff w:val="nothing"/>
      <w:pPr>
        <w:ind w:firstLine="0"/>
        <w:rPr/>
      </w:pPr>
      <w:rPr/>
      <w:lvlText w:val="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="Times New Roman" w:eastAsia="Times New Roman" w:hAnsi="Times New Roman" w:cs="Times New Roman"/>
        <w:lang w:bidi="ar-SA" w:eastAsia="en-IN" w:val="en-IN"/>
      </w:rPr>
    </w:rPrDefault>
  </w:docDefaults>
  <w:style w:default="1" w:styleId="PO1" w:type="paragraph">
    <w:name w:val="Normal"/>
    <w:qFormat/>
    <w:uiPriority w:val="1"/>
    <w:rPr>
      <w:sz w:val="24"/>
      <w:szCs w:val="24"/>
      <w:lang w:eastAsia="en-US" w:val="en-US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spacing w:lineRule="atLeast" w:line="100"/>
      <w:rPr/>
    </w:pPr>
    <w:rPr>
      <w:sz w:val="20"/>
      <w:szCs w:val="20"/>
      <w:lang w:eastAsia="ar-SA"/>
    </w:rPr>
  </w:style>
  <w:style w:styleId="PO37" w:type="table">
    <w:name w:val="Table Grid"/>
    <w:basedOn w:val="PO3"/>
    <w:uiPriority w:val="37"/>
    <w:tblPr>
      <w:tblBorders>
        <w:bottom w:val="single" w:color="000000" w:themeColor="text1" w:sz="4"/>
        <w:insideH w:val="single" w:color="000000" w:themeColor="text1" w:sz="4"/>
        <w:insideV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151" w:type="character">
    <w:name w:val="Balloon Text Char"/>
    <w:basedOn w:val="PO2"/>
    <w:link w:val="PO172"/>
    <w:qFormat/>
    <w:uiPriority w:val="151"/>
    <w:rPr>
      <w:sz w:val="16"/>
      <w:szCs w:val="16"/>
      <w:rFonts w:ascii="Tahoma" w:hAnsi="Tahoma" w:cs="Tahoma"/>
      <w:lang w:eastAsia="en-US" w:val="en-US"/>
    </w:rPr>
  </w:style>
  <w:style w:customStyle="1" w:styleId="PO152" w:type="character">
    <w:name w:val="Header Char"/>
    <w:basedOn w:val="PO2"/>
    <w:link w:val="PO170"/>
    <w:qFormat/>
    <w:uiPriority w:val="152"/>
    <w:rPr>
      <w:sz w:val="24"/>
      <w:szCs w:val="24"/>
      <w:lang w:eastAsia="en-US" w:val="en-US"/>
    </w:rPr>
  </w:style>
  <w:style w:customStyle="1" w:styleId="PO153" w:type="character">
    <w:name w:val="Internet Link"/>
    <w:basedOn w:val="PO2"/>
    <w:uiPriority w:val="153"/>
    <w:rPr>
      <w:color w:val="0000FF" w:themeColor="hyperlink"/>
      <w:u w:val="single"/>
    </w:rPr>
  </w:style>
  <w:style w:customStyle="1" w:styleId="PO154" w:type="character">
    <w:name w:val="Footer Char"/>
    <w:link w:val="PO171"/>
    <w:qFormat/>
    <w:uiPriority w:val="154"/>
    <w:rPr>
      <w:sz w:val="24"/>
      <w:szCs w:val="24"/>
      <w:lang w:eastAsia="en-US" w:val="en-US"/>
    </w:rPr>
  </w:style>
  <w:style w:customStyle="1" w:styleId="PO155" w:type="character">
    <w:name w:val="ListLabel 1"/>
    <w:qFormat/>
    <w:uiPriority w:val="155"/>
    <w:rPr>
      <w:b w:val="0"/>
      <w:color w:val="auto"/>
    </w:rPr>
  </w:style>
  <w:style w:customStyle="1" w:styleId="PO156" w:type="character">
    <w:name w:val="ListLabel 2"/>
    <w:qFormat/>
    <w:uiPriority w:val="156"/>
    <w:rPr>
      <w:b w:val="0"/>
      <w:sz w:val="21"/>
      <w:szCs w:val="21"/>
    </w:rPr>
  </w:style>
  <w:style w:customStyle="1" w:styleId="PO157" w:type="character">
    <w:name w:val="ListLabel 3"/>
    <w:qFormat/>
    <w:uiPriority w:val="157"/>
    <w:rPr>
      <w:b w:val="0"/>
      <w:color w:val="auto"/>
    </w:rPr>
  </w:style>
  <w:style w:customStyle="1" w:styleId="PO158" w:type="character">
    <w:name w:val="ListLabel 4"/>
    <w:qFormat/>
    <w:uiPriority w:val="158"/>
    <w:rPr>
      <w:b w:val="0"/>
      <w:sz w:val="21"/>
      <w:szCs w:val="21"/>
    </w:rPr>
  </w:style>
  <w:style w:customStyle="1" w:styleId="PO159" w:type="character">
    <w:name w:val="ListLabel 5"/>
    <w:qFormat/>
    <w:uiPriority w:val="159"/>
    <w:rPr>
      <w:color w:val="auto"/>
      <w:sz w:val="15"/>
      <w:szCs w:val="15"/>
      <w:u w:val="none"/>
      <w:rFonts w:ascii="Arial Narrow" w:hAnsi="Arial Narrow" w:cs="Arial"/>
    </w:rPr>
  </w:style>
  <w:style w:customStyle="1" w:styleId="PO160" w:type="character">
    <w:name w:val="ListLabel 6"/>
    <w:qFormat/>
    <w:uiPriority w:val="160"/>
    <w:rPr>
      <w:color w:val="auto"/>
      <w:sz w:val="15"/>
      <w:szCs w:val="15"/>
      <w:u w:val="none"/>
      <w:rFonts w:ascii="Arial Narrow" w:hAnsi="Arial Narrow" w:cs="Arial"/>
    </w:rPr>
  </w:style>
  <w:style w:customStyle="1" w:styleId="PO161" w:type="character">
    <w:name w:val="ListLabel 7"/>
    <w:qFormat/>
    <w:uiPriority w:val="161"/>
    <w:rPr>
      <w:color w:val="auto"/>
      <w:sz w:val="15"/>
      <w:szCs w:val="15"/>
      <w:u w:val="none"/>
      <w:rFonts w:ascii="Arial Narrow" w:hAnsi="Arial Narrow" w:cs="Arial"/>
    </w:rPr>
  </w:style>
  <w:style w:customStyle="1" w:styleId="PO162" w:type="character">
    <w:name w:val="ListLabel 8"/>
    <w:qFormat/>
    <w:uiPriority w:val="162"/>
    <w:rPr>
      <w:color w:val="auto"/>
      <w:sz w:val="15"/>
      <w:szCs w:val="15"/>
      <w:u w:val="none"/>
      <w:rFonts w:ascii="Arial Narrow" w:hAnsi="Arial Narrow" w:cs="Arial"/>
    </w:rPr>
  </w:style>
  <w:style w:customStyle="1" w:styleId="PO163" w:type="character">
    <w:name w:val="ListLabel 9"/>
    <w:qFormat/>
    <w:uiPriority w:val="163"/>
    <w:rPr>
      <w:color w:val="auto"/>
      <w:sz w:val="15"/>
      <w:szCs w:val="15"/>
      <w:u w:val="none"/>
      <w:rFonts w:ascii="Arial Narrow" w:hAnsi="Arial Narrow" w:cs="Arial"/>
    </w:rPr>
  </w:style>
  <w:style w:customStyle="1" w:styleId="PO164" w:type="character">
    <w:name w:val="ListLabel 10"/>
    <w:qFormat/>
    <w:uiPriority w:val="164"/>
    <w:rPr>
      <w:color w:val="auto"/>
      <w:sz w:val="15"/>
      <w:szCs w:val="15"/>
      <w:u w:val="none"/>
      <w:rFonts w:ascii="Arial Narrow" w:hAnsi="Arial Narrow" w:cs="Arial"/>
    </w:rPr>
  </w:style>
  <w:style w:customStyle="1" w:styleId="PO165" w:type="paragraph">
    <w:name w:val="Heading"/>
    <w:basedOn w:val="PO1"/>
    <w:qFormat/>
    <w:uiPriority w:val="165"/>
    <w:pPr>
      <w:spacing w:before="240" w:after="120"/>
      <w:rPr/>
    </w:pPr>
    <w:rPr>
      <w:sz w:val="28"/>
      <w:szCs w:val="28"/>
      <w:rFonts w:ascii="Liberation Sans" w:eastAsia="Microsoft YaHei" w:hAnsi="Liberation Sans" w:cs="Arial"/>
    </w:rPr>
  </w:style>
  <w:style w:styleId="PO166" w:type="paragraph">
    <w:name w:val="Body Text"/>
    <w:basedOn w:val="PO1"/>
    <w:uiPriority w:val="166"/>
    <w:pPr>
      <w:spacing w:lineRule="auto" w:line="276" w:after="140"/>
      <w:rPr/>
    </w:pPr>
  </w:style>
  <w:style w:styleId="PO167" w:type="paragraph">
    <w:name w:val="List"/>
    <w:basedOn w:val="PO166"/>
    <w:uiPriority w:val="167"/>
    <w:rPr>
      <w:rFonts w:cs="Arial"/>
    </w:rPr>
  </w:style>
  <w:style w:styleId="PO168" w:type="paragraph">
    <w:name w:val="caption"/>
    <w:basedOn w:val="PO1"/>
    <w:qFormat/>
    <w:uiPriority w:val="168"/>
    <w:pPr>
      <w:spacing w:before="120" w:after="120"/>
      <w:suppressLineNumbers/>
      <w:rPr/>
    </w:pPr>
    <w:rPr>
      <w:i w:val="1"/>
      <w:rFonts w:cs="Arial"/>
    </w:rPr>
  </w:style>
  <w:style w:customStyle="1" w:styleId="PO169" w:type="paragraph">
    <w:name w:val="Index"/>
    <w:basedOn w:val="PO1"/>
    <w:qFormat/>
    <w:uiPriority w:val="169"/>
    <w:pPr>
      <w:suppressLineNumbers/>
      <w:rPr/>
    </w:pPr>
    <w:rPr>
      <w:rFonts w:cs="Arial"/>
    </w:rPr>
  </w:style>
  <w:style w:styleId="PO170" w:type="paragraph">
    <w:name w:val="header"/>
    <w:basedOn w:val="PO1"/>
    <w:link w:val="PO152"/>
    <w:uiPriority w:val="170"/>
    <w:pPr>
      <w:tabs>
        <w:tab w:val="center" w:pos="4320"/>
        <w:tab w:val="right" w:pos="8640"/>
      </w:tabs>
      <w:rPr/>
    </w:pPr>
  </w:style>
  <w:style w:styleId="PO171" w:type="paragraph">
    <w:name w:val="footer"/>
    <w:basedOn w:val="PO1"/>
    <w:link w:val="PO154"/>
    <w:uiPriority w:val="171"/>
    <w:pPr>
      <w:tabs>
        <w:tab w:val="center" w:pos="4320"/>
        <w:tab w:val="right" w:pos="8640"/>
      </w:tabs>
      <w:rPr/>
    </w:pPr>
  </w:style>
  <w:style w:styleId="PO172" w:type="paragraph">
    <w:name w:val="Balloon Text"/>
    <w:basedOn w:val="PO1"/>
    <w:link w:val="PO151"/>
    <w:qFormat/>
    <w:uiPriority w:val="172"/>
    <w:rPr>
      <w:sz w:val="16"/>
      <w:szCs w:val="16"/>
      <w:rFonts w:ascii="Tahoma" w:hAnsi="Tahoma" w:cs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eader" Target="header2.xml"></Relationship><Relationship Id="rId6" Type="http://schemas.openxmlformats.org/officeDocument/2006/relationships/footer" Target="footer6.xml"></Relationship><Relationship Id="rId7" Type="http://schemas.openxmlformats.org/officeDocument/2006/relationships/header" Target="header3.xml"></Relationship><Relationship Id="rId8" Type="http://schemas.openxmlformats.org/officeDocument/2006/relationships/footer" Target="footer7.xml"></Relationship><Relationship Id="rId9" Type="http://schemas.openxmlformats.org/officeDocument/2006/relationships/numbering" Target="numbering.xml"></Relationship><Relationship Id="rId10" Type="http://schemas.openxmlformats.org/officeDocument/2006/relationships/theme" Target="theme/theme1.xml"></Relationship></Relationships>
</file>

<file path=word/_rels/header3.xml.rels><?xml version="1.0" encoding="UTF-8"?>
<Relationships xmlns="http://schemas.openxmlformats.org/package/2006/relationships"><Relationship Id="rId1" Type="http://schemas.openxmlformats.org/officeDocument/2006/relationships/image" Target="media/image1.jpe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6124</Characters>
  <CharactersWithSpaces>0</CharactersWithSpaces>
  <DocSecurity>0</DocSecurity>
  <HyperlinksChanged>false</HyperlinksChanged>
  <Lines>43</Lines>
  <LinksUpToDate>false</LinksUpToDate>
  <Pages>3</Pages>
  <Paragraphs>12</Paragraphs>
  <Words>915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Rupali Bhosale</dc:creator>
  <cp:lastModifiedBy/>
  <dcterms:modified xsi:type="dcterms:W3CDTF">2022-01-04T07:00:00Z</dcterms:modified>
</cp:coreProperties>
</file>