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5F" w:sz="8" w:space="2"/>
        </w:pBdr>
        <w:spacing w:after="60"/>
      </w:pPr>
      <w:r>
        <w:rPr>
          <w:rFonts w:ascii="Calibri" w:cs="Calibri" w:eastAsia="Calibri" w:hAnsi="Calibri"/>
          <w:b/>
          <w:bCs/>
          <w:color w:val="1F3A5F"/>
          <w:sz w:val="30"/>
          <w:szCs w:val="30"/>
        </w:rPr>
        <w:t xml:space="preserve">Executive Summary</w:t>
      </w:r>
    </w:p>
    <w:p>
      <w:pPr>
        <w:spacing w:after="100" w:before="0" w:line="252"/>
      </w:pPr>
      <w:r>
        <w:rPr>
          <w:rFonts w:ascii="Calibri" w:cs="Calibri" w:eastAsia="Calibri" w:hAnsi="Calibri"/>
          <w:i/>
          <w:iCs/>
          <w:color w:val="555555"/>
          <w:sz w:val="17"/>
          <w:szCs w:val="17"/>
        </w:rPr>
        <w:t xml:space="preserve">Decoding Customer Value: A SQL-Driven Retention Strategy  |  D2C fashion brand, 3,900 customers</w:t>
      </w:r>
    </w:p>
    <w:p>
      <w:pPr>
        <w:spacing w:after="90" w:before="0" w:line="252"/>
      </w:pPr>
      <w:r>
        <w:rPr>
          <w:rFonts w:ascii="Calibri" w:cs="Calibri" w:eastAsia="Calibri" w:hAnsi="Calibri"/>
          <w:b/>
          <w:bCs/>
          <w:sz w:val="20"/>
          <w:szCs w:val="20"/>
        </w:rPr>
        <w:t xml:space="preserve">Answer to the strategic question. </w:t>
      </w:r>
      <w:r>
        <w:rPr>
          <w:rFonts w:ascii="Calibri" w:cs="Calibri" w:eastAsia="Calibri" w:hAnsi="Calibri"/>
          <w:sz w:val="20"/>
          <w:szCs w:val="20"/>
        </w:rPr>
        <w:t xml:space="preserve">The brand is not yet building a loyal base through promotions. Discounts reach 43% of customers, yet discounted customers behave no differently from full-price ones, so the program is giving away margin without a visible return. The brand does have a genuine loyal core (28% of customers) and it is a full-price core.</w:t>
      </w:r>
    </w:p>
    <w:p>
      <w:pPr>
        <w:keepNext/>
        <w:spacing w:after="60" w:before="140"/>
      </w:pPr>
      <w:r>
        <w:rPr>
          <w:rFonts w:ascii="Calibri" w:cs="Calibri" w:eastAsia="Calibri" w:hAnsi="Calibri"/>
          <w:b/>
          <w:bCs/>
          <w:color w:val="1F3A5F"/>
          <w:sz w:val="23"/>
          <w:szCs w:val="23"/>
        </w:rPr>
        <w:t xml:space="preserve">What the data shows</w:t>
      </w:r>
    </w:p>
    <w:p>
      <w:pPr>
        <w:pStyle w:val="ListParagraph"/>
        <w:numPr>
          <w:ilvl w:val="0"/>
          <w:numId w:val="2"/>
        </w:numPr>
        <w:spacing w:after="50" w:line="250"/>
      </w:pPr>
      <w:r>
        <w:rPr>
          <w:rFonts w:ascii="Calibri" w:cs="Calibri" w:eastAsia="Calibri" w:hAnsi="Calibri"/>
          <w:b/>
          <w:bCs/>
          <w:sz w:val="20"/>
          <w:szCs w:val="20"/>
        </w:rPr>
        <w:t xml:space="preserve">Promo reliance is large and structural. </w:t>
      </w:r>
      <w:r>
        <w:rPr>
          <w:rFonts w:ascii="Calibri" w:cs="Calibri" w:eastAsia="Calibri" w:hAnsi="Calibri"/>
          <w:sz w:val="20"/>
          <w:szCs w:val="20"/>
        </w:rPr>
        <w:t xml:space="preserve">1,677 customers (43.0%) carry a discount and promo code, and they account for 43.2% of the lifetime-spend proxy. Every one is male: 0 of 1,248 women were discounted, and all 1,053 subscribers were. Subscription is effectively the discount vehicle.</w:t>
      </w:r>
    </w:p>
    <w:p>
      <w:pPr>
        <w:pStyle w:val="ListParagraph"/>
        <w:numPr>
          <w:ilvl w:val="0"/>
          <w:numId w:val="2"/>
        </w:numPr>
        <w:spacing w:after="50" w:line="250"/>
      </w:pPr>
      <w:r>
        <w:rPr>
          <w:rFonts w:ascii="Calibri" w:cs="Calibri" w:eastAsia="Calibri" w:hAnsi="Calibri"/>
          <w:b/>
          <w:bCs/>
          <w:sz w:val="20"/>
          <w:szCs w:val="20"/>
        </w:rPr>
        <w:t xml:space="preserve">Discounts do not separate better customers. </w:t>
      </w:r>
      <w:r>
        <w:rPr>
          <w:rFonts w:ascii="Calibri" w:cs="Calibri" w:eastAsia="Calibri" w:hAnsi="Calibri"/>
          <w:sz w:val="20"/>
          <w:szCs w:val="20"/>
        </w:rPr>
        <w:t xml:space="preserve">Among men, the only group with both discounted and full-price buyers, discounted vs full-price customers show the same prior purchases (25.7 vs 25.7, p=0.87), order value ($59.28 vs $59.98, p=0.47), purchase frequency (17.3 vs 16.9, p=0.64) and rating (3.74 vs 3.78, p=0.19).</w:t>
      </w:r>
    </w:p>
    <w:p>
      <w:pPr>
        <w:pStyle w:val="ListParagraph"/>
        <w:numPr>
          <w:ilvl w:val="0"/>
          <w:numId w:val="2"/>
        </w:numPr>
        <w:spacing w:after="50" w:line="250"/>
      </w:pPr>
      <w:r>
        <w:rPr>
          <w:rFonts w:ascii="Calibri" w:cs="Calibri" w:eastAsia="Calibri" w:hAnsi="Calibri"/>
          <w:b/>
          <w:bCs/>
          <w:sz w:val="20"/>
          <w:szCs w:val="20"/>
        </w:rPr>
        <w:t xml:space="preserve">Loyalty is best defined as repeat purchasing without a discount (Definition A). </w:t>
      </w:r>
      <w:r>
        <w:rPr>
          <w:rFonts w:ascii="Calibri" w:cs="Calibri" w:eastAsia="Calibri" w:hAnsi="Calibri"/>
          <w:sz w:val="20"/>
          <w:szCs w:val="20"/>
        </w:rPr>
        <w:t xml:space="preserve">It flags 1,103 customers (28.3%) whose lifetime-spend proxy is $2,350 vs $1,273 for everyone else (+85%). The alternative, subscribed with monthly-or-faster buying (Definition B, 599 customers), is 100% discounted and is unrelated to spend (r=0.01), so it labels discount recipients as loyal.</w:t>
      </w:r>
    </w:p>
    <w:p>
      <w:pPr>
        <w:pStyle w:val="ListParagraph"/>
        <w:numPr>
          <w:ilvl w:val="0"/>
          <w:numId w:val="2"/>
        </w:numPr>
        <w:spacing w:after="50" w:line="250"/>
      </w:pPr>
      <w:r>
        <w:rPr>
          <w:rFonts w:ascii="Calibri" w:cs="Calibri" w:eastAsia="Calibri" w:hAnsi="Calibri"/>
          <w:b/>
          <w:bCs/>
          <w:sz w:val="20"/>
          <w:szCs w:val="20"/>
        </w:rPr>
        <w:t xml:space="preserve">Genuine loyalty sits in full-price buyers. </w:t>
      </w:r>
      <w:r>
        <w:rPr>
          <w:rFonts w:ascii="Calibri" w:cs="Calibri" w:eastAsia="Calibri" w:hAnsi="Calibri"/>
          <w:sz w:val="20"/>
          <w:szCs w:val="20"/>
        </w:rPr>
        <w:t xml:space="preserve">The top-quartile full-price repeat buyers (about 550 customers, 14%) generate 28.7% of the lifetime-spend proxy, at about $80 per order vs $57 for the rest.</w:t>
      </w:r>
    </w:p>
    <w:p>
      <w:pPr>
        <w:keepNext/>
        <w:spacing w:after="60" w:before="140"/>
      </w:pPr>
      <w:r>
        <w:rPr>
          <w:rFonts w:ascii="Calibri" w:cs="Calibri" w:eastAsia="Calibri" w:hAnsi="Calibri"/>
          <w:b/>
          <w:bCs/>
          <w:color w:val="1F3A5F"/>
          <w:sz w:val="23"/>
          <w:szCs w:val="23"/>
        </w:rPr>
        <w:t xml:space="preserve">What we recommend</w:t>
      </w:r>
    </w:p>
    <w:p>
      <w:pPr>
        <w:pStyle w:val="ListParagraph"/>
        <w:numPr>
          <w:ilvl w:val="0"/>
          <w:numId w:val="2"/>
        </w:numPr>
        <w:spacing w:after="50" w:line="250"/>
      </w:pPr>
      <w:r>
        <w:rPr>
          <w:rFonts w:ascii="Calibri" w:cs="Calibri" w:eastAsia="Calibri" w:hAnsi="Calibri"/>
          <w:b/>
          <w:bCs/>
          <w:sz w:val="20"/>
          <w:szCs w:val="20"/>
        </w:rPr>
        <w:t xml:space="preserve">Sunset the discount in two waves. </w:t>
      </w:r>
      <w:r>
        <w:rPr>
          <w:rFonts w:ascii="Calibri" w:cs="Calibri" w:eastAsia="Calibri" w:hAnsi="Calibri"/>
          <w:sz w:val="20"/>
          <w:szCs w:val="20"/>
        </w:rPr>
        <w:t xml:space="preserve">Wave 1: 155 male non-subscribers who have more than 25 prior purchases, order at least monthly and still receive promo codes. Wave 2: 322 subscribers with the same behavior, moved from a percentage discount to non-price perks. Together they are 12% of customers and about 20% of annualized revenue. At an assumed 15% discount depth this recovers roughly $47K (Wave 1) and $95K (Wave 2) a year if volume holds. It pays off as long as they keep at least 73% of their order volume.</w:t>
      </w:r>
    </w:p>
    <w:p>
      <w:pPr>
        <w:pStyle w:val="ListParagraph"/>
        <w:numPr>
          <w:ilvl w:val="0"/>
          <w:numId w:val="2"/>
        </w:numPr>
        <w:spacing w:after="50" w:line="250"/>
      </w:pPr>
      <w:r>
        <w:rPr>
          <w:rFonts w:ascii="Calibri" w:cs="Calibri" w:eastAsia="Calibri" w:hAnsi="Calibri"/>
          <w:b/>
          <w:bCs/>
          <w:sz w:val="20"/>
          <w:szCs w:val="20"/>
        </w:rPr>
        <w:t xml:space="preserve">Target the ideal customer on behavior, not demographics. </w:t>
      </w:r>
      <w:r>
        <w:rPr>
          <w:rFonts w:ascii="Calibri" w:cs="Calibri" w:eastAsia="Calibri" w:hAnsi="Calibri"/>
          <w:sz w:val="20"/>
          <w:szCs w:val="20"/>
        </w:rPr>
        <w:t xml:space="preserve">Full price, more than 25 prior orders, order value near $80. Category, season, payment method, shipping and age show no significant skew; only the (structurally explained) female skew does. Test acquisition in Arizona, Pennsylvania and Alaska, where the ideal-customer rate is 24-28% vs 14% overall.</w:t>
      </w:r>
    </w:p>
    <w:p>
      <w:pPr>
        <w:pStyle w:val="ListParagraph"/>
        <w:numPr>
          <w:ilvl w:val="0"/>
          <w:numId w:val="2"/>
        </w:numPr>
        <w:spacing w:after="50" w:line="250"/>
      </w:pPr>
      <w:r>
        <w:rPr>
          <w:rFonts w:ascii="Calibri" w:cs="Calibri" w:eastAsia="Calibri" w:hAnsi="Calibri"/>
          <w:b/>
          <w:bCs/>
          <w:sz w:val="20"/>
          <w:szCs w:val="20"/>
        </w:rPr>
        <w:t xml:space="preserve">Run it as a controlled test. </w:t>
      </w:r>
      <w:r>
        <w:rPr>
          <w:rFonts w:ascii="Calibri" w:cs="Calibri" w:eastAsia="Calibri" w:hAnsi="Calibri"/>
          <w:sz w:val="20"/>
          <w:szCs w:val="20"/>
        </w:rPr>
        <w:t xml:space="preserve">The data has no timestamps or discount depth, so causality cannot be proven from it. Keep a 25% holdout on the discount, track order frequency, and revert if treated customers fall below break-even retention.</w:t>
      </w:r>
    </w:p>
    <w:p>
      <w:r>
        <w:br w:type="page"/>
      </w:r>
    </w:p>
    <w:p>
      <w:pPr>
        <w:pBdr>
          <w:bottom w:val="single" w:color="1F3A5F" w:sz="8" w:space="2"/>
        </w:pBdr>
        <w:spacing w:after="60"/>
      </w:pPr>
      <w:r>
        <w:rPr>
          <w:rFonts w:ascii="Calibri" w:cs="Calibri" w:eastAsia="Calibri" w:hAnsi="Calibri"/>
          <w:b/>
          <w:bCs/>
          <w:color w:val="1F3A5F"/>
          <w:sz w:val="30"/>
          <w:szCs w:val="30"/>
        </w:rPr>
        <w:t xml:space="preserve">Retention Playbook 1: Promotional Sunset Plan</w:t>
      </w:r>
    </w:p>
    <w:p>
      <w:pPr>
        <w:spacing w:after="90" w:before="0" w:line="252"/>
      </w:pPr>
      <w:r>
        <w:rPr>
          <w:rFonts w:ascii="Calibri" w:cs="Calibri" w:eastAsia="Calibri" w:hAnsi="Calibri"/>
          <w:i/>
          <w:iCs/>
          <w:color w:val="555555"/>
          <w:sz w:val="17"/>
          <w:szCs w:val="17"/>
        </w:rPr>
        <w:t xml:space="preserve">Every segment below maps to stated columns of enriched_dataset (promo_dependency_score, Subscription Status, Previous Purchases, purchase_frequency_score). Queries: sql_query_q4_q5.sql.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1900"/>
        <w:gridCol w:w="2000"/>
        <w:gridCol w:w="2786"/>
      </w:tblGrid>
      <w:tr>
        <w:trPr>
          <w:tblHeader/>
        </w:trPr>
        <w:tc>
          <w:tcPr>
            <w:tcW w:type="dxa" w:w="15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
            </w:r>
          </w:p>
        </w:tc>
        <w:tc>
          <w:tcPr>
            <w:tcW w:type="dxa" w:w="175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Wave 1</w:t>
            </w:r>
          </w:p>
        </w:tc>
        <w:tc>
          <w:tcPr>
            <w:tcW w:type="dxa" w:w="19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Wave 2</w:t>
            </w:r>
          </w:p>
        </w:tc>
        <w:tc>
          <w:tcPr>
            <w:tcW w:type="dxa" w:w="20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Protect (no change)</w:t>
            </w:r>
          </w:p>
        </w:tc>
        <w:tc>
          <w:tcPr>
            <w:tcW w:type="dxa" w:w="2786"/>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Notes</w:t>
            </w:r>
          </w:p>
        </w:tc>
      </w:tr>
      <w:tr>
        <w:trPr>
          <w:cantSplit/>
        </w:trPr>
        <w:tc>
          <w:tcPr>
            <w:tcW w:type="dxa" w:w="15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Segment</w:t>
            </w:r>
          </w:p>
        </w:tc>
        <w:tc>
          <w:tcPr>
            <w:tcW w:type="dxa" w:w="175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Habitual discounted non-subscribers</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Habitual discounted subscribers</w:t>
            </w:r>
          </w:p>
        </w:tc>
        <w:tc>
          <w:tcPr>
            <w:tcW w:type="dxa" w:w="20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Discounted customers with 10 or fewer prior purchases</w:t>
            </w:r>
          </w:p>
        </w:tc>
        <w:tc>
          <w:tcPr>
            <w:tcW w:type="dxa" w:w="278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Sizes: 155 / 322 / 317 customers</w:t>
            </w:r>
          </w:p>
        </w:tc>
      </w:tr>
      <w:tr>
        <w:trPr>
          <w:cantSplit/>
        </w:trPr>
        <w:tc>
          <w:tcPr>
            <w:tcW w:type="dxa" w:w="15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Trigger behavior</w:t>
            </w:r>
          </w:p>
        </w:tc>
        <w:tc>
          <w:tcPr>
            <w:tcW w:type="dxa" w:w="175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Discount = Yes, Subscription = No, Previous Purchases &gt; 25, orders at least monthly</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Same behavior, Subscription = Yes</w:t>
            </w:r>
          </w:p>
        </w:tc>
        <w:tc>
          <w:tcPr>
            <w:tcW w:type="dxa" w:w="20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Discount = Yes, Previous Purchases &lt;= 10</w:t>
            </w:r>
          </w:p>
        </w:tc>
        <w:tc>
          <w:tcPr>
            <w:tcW w:type="dxa" w:w="278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Trigger is checked on the customer record each month</w:t>
            </w:r>
          </w:p>
        </w:tc>
      </w:tr>
      <w:tr>
        <w:trPr>
          <w:cantSplit/>
        </w:trPr>
        <w:tc>
          <w:tcPr>
            <w:tcW w:type="dxa" w:w="15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Why this segment</w:t>
            </w:r>
          </w:p>
        </w:tc>
        <w:tc>
          <w:tcPr>
            <w:tcW w:type="dxa" w:w="175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Code-based discount with no membership terms; already habitual; full-price men with the same profile buy just as much</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Same habit, but the discount is bundled into membership, so it needs a redesign, not a switch-off</w:t>
            </w:r>
          </w:p>
        </w:tc>
        <w:tc>
          <w:tcPr>
            <w:tcW w:type="dxa" w:w="20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Habit not yet formed; discount may still matter for the second and third order</w:t>
            </w:r>
          </w:p>
        </w:tc>
        <w:tc>
          <w:tcPr>
            <w:tcW w:type="dxa" w:w="278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Evidence: discounted and full-price men are statistically identical on 4 metrics</w:t>
            </w:r>
          </w:p>
        </w:tc>
      </w:tr>
      <w:tr>
        <w:trPr>
          <w:cantSplit/>
        </w:trPr>
        <w:tc>
          <w:tcPr>
            <w:tcW w:type="dxa" w:w="15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Rollout</w:t>
            </w:r>
          </w:p>
        </w:tc>
        <w:tc>
          <w:tcPr>
            <w:tcW w:type="dxa" w:w="175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Months 0-1: stop new promo codes. Month 4: review gate</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Months 5-9: taper 15% to 10% to 5%, then replace with free shipping / early access</w:t>
            </w:r>
          </w:p>
        </w:tc>
        <w:tc>
          <w:tcPr>
            <w:tcW w:type="dxa" w:w="20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Revisit at month 9 once Wave 1 results are in</w:t>
            </w:r>
          </w:p>
        </w:tc>
        <w:tc>
          <w:tcPr>
            <w:tcW w:type="dxa" w:w="278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Holdout: keep 25% of each wave on today's terms</w:t>
            </w:r>
          </w:p>
        </w:tc>
      </w:tr>
      <w:tr>
        <w:trPr>
          <w:cantSplit/>
        </w:trPr>
        <w:tc>
          <w:tcPr>
            <w:tcW w:type="dxa" w:w="15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Metric to track</w:t>
            </w:r>
          </w:p>
        </w:tc>
        <w:tc>
          <w:tcPr>
            <w:tcW w:type="dxa" w:w="175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90-day order frequency and repeat rate vs holdout; discount cost per $ of revenue</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Same, plus subscription cancellations</w:t>
            </w:r>
          </w:p>
        </w:tc>
        <w:tc>
          <w:tcPr>
            <w:tcW w:type="dxa" w:w="20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Second-order conversion rate</w:t>
            </w:r>
          </w:p>
        </w:tc>
        <w:tc>
          <w:tcPr>
            <w:tcW w:type="dxa" w:w="278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Kill switch: revert if treated order volume falls below break-even (below)</w:t>
            </w:r>
          </w:p>
        </w:tc>
      </w:tr>
      <w:tr>
        <w:trPr>
          <w:cantSplit/>
        </w:trPr>
        <w:tc>
          <w:tcPr>
            <w:tcW w:type="dxa" w:w="15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Trade-off</w:t>
            </w:r>
          </w:p>
        </w:tc>
        <w:tc>
          <w:tcPr>
            <w:tcW w:type="dxa" w:w="175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Some men may switch to competitors or wait for sales</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Subscription churn and a possible backlash to a changed program</w:t>
            </w:r>
          </w:p>
        </w:tc>
        <w:tc>
          <w:tcPr>
            <w:tcW w:type="dxa" w:w="20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Continued margin give-away on unproven customers</w:t>
            </w:r>
          </w:p>
        </w:tc>
        <w:tc>
          <w:tcPr>
            <w:tcW w:type="dxa" w:w="278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Wave 1 is the low-risk proof point before touching subscribers</w:t>
            </w:r>
          </w:p>
        </w:tc>
      </w:tr>
    </w:tbl>
    <w:p>
      <w:pPr>
        <w:keepNext/>
        <w:spacing w:after="60" w:before="140"/>
      </w:pPr>
      <w:r>
        <w:rPr>
          <w:rFonts w:ascii="Calibri" w:cs="Calibri" w:eastAsia="Calibri" w:hAnsi="Calibri"/>
          <w:b/>
          <w:bCs/>
          <w:color w:val="1F3A5F"/>
          <w:sz w:val="23"/>
          <w:szCs w:val="23"/>
        </w:rPr>
        <w:t xml:space="preserve">Margin impact</w:t>
      </w:r>
    </w:p>
    <w:p>
      <w:pPr>
        <w:spacing w:after="70" w:before="0" w:line="252"/>
      </w:pPr>
      <w:r>
        <w:rPr>
          <w:rFonts w:ascii="Calibri" w:cs="Calibri" w:eastAsia="Calibri" w:hAnsi="Calibri"/>
          <w:sz w:val="20"/>
          <w:szCs w:val="20"/>
        </w:rPr>
        <w:t xml:space="preserve">The data has no discount depth and no cost data, so the table uses stated assumptions: gross margin of 55% at list price, and annual revenue proxy = order value x annualized order frequency (Wave 1: $268,838; Wave 2: $540,772).</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2036"/>
      </w:tblGrid>
      <w:tr>
        <w:trPr>
          <w:tblHeader/>
        </w:trPr>
        <w:tc>
          <w:tcPr>
            <w:tcW w:type="dxa" w:w="22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Assumed discount depth</w:t>
            </w:r>
          </w:p>
        </w:tc>
        <w:tc>
          <w:tcPr>
            <w:tcW w:type="dxa" w:w="19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Annual discount given away (Waves 1+2)</w:t>
            </w:r>
          </w:p>
        </w:tc>
        <w:tc>
          <w:tcPr>
            <w:tcW w:type="dxa" w:w="19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Break-even volume retention</w:t>
            </w:r>
          </w:p>
        </w:tc>
        <w:tc>
          <w:tcPr>
            <w:tcW w:type="dxa" w:w="19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Gain if 90% of volume retained</w:t>
            </w:r>
          </w:p>
        </w:tc>
        <w:tc>
          <w:tcPr>
            <w:tcW w:type="dxa" w:w="2036"/>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Gain if 80% of volume retained</w:t>
            </w:r>
          </w:p>
        </w:tc>
      </w:tr>
      <w:tr>
        <w:trPr>
          <w:cantSplit/>
        </w:trPr>
        <w:tc>
          <w:tcPr>
            <w:tcW w:type="dxa" w:w="22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10%</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$89,957</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82%</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$40,481</w:t>
            </w:r>
          </w:p>
        </w:tc>
        <w:tc>
          <w:tcPr>
            <w:tcW w:type="dxa" w:w="20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-$8,996</w:t>
            </w:r>
          </w:p>
        </w:tc>
      </w:tr>
      <w:tr>
        <w:trPr>
          <w:cantSplit/>
        </w:trPr>
        <w:tc>
          <w:tcPr>
            <w:tcW w:type="dxa" w:w="22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15% (base case)</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$142,872</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73%</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$90,486</w:t>
            </w:r>
          </w:p>
        </w:tc>
        <w:tc>
          <w:tcPr>
            <w:tcW w:type="dxa" w:w="20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$38,099</w:t>
            </w:r>
          </w:p>
        </w:tc>
      </w:tr>
      <w:tr>
        <w:trPr>
          <w:cantSplit/>
        </w:trPr>
        <w:tc>
          <w:tcPr>
            <w:tcW w:type="dxa" w:w="22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20%</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$202,403</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64%</w:t>
            </w:r>
          </w:p>
        </w:tc>
        <w:tc>
          <w:tcPr>
            <w:tcW w:type="dxa" w:w="19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$146,742</w:t>
            </w:r>
          </w:p>
        </w:tc>
        <w:tc>
          <w:tcPr>
            <w:tcW w:type="dxa" w:w="20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$91,081</w:t>
            </w:r>
          </w:p>
        </w:tc>
      </w:tr>
    </w:tbl>
    <w:p>
      <w:pPr>
        <w:spacing w:after="60" w:before="70" w:line="252"/>
      </w:pPr>
      <w:r>
        <w:rPr>
          <w:rFonts w:ascii="Calibri" w:cs="Calibri" w:eastAsia="Calibri" w:hAnsi="Calibri"/>
          <w:sz w:val="18"/>
          <w:szCs w:val="18"/>
        </w:rPr>
        <w:t xml:space="preserve">Reading the table: at a 15% depth, the brand can lose up to 27% of these customers' order volume and still come out even. Below 82% retention, a 10% discount depth is not worth removing.</w:t>
      </w:r>
    </w:p>
    <w:p>
      <w:pPr>
        <w:keepNext/>
        <w:spacing w:after="60" w:before="140"/>
      </w:pPr>
      <w:r>
        <w:rPr>
          <w:rFonts w:ascii="Calibri" w:cs="Calibri" w:eastAsia="Calibri" w:hAnsi="Calibri"/>
          <w:b/>
          <w:bCs/>
          <w:color w:val="1F3A5F"/>
          <w:sz w:val="23"/>
          <w:szCs w:val="23"/>
        </w:rPr>
        <w:t xml:space="preserve">Risks the plan does not remove</w:t>
      </w:r>
    </w:p>
    <w:p>
      <w:pPr>
        <w:pStyle w:val="ListParagraph"/>
        <w:numPr>
          <w:ilvl w:val="0"/>
          <w:numId w:val="2"/>
        </w:numPr>
        <w:spacing w:after="50" w:line="250"/>
      </w:pPr>
      <w:r>
        <w:rPr>
          <w:rFonts w:ascii="Calibri" w:cs="Calibri" w:eastAsia="Calibri" w:hAnsi="Calibri"/>
          <w:sz w:val="20"/>
          <w:szCs w:val="20"/>
        </w:rPr>
        <w:t xml:space="preserve">Small samples: a 25% holdout of Wave 1 is about 39 customers, so the first read is directional. Pooling Waves 1 and 2 by month 9 gives a firmer answer.</w:t>
      </w:r>
    </w:p>
    <w:p>
      <w:pPr>
        <w:pStyle w:val="ListParagraph"/>
        <w:numPr>
          <w:ilvl w:val="0"/>
          <w:numId w:val="2"/>
        </w:numPr>
        <w:spacing w:after="50" w:line="250"/>
      </w:pPr>
      <w:r>
        <w:rPr>
          <w:rFonts w:ascii="Calibri" w:cs="Calibri" w:eastAsia="Calibri" w:hAnsi="Calibri"/>
          <w:sz w:val="20"/>
          <w:szCs w:val="20"/>
        </w:rPr>
        <w:t xml:space="preserve">No timestamps: discount is recorded on one transaction per customer, so "discounted" means "discounted on the latest order". The holdout test is what turns this into causal evidence.</w:t>
      </w:r>
    </w:p>
    <w:p>
      <w:r>
        <w:br w:type="page"/>
      </w:r>
    </w:p>
    <w:p>
      <w:pPr>
        <w:pBdr>
          <w:bottom w:val="single" w:color="1F3A5F" w:sz="8" w:space="2"/>
        </w:pBdr>
        <w:spacing w:after="60"/>
      </w:pPr>
      <w:r>
        <w:rPr>
          <w:rFonts w:ascii="Calibri" w:cs="Calibri" w:eastAsia="Calibri" w:hAnsi="Calibri"/>
          <w:b/>
          <w:bCs/>
          <w:color w:val="1F3A5F"/>
          <w:sz w:val="30"/>
          <w:szCs w:val="30"/>
        </w:rPr>
        <w:t xml:space="preserve">Retention Playbook 2: Ideal Customer Profile</w:t>
      </w:r>
    </w:p>
    <w:p>
      <w:pPr>
        <w:spacing w:after="80" w:before="0" w:line="252"/>
      </w:pPr>
      <w:r>
        <w:rPr>
          <w:rFonts w:ascii="Calibri" w:cs="Calibri" w:eastAsia="Calibri" w:hAnsi="Calibri"/>
          <w:b/>
          <w:bCs/>
          <w:sz w:val="20"/>
          <w:szCs w:val="20"/>
        </w:rPr>
        <w:t xml:space="preserve">Definition. </w:t>
      </w:r>
      <w:r>
        <w:rPr>
          <w:rFonts w:ascii="Calibri" w:cs="Calibri" w:eastAsia="Calibri" w:hAnsi="Calibri"/>
          <w:sz w:val="20"/>
          <w:szCs w:val="20"/>
        </w:rPr>
        <w:t xml:space="preserve">Loyalty Definition A (Previous Purchases above the median of 25 and no discount) AND lifetime-spend proxy in the top quartile (at least $2,280). This gives about 550 customers, 14.1% of the base and 28.7% of the lifetime-spend proxy.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3036"/>
      </w:tblGrid>
      <w:tr>
        <w:trPr>
          <w:tblHeader/>
        </w:trPr>
        <w:tc>
          <w:tcPr>
            <w:tcW w:type="dxa" w:w="23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Trait</w:t>
            </w:r>
          </w:p>
        </w:tc>
        <w:tc>
          <w:tcPr>
            <w:tcW w:type="dxa" w:w="23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Ideal customer</w:t>
            </w:r>
          </w:p>
        </w:tc>
        <w:tc>
          <w:tcPr>
            <w:tcW w:type="dxa" w:w="23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Everyone else</w:t>
            </w:r>
          </w:p>
        </w:tc>
        <w:tc>
          <w:tcPr>
            <w:tcW w:type="dxa" w:w="3036"/>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Use it for targeting?</w:t>
            </w:r>
          </w:p>
        </w:tc>
      </w:tr>
      <w:tr>
        <w:trPr>
          <w:cantSplit/>
        </w:trPr>
        <w:tc>
          <w:tcPr>
            <w:tcW w:type="dxa" w:w="23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Pays full price</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100% (no discount, non-subscriber)</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50% (1,677 of 3,350 are discounted)</w:t>
            </w:r>
          </w:p>
        </w:tc>
        <w:tc>
          <w:tcPr>
            <w:tcW w:type="dxa" w:w="30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Yes: the defining behavior</w:t>
            </w:r>
          </w:p>
        </w:tc>
      </w:tr>
      <w:tr>
        <w:trPr>
          <w:cantSplit/>
        </w:trPr>
        <w:tc>
          <w:tcPr>
            <w:tcW w:type="dxa" w:w="23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Average order value</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$79.57</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$56.51</w:t>
            </w:r>
          </w:p>
        </w:tc>
        <w:tc>
          <w:tcPr>
            <w:tcW w:type="dxa" w:w="30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Yes: proxy for lookalike audiences</w:t>
            </w:r>
          </w:p>
        </w:tc>
      </w:tr>
      <w:tr>
        <w:trPr>
          <w:cantSplit/>
        </w:trPr>
        <w:tc>
          <w:tcPr>
            <w:tcW w:type="dxa" w:w="23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Previous purchases</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39.8</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23.0</w:t>
            </w:r>
          </w:p>
        </w:tc>
        <w:tc>
          <w:tcPr>
            <w:tcW w:type="dxa" w:w="30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Yes: repeat depth</w:t>
            </w:r>
          </w:p>
        </w:tc>
      </w:tr>
      <w:tr>
        <w:trPr>
          <w:cantSplit/>
        </w:trPr>
        <w:tc>
          <w:tcPr>
            <w:tcW w:type="dxa" w:w="23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Rating</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3.80</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3.74</w:t>
            </w:r>
          </w:p>
        </w:tc>
        <w:tc>
          <w:tcPr>
            <w:tcW w:type="dxa" w:w="30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No: difference is small</w:t>
            </w:r>
          </w:p>
        </w:tc>
      </w:tr>
      <w:tr>
        <w:trPr>
          <w:cantSplit/>
        </w:trPr>
        <w:tc>
          <w:tcPr>
            <w:tcW w:type="dxa" w:w="23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Age</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44.6 (no age band differs; p=0.75)</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44.0</w:t>
            </w:r>
          </w:p>
        </w:tc>
        <w:tc>
          <w:tcPr>
            <w:tcW w:type="dxa" w:w="30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No</w:t>
            </w:r>
          </w:p>
        </w:tc>
      </w:tr>
      <w:tr>
        <w:trPr>
          <w:cantSplit/>
        </w:trPr>
        <w:tc>
          <w:tcPr>
            <w:tcW w:type="dxa" w:w="23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Gender</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55.6% female (lift 1.7x)</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28.1% female</w:t>
            </w:r>
          </w:p>
        </w:tc>
        <w:tc>
          <w:tcPr>
            <w:tcW w:type="dxa" w:w="30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With care: women are never discounted, so this reflects how discounts are assigned, not proven preference</w:t>
            </w:r>
          </w:p>
        </w:tc>
      </w:tr>
      <w:tr>
        <w:trPr>
          <w:cantSplit/>
        </w:trPr>
        <w:tc>
          <w:tcPr>
            <w:tcW w:type="dxa" w:w="23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Category, season, payment, shipping</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No significant skew (p between 0.45 and 0.67)</w:t>
            </w:r>
          </w:p>
        </w:tc>
        <w:tc>
          <w:tcPr>
            <w:tcW w:type="dxa" w:w="23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
            </w:r>
          </w:p>
        </w:tc>
        <w:tc>
          <w:tcPr>
            <w:tcW w:type="dxa" w:w="30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No: do not target on these</w:t>
            </w:r>
          </w:p>
        </w:tc>
      </w:tr>
    </w:tbl>
    <w:p>
      <w:pPr>
        <w:keepNext/>
        <w:spacing w:after="60" w:before="140"/>
      </w:pPr>
      <w:r>
        <w:rPr>
          <w:rFonts w:ascii="Calibri" w:cs="Calibri" w:eastAsia="Calibri" w:hAnsi="Calibri"/>
          <w:b/>
          <w:bCs/>
          <w:color w:val="1F3A5F"/>
          <w:sz w:val="23"/>
          <w:szCs w:val="23"/>
        </w:rPr>
        <w:t xml:space="preserve">How to acquire more of them</w:t>
      </w:r>
    </w:p>
    <w:p>
      <w:pPr>
        <w:pStyle w:val="ListParagraph"/>
        <w:numPr>
          <w:ilvl w:val="0"/>
          <w:numId w:val="2"/>
        </w:numPr>
        <w:spacing w:after="50" w:line="250"/>
      </w:pPr>
      <w:r>
        <w:rPr>
          <w:rFonts w:ascii="Calibri" w:cs="Calibri" w:eastAsia="Calibri" w:hAnsi="Calibri"/>
          <w:b/>
          <w:bCs/>
          <w:sz w:val="20"/>
          <w:szCs w:val="20"/>
        </w:rPr>
        <w:t xml:space="preserve">Lead with full-price value, not offers. </w:t>
      </w:r>
      <w:r>
        <w:rPr>
          <w:rFonts w:ascii="Calibri" w:cs="Calibri" w:eastAsia="Calibri" w:hAnsi="Calibri"/>
          <w:sz w:val="20"/>
          <w:szCs w:val="20"/>
        </w:rPr>
        <w:t xml:space="preserve">Build lookalike audiences from the 550 on order value (about $80) and repeat depth, and acquire women and non-subscribed men at full price with non-price incentives such as free shipping or early access.</w:t>
      </w:r>
    </w:p>
    <w:p>
      <w:pPr>
        <w:pStyle w:val="ListParagraph"/>
        <w:numPr>
          <w:ilvl w:val="0"/>
          <w:numId w:val="2"/>
        </w:numPr>
        <w:spacing w:after="50" w:line="250"/>
      </w:pPr>
      <w:r>
        <w:rPr>
          <w:rFonts w:ascii="Calibri" w:cs="Calibri" w:eastAsia="Calibri" w:hAnsi="Calibri"/>
          <w:b/>
          <w:bCs/>
          <w:sz w:val="20"/>
          <w:szCs w:val="20"/>
        </w:rPr>
        <w:t xml:space="preserve">Test in the three strongest states. </w:t>
      </w:r>
      <w:r>
        <w:rPr>
          <w:rFonts w:ascii="Calibri" w:cs="Calibri" w:eastAsia="Calibri" w:hAnsi="Calibri"/>
          <w:sz w:val="20"/>
          <w:szCs w:val="20"/>
        </w:rPr>
        <w:t xml:space="preserve">Arizona ($2,001 average spend, 34% promo, 27.7% ideal rate), Pennsylvania ($1,938, 45%, 27.0%) and Alaska ($1,938, 40%, 23.6%) combine high spend with low discount reliance. State spend differences are significant overall (p=0.013), but each state has only 65-74 customers, so treat them as test markets, not conclusions.</w:t>
      </w:r>
    </w:p>
    <w:p>
      <w:pPr>
        <w:pStyle w:val="ListParagraph"/>
        <w:numPr>
          <w:ilvl w:val="0"/>
          <w:numId w:val="2"/>
        </w:numPr>
        <w:spacing w:after="50" w:line="250"/>
      </w:pPr>
      <w:r>
        <w:rPr>
          <w:rFonts w:ascii="Calibri" w:cs="Calibri" w:eastAsia="Calibri" w:hAnsi="Calibri"/>
          <w:b/>
          <w:bCs/>
          <w:sz w:val="20"/>
          <w:szCs w:val="20"/>
        </w:rPr>
        <w:t xml:space="preserve">Trade-off. </w:t>
      </w:r>
      <w:r>
        <w:rPr>
          <w:rFonts w:ascii="Calibri" w:cs="Calibri" w:eastAsia="Calibri" w:hAnsi="Calibri"/>
          <w:sz w:val="20"/>
          <w:szCs w:val="20"/>
        </w:rPr>
        <w:t xml:space="preserve">Full-price acquisition costs more per customer up front and grows slower than discounting. It only pays back if the ideal customer's higher order value and repeat depth hold for new customers.</w:t>
      </w:r>
    </w:p>
    <w:p>
      <w:pPr>
        <w:keepNext/>
        <w:spacing w:after="60" w:before="140"/>
      </w:pPr>
      <w:r>
        <w:rPr>
          <w:rFonts w:ascii="Calibri" w:cs="Calibri" w:eastAsia="Calibri" w:hAnsi="Calibri"/>
          <w:b/>
          <w:bCs/>
          <w:color w:val="1F3A5F"/>
          <w:sz w:val="23"/>
          <w:szCs w:val="23"/>
        </w:rPr>
        <w:t xml:space="preserve">Why the segments are traceable: loyalty definition test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2536"/>
      </w:tblGrid>
      <w:tr>
        <w:trPr>
          <w:tblHeader/>
        </w:trPr>
        <w:tc>
          <w:tcPr>
            <w:tcW w:type="dxa" w:w="24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Test</w:t>
            </w:r>
          </w:p>
        </w:tc>
        <w:tc>
          <w:tcPr>
            <w:tcW w:type="dxa" w:w="25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Definition A: repeat + no discount</w:t>
            </w:r>
          </w:p>
        </w:tc>
        <w:tc>
          <w:tcPr>
            <w:tcW w:type="dxa" w:w="2500"/>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Definition B: subscribed + monthly or faster</w:t>
            </w:r>
          </w:p>
        </w:tc>
        <w:tc>
          <w:tcPr>
            <w:tcW w:type="dxa" w:w="2536"/>
            <w:tcBorders>
              <w:top w:val="single" w:color="BFC5CF" w:sz="4"/>
              <w:left w:val="single" w:color="BFC5CF" w:sz="4"/>
              <w:bottom w:val="single" w:color="BFC5CF" w:sz="4"/>
              <w:right w:val="single" w:color="BFC5CF" w:sz="4"/>
            </w:tcBorders>
            <w:shd w:fill="1F3A5F" w:color="auto" w:val="clear"/>
            <w:tcMar>
              <w:top w:type="dxa" w:w="50"/>
              <w:left w:type="dxa" w:w="90"/>
              <w:bottom w:type="dxa" w:w="50"/>
              <w:right w:type="dxa" w:w="90"/>
            </w:tcMar>
          </w:tcPr>
          <w:p>
            <w:pPr>
              <w:spacing w:after="30" w:line="236"/>
            </w:pPr>
            <w:r>
              <w:rPr>
                <w:rFonts w:ascii="Calibri" w:cs="Calibri" w:eastAsia="Calibri" w:hAnsi="Calibri"/>
                <w:b/>
                <w:bCs/>
                <w:color w:val="FFFFFF"/>
                <w:sz w:val="17"/>
                <w:szCs w:val="17"/>
              </w:rPr>
              <w:t xml:space="preserve">Verdict</w:t>
            </w:r>
          </w:p>
        </w:tc>
      </w:tr>
      <w:tr>
        <w:trPr>
          <w:cantSplit/>
        </w:trPr>
        <w:tc>
          <w:tcPr>
            <w:tcW w:type="dxa" w:w="24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Customers flagged</w:t>
            </w:r>
          </w:p>
        </w:tc>
        <w:tc>
          <w:tcPr>
            <w:tcW w:type="dxa" w:w="25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1,103 (28.3%)</w:t>
            </w:r>
          </w:p>
        </w:tc>
        <w:tc>
          <w:tcPr>
            <w:tcW w:type="dxa" w:w="25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599 (15.4%)</w:t>
            </w:r>
          </w:p>
        </w:tc>
        <w:tc>
          <w:tcPr>
            <w:tcW w:type="dxa" w:w="25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w:t>
            </w:r>
          </w:p>
        </w:tc>
      </w:tr>
      <w:tr>
        <w:trPr>
          <w:cantSplit/>
        </w:trPr>
        <w:tc>
          <w:tcPr>
            <w:tcW w:type="dxa" w:w="24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Discounted share of flagged</w:t>
            </w:r>
          </w:p>
        </w:tc>
        <w:tc>
          <w:tcPr>
            <w:tcW w:type="dxa" w:w="25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0%</w:t>
            </w:r>
          </w:p>
        </w:tc>
        <w:tc>
          <w:tcPr>
            <w:tcW w:type="dxa" w:w="25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100%</w:t>
            </w:r>
          </w:p>
        </w:tc>
        <w:tc>
          <w:tcPr>
            <w:tcW w:type="dxa" w:w="25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A separates loyalty from discount reliance; B does not</w:t>
            </w:r>
          </w:p>
        </w:tc>
      </w:tr>
      <w:tr>
        <w:trPr>
          <w:cantSplit/>
        </w:trPr>
        <w:tc>
          <w:tcPr>
            <w:tcW w:type="dxa" w:w="24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Correlation with lifetime-spend proxy</w:t>
            </w:r>
          </w:p>
        </w:tc>
        <w:tc>
          <w:tcPr>
            <w:tcW w:type="dxa" w:w="25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0.43 (partly circular: uses prior purchases)</w:t>
            </w:r>
          </w:p>
        </w:tc>
        <w:tc>
          <w:tcPr>
            <w:tcW w:type="dxa" w:w="25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0.01</w:t>
            </w:r>
          </w:p>
        </w:tc>
        <w:tc>
          <w:tcPr>
            <w:tcW w:type="dxa" w:w="25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A ties to revenue; B does not</w:t>
            </w:r>
          </w:p>
        </w:tc>
      </w:tr>
      <w:tr>
        <w:trPr>
          <w:cantSplit/>
        </w:trPr>
        <w:tc>
          <w:tcPr>
            <w:tcW w:type="dxa" w:w="24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Prior purchases, flagged vs not</w:t>
            </w:r>
          </w:p>
        </w:tc>
        <w:tc>
          <w:tcPr>
            <w:tcW w:type="dxa" w:w="25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37.7 vs 20.5</w:t>
            </w:r>
          </w:p>
        </w:tc>
        <w:tc>
          <w:tcPr>
            <w:tcW w:type="dxa" w:w="25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26.4 vs 25.2 (p=0.051)</w:t>
            </w:r>
          </w:p>
        </w:tc>
        <w:tc>
          <w:tcPr>
            <w:tcW w:type="dxa" w:w="25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B shows no repeat-buying signal</w:t>
            </w:r>
          </w:p>
        </w:tc>
      </w:tr>
      <w:tr>
        <w:trPr>
          <w:cantSplit/>
        </w:trPr>
        <w:tc>
          <w:tcPr>
            <w:tcW w:type="dxa" w:w="2400"/>
            <w:tcBorders>
              <w:top w:val="single" w:color="BFC5CF" w:sz="4"/>
              <w:left w:val="single" w:color="BFC5CF" w:sz="4"/>
              <w:bottom w:val="single" w:color="BFC5CF" w:sz="4"/>
              <w:right w:val="single" w:color="BFC5CF" w:sz="4"/>
            </w:tcBorders>
            <w:shd w:fill="F2F4F7" w:color="auto" w:val="clear"/>
            <w:tcMar>
              <w:top w:type="dxa" w:w="50"/>
              <w:left w:type="dxa" w:w="90"/>
              <w:bottom w:type="dxa" w:w="50"/>
              <w:right w:type="dxa" w:w="90"/>
            </w:tcMar>
          </w:tcPr>
          <w:p>
            <w:pPr>
              <w:spacing w:after="30" w:line="236"/>
            </w:pPr>
            <w:r>
              <w:rPr>
                <w:rFonts w:ascii="Calibri" w:cs="Calibri" w:eastAsia="Calibri" w:hAnsi="Calibri"/>
                <w:b/>
                <w:bCs/>
                <w:sz w:val="17"/>
                <w:szCs w:val="17"/>
              </w:rPr>
              <w:t xml:space="preserve">Overlap between definitions</w:t>
            </w:r>
          </w:p>
        </w:tc>
        <w:tc>
          <w:tcPr>
            <w:tcW w:type="dxa" w:w="25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0 customers (kappa = -0.25)</w:t>
            </w:r>
          </w:p>
        </w:tc>
        <w:tc>
          <w:tcPr>
            <w:tcW w:type="dxa" w:w="2500"/>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
            </w:r>
          </w:p>
        </w:tc>
        <w:tc>
          <w:tcPr>
            <w:tcW w:type="dxa" w:w="2536"/>
            <w:tcBorders>
              <w:top w:val="single" w:color="BFC5CF" w:sz="4"/>
              <w:left w:val="single" w:color="BFC5CF" w:sz="4"/>
              <w:bottom w:val="single" w:color="BFC5CF" w:sz="4"/>
              <w:right w:val="single" w:color="BFC5CF" w:sz="4"/>
            </w:tcBorders>
            <w:tcMar>
              <w:top w:type="dxa" w:w="50"/>
              <w:left w:type="dxa" w:w="90"/>
              <w:bottom w:type="dxa" w:w="50"/>
              <w:right w:type="dxa" w:w="90"/>
            </w:tcMar>
          </w:tcPr>
          <w:p>
            <w:pPr>
              <w:spacing w:after="30" w:line="236"/>
            </w:pPr>
            <w:r>
              <w:rPr>
                <w:rFonts w:ascii="Calibri" w:cs="Calibri" w:eastAsia="Calibri" w:hAnsi="Calibri"/>
                <w:b w:val="false"/>
                <w:bCs w:val="false"/>
                <w:sz w:val="17"/>
                <w:szCs w:val="17"/>
              </w:rPr>
              <w:t xml:space="preserve"> They describe opposite groups</w:t>
            </w:r>
          </w:p>
        </w:tc>
      </w:tr>
    </w:tbl>
    <w:p>
      <w:pPr>
        <w:spacing w:after="0" w:before="70" w:line="252"/>
      </w:pPr>
      <w:r>
        <w:rPr>
          <w:rFonts w:ascii="Calibri" w:cs="Calibri" w:eastAsia="Calibri" w:hAnsi="Calibri"/>
          <w:sz w:val="18"/>
          <w:szCs w:val="18"/>
        </w:rPr>
        <w:t xml:space="preserve">Limits of the choice: Definition A includes the gender pattern (all women are discount-free, so 48% of women qualify vs 19% of men) and does not predict current order value or rating on its own. We use it because it is the only definition that separates repeat buying from discount reliance, which is the brand's core question.</w:t>
      </w:r>
    </w:p>
    <w:sectPr>
      <w:pgSz w:w="12240" w:h="15840" w:orient="portrait"/>
      <w:pgMar w:top="1000" w:right="1152" w:bottom="9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2026-09-30T11:54:12.816Z</dcterms:created>
  <dcterms:modified xsi:type="dcterms:W3CDTF">2026-09-30T11:54:12.816Z</dcterms:modified>
</cp:coreProperties>
</file>

<file path=docProps/custom.xml><?xml version="1.0" encoding="utf-8"?>
<Properties xmlns="http://schemas.openxmlformats.org/officeDocument/2006/custom-properties" xmlns:vt="http://schemas.openxmlformats.org/officeDocument/2006/docPropsVTypes"/>
</file>