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b/>
          <w:bCs/>
          <w:color w:val="1F3864"/>
          <w:sz w:val="34"/>
          <w:szCs w:val="34"/>
        </w:rPr>
        <w:t xml:space="preserve">Protocolo de descarga de datos IDEAM</w:t>
      </w:r>
    </w:p>
    <w:p>
      <w:pPr>
        <w:spacing w:after="40" w:line="276"/>
      </w:pPr>
      <w:r>
        <w:rPr>
          <w:color w:val="2E5496"/>
          <w:sz w:val="23"/>
          <w:szCs w:val="23"/>
        </w:rPr>
        <w:t xml:space="preserve">Cuenca Magdalena-Cauca · Proyecto MGB-SED (UMNG, EMINES)</w:t>
      </w:r>
    </w:p>
    <w:p>
      <w:pPr>
        <w:spacing w:after="200" w:line="276"/>
      </w:pPr>
      <w:r>
        <w:rPr>
          <w:i/>
          <w:iCs/>
          <w:color w:val="595959"/>
          <w:sz w:val="21"/>
          <w:szCs w:val="21"/>
        </w:rPr>
        <w:t xml:space="preserve">Reparto de trabajo: TWILL &amp; Omar</w:t>
      </w:r>
    </w:p>
    <w:p>
      <w:pPr>
        <w:pStyle w:val="Heading1"/>
        <w:spacing w:after="100" w:before="120"/>
      </w:pPr>
      <w:r>
        <w:rPr>
          <w:b/>
          <w:bCs/>
          <w:color w:val="1F3864"/>
          <w:sz w:val="26"/>
          <w:szCs w:val="26"/>
        </w:rPr>
        <w:t xml:space="preserve">1. Objetivo</w:t>
      </w:r>
    </w:p>
    <w:p>
      <w:pPr>
        <w:spacing w:after="120" w:line="276"/>
      </w:pPr>
      <w:r>
        <w:rPr>
          <w:color w:val="000000"/>
          <w:sz w:val="21"/>
          <w:szCs w:val="21"/>
        </w:rPr>
        <w:t xml:space="preserve">Descargar las series diarias de todas las estaciones IDEAM de la cuenca Magdalena-Cauca para calibrar y validar el modelo hidrológico–sedimentológico MGB-SED. Empezamos por el </w:t>
      </w:r>
      <w:r>
        <w:rPr>
          <w:b/>
          <w:bCs/>
          <w:color w:val="000000"/>
          <w:sz w:val="21"/>
          <w:szCs w:val="21"/>
        </w:rPr>
        <w:t xml:space="preserve">CAUDAL</w:t>
      </w:r>
      <w:r>
        <w:rPr>
          <w:color w:val="000000"/>
          <w:sz w:val="21"/>
          <w:szCs w:val="21"/>
        </w:rPr>
        <w:t xml:space="preserve">; el sedimento es la segunda fase. Se descarga </w:t>
      </w:r>
      <w:r>
        <w:rPr>
          <w:b/>
          <w:bCs/>
          <w:color w:val="000000"/>
          <w:sz w:val="21"/>
          <w:szCs w:val="21"/>
        </w:rPr>
        <w:t xml:space="preserve">todo el histórico disponible</w:t>
      </w:r>
      <w:r>
        <w:rPr>
          <w:color w:val="000000"/>
          <w:sz w:val="21"/>
          <w:szCs w:val="21"/>
        </w:rPr>
        <w:t xml:space="preserve"> (no solo 2011 y 2015-16): la calibración/validación usa todos los datos, y el caudal alimentará después las curvas de gasto sólido (Qs = a·Q^b) para reconstruir el sedimento en los años de estudio.</w:t>
      </w:r>
    </w:p>
    <w:p>
      <w:pPr>
        <w:pStyle w:val="Heading1"/>
        <w:spacing w:after="100" w:before="160"/>
      </w:pPr>
      <w:r>
        <w:rPr>
          <w:b/>
          <w:bCs/>
          <w:color w:val="1F3864"/>
          <w:sz w:val="26"/>
          <w:szCs w:val="26"/>
        </w:rPr>
        <w:t xml:space="preserve">2. Regla clave — código 21 a 29</w:t>
      </w:r>
    </w:p>
    <w:p>
      <w:pPr>
        <w:spacing w:after="120" w:line="276"/>
      </w:pPr>
      <w:r>
        <w:rPr>
          <w:color w:val="000000"/>
          <w:sz w:val="21"/>
          <w:szCs w:val="21"/>
        </w:rPr>
        <w:t xml:space="preserve">Una estación pertenece a la cuenca Magdalena-Cauca (Área Hidrográfica 2) si su </w:t>
      </w:r>
      <w:r>
        <w:rPr>
          <w:b/>
          <w:bCs/>
          <w:color w:val="000000"/>
          <w:sz w:val="21"/>
          <w:szCs w:val="21"/>
        </w:rPr>
        <w:t xml:space="preserve">código empieza por 21 a 29</w:t>
      </w:r>
      <w:r>
        <w:rPr>
          <w:color w:val="000000"/>
          <w:sz w:val="21"/>
          <w:szCs w:val="21"/>
        </w:rPr>
        <w:t xml:space="preserve">. Al filtrar por departamento, </w:t>
      </w:r>
      <w:r>
        <w:rPr>
          <w:b/>
          <w:bCs/>
          <w:color w:val="C00000"/>
          <w:sz w:val="21"/>
          <w:szCs w:val="21"/>
        </w:rPr>
        <w:t xml:space="preserve">descartar toda estación cuyo código NO empiece por 21-29</w:t>
      </w:r>
      <w:r>
        <w:rPr>
          <w:color w:val="000000"/>
          <w:sz w:val="21"/>
          <w:szCs w:val="21"/>
        </w:rPr>
        <w:t xml:space="preserve">  (Orinoco 3x, Pacífico 5x, Catatumbo 16x).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100"/>
        <w:gridCol w:w="3580"/>
        <w:gridCol w:w="1100"/>
        <w:gridCol w:w="3580"/>
      </w:tblGrid>
      <w:tr>
        <w:trPr>
          <w:tblHeader/>
        </w:trPr>
        <w:tc>
          <w:tcPr>
            <w:tcW w:type="dxa" w:w="11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358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Zona hidrográfica</w:t>
            </w:r>
          </w:p>
        </w:tc>
        <w:tc>
          <w:tcPr>
            <w:tcW w:type="dxa" w:w="11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358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Zona hidrográfica</w:t>
            </w:r>
          </w:p>
        </w:tc>
      </w:tr>
      <w:tr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 Magdalena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Cauca</w:t>
            </w:r>
          </w:p>
        </w:tc>
      </w:tr>
      <w:tr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Saldaña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Nechí</w:t>
            </w:r>
          </w:p>
        </w:tc>
      </w:tr>
      <w:tr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 Magdalena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Cesar</w:t>
            </w:r>
          </w:p>
        </w:tc>
      </w:tr>
      <w:tr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Sogamoso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Bajo Magdalena (Calamar / salida)</w:t>
            </w:r>
          </w:p>
        </w:tc>
      </w:tr>
      <w:tr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Bajo Magdalena-Cauca-San Jorge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b/>
          <w:bCs/>
          <w:color w:val="000000"/>
          <w:sz w:val="21"/>
          <w:szCs w:val="21"/>
        </w:rPr>
        <w:t xml:space="preserve">⚠ No olvidar las zonas </w:t>
      </w:r>
      <w:r>
        <w:rPr>
          <w:b/>
          <w:bCs/>
          <w:color w:val="C00000"/>
          <w:sz w:val="21"/>
          <w:szCs w:val="21"/>
        </w:rPr>
        <w:t xml:space="preserve">28 (Cesar) y 29 (Bajo Magdalena)</w:t>
      </w:r>
      <w:r>
        <w:rPr>
          <w:color w:val="000000"/>
          <w:sz w:val="21"/>
          <w:szCs w:val="21"/>
        </w:rPr>
        <w:t xml:space="preserve"> — la zona 29 contiene Calamar, la estación de salida de toda la cuenca, la más importante.</w:t>
      </w:r>
    </w:p>
    <w:p>
      <w:pPr>
        <w:pStyle w:val="Heading1"/>
        <w:spacing w:after="100" w:before="160"/>
      </w:pPr>
      <w:r>
        <w:rPr>
          <w:b/>
          <w:bCs/>
          <w:color w:val="1F3864"/>
          <w:sz w:val="26"/>
          <w:szCs w:val="26"/>
        </w:rPr>
        <w:t xml:space="preserve">3. Receta paso a paso — Caudal medio diario</w:t>
      </w:r>
    </w:p>
    <w:p>
      <w:pPr>
        <w:spacing w:after="120" w:line="276"/>
      </w:pPr>
      <w:r>
        <w:rPr>
          <w:color w:val="000000"/>
          <w:sz w:val="21"/>
          <w:szCs w:val="21"/>
        </w:rPr>
        <w:t xml:space="preserve">Portal DHIME: </w:t>
      </w:r>
      <w:r>
        <w:rPr>
          <w:color w:val="2E5496"/>
          <w:sz w:val="21"/>
          <w:szCs w:val="21"/>
        </w:rPr>
        <w:t xml:space="preserve">https://atencionciudadano.ideam.gov.co/</w:t>
      </w:r>
      <w:r>
        <w:rPr>
          <w:color w:val="000000"/>
          <w:sz w:val="21"/>
          <w:szCs w:val="21"/>
        </w:rPr>
        <w:t xml:space="preserve">  (aceptar los términos una vez). Recargar (F5) entre departamentos para que el portal no se congele.</w:t>
      </w:r>
    </w:p>
    <w:p>
      <w:pPr>
        <w:spacing w:after="60" w:line="276"/>
      </w:pPr>
      <w:r>
        <w:rPr>
          <w:b/>
          <w:bCs/>
          <w:color w:val="000000"/>
          <w:sz w:val="21"/>
          <w:szCs w:val="21"/>
        </w:rPr>
        <w:t xml:space="preserve">1. </w:t>
      </w:r>
      <w:r>
        <w:rPr>
          <w:b/>
          <w:bCs/>
          <w:color w:val="000000"/>
          <w:sz w:val="21"/>
          <w:szCs w:val="21"/>
        </w:rPr>
        <w:t xml:space="preserve">Consultar</w:t>
      </w:r>
      <w:r>
        <w:rPr>
          <w:color w:val="000000"/>
          <w:sz w:val="21"/>
          <w:szCs w:val="21"/>
        </w:rPr>
        <w:t xml:space="preserve"> → Variable = </w:t>
      </w:r>
      <w:r>
        <w:rPr>
          <w:b/>
          <w:bCs/>
          <w:color w:val="000000"/>
          <w:sz w:val="21"/>
          <w:szCs w:val="21"/>
        </w:rPr>
        <w:t xml:space="preserve">Caudal medio diario</w:t>
      </w:r>
      <w:r>
        <w:rPr>
          <w:color w:val="000000"/>
          <w:sz w:val="21"/>
          <w:szCs w:val="21"/>
        </w:rPr>
        <w:t xml:space="preserve">.</w:t>
      </w:r>
    </w:p>
    <w:p>
      <w:pPr>
        <w:spacing w:after="60" w:line="276"/>
      </w:pPr>
      <w:r>
        <w:rPr>
          <w:b/>
          <w:bCs/>
          <w:color w:val="000000"/>
          <w:sz w:val="21"/>
          <w:szCs w:val="21"/>
        </w:rPr>
        <w:t xml:space="preserve">2. </w:t>
      </w:r>
      <w:r>
        <w:rPr>
          <w:b/>
          <w:bCs/>
          <w:color w:val="000000"/>
          <w:sz w:val="21"/>
          <w:szCs w:val="21"/>
        </w:rPr>
        <w:t xml:space="preserve">Descripción</w:t>
      </w:r>
      <w:r>
        <w:rPr>
          <w:color w:val="000000"/>
          <w:sz w:val="21"/>
          <w:szCs w:val="21"/>
        </w:rPr>
        <w:t xml:space="preserve"> → el parámetro diario (normalmente uno solo).</w:t>
      </w:r>
    </w:p>
    <w:p>
      <w:pPr>
        <w:spacing w:after="60" w:line="276"/>
      </w:pPr>
      <w:r>
        <w:rPr>
          <w:b/>
          <w:bCs/>
          <w:color w:val="000000"/>
          <w:sz w:val="21"/>
          <w:szCs w:val="21"/>
        </w:rPr>
        <w:t xml:space="preserve">3. </w:t>
      </w:r>
      <w:r>
        <w:rPr>
          <w:b/>
          <w:bCs/>
          <w:color w:val="000000"/>
          <w:sz w:val="21"/>
          <w:szCs w:val="21"/>
        </w:rPr>
        <w:t xml:space="preserve">Datos Estación</w:t>
      </w:r>
      <w:r>
        <w:rPr>
          <w:color w:val="000000"/>
          <w:sz w:val="21"/>
          <w:szCs w:val="21"/>
        </w:rPr>
        <w:t xml:space="preserve">: Departamento = el asignado, Municipio = Todo, Nombre = Todo → </w:t>
      </w:r>
      <w:r>
        <w:rPr>
          <w:b/>
          <w:bCs/>
          <w:color w:val="000000"/>
          <w:sz w:val="21"/>
          <w:szCs w:val="21"/>
        </w:rPr>
        <w:t xml:space="preserve">Filtrar</w:t>
      </w:r>
      <w:r>
        <w:rPr>
          <w:color w:val="000000"/>
          <w:sz w:val="21"/>
          <w:szCs w:val="21"/>
        </w:rPr>
        <w:t xml:space="preserve">.</w:t>
      </w:r>
    </w:p>
    <w:p>
      <w:pPr>
        <w:spacing w:after="60" w:line="276"/>
      </w:pPr>
      <w:r>
        <w:rPr>
          <w:b/>
          <w:bCs/>
          <w:color w:val="000000"/>
          <w:sz w:val="21"/>
          <w:szCs w:val="21"/>
        </w:rPr>
        <w:t xml:space="preserve">4. </w:t>
      </w:r>
      <w:r>
        <w:rPr>
          <w:color w:val="000000"/>
          <w:sz w:val="21"/>
          <w:szCs w:val="21"/>
        </w:rPr>
        <w:t xml:space="preserve">Seleccionar todo → luego </w:t>
      </w:r>
      <w:r>
        <w:rPr>
          <w:b/>
          <w:bCs/>
          <w:color w:val="000000"/>
          <w:sz w:val="21"/>
          <w:szCs w:val="21"/>
        </w:rPr>
        <w:t xml:space="preserve">desmarcar</w:t>
      </w:r>
      <w:r>
        <w:rPr>
          <w:color w:val="000000"/>
          <w:sz w:val="21"/>
          <w:szCs w:val="21"/>
        </w:rPr>
        <w:t xml:space="preserve">: (a) códigos que no empiecen por 21-29, y (b) filas con FechaFin en blanco.</w:t>
      </w:r>
    </w:p>
    <w:p>
      <w:pPr>
        <w:spacing w:after="60" w:line="276"/>
      </w:pPr>
      <w:r>
        <w:rPr>
          <w:b/>
          <w:bCs/>
          <w:color w:val="000000"/>
          <w:sz w:val="21"/>
          <w:szCs w:val="21"/>
        </w:rPr>
        <w:t xml:space="preserve">5. </w:t>
      </w:r>
      <w:r>
        <w:rPr>
          <w:b/>
          <w:bCs/>
          <w:color w:val="000000"/>
          <w:sz w:val="21"/>
          <w:szCs w:val="21"/>
        </w:rPr>
        <w:t xml:space="preserve">Descargar</w:t>
      </w:r>
      <w:r>
        <w:rPr>
          <w:color w:val="000000"/>
          <w:sz w:val="21"/>
          <w:szCs w:val="21"/>
        </w:rPr>
        <w:t xml:space="preserve"> → </w:t>
      </w:r>
      <w:r>
        <w:rPr>
          <w:b/>
          <w:bCs/>
          <w:color w:val="000000"/>
          <w:sz w:val="21"/>
          <w:szCs w:val="21"/>
        </w:rPr>
        <w:t xml:space="preserve">Ajustar Fechas</w:t>
      </w:r>
      <w:r>
        <w:rPr>
          <w:color w:val="000000"/>
          <w:sz w:val="21"/>
          <w:szCs w:val="21"/>
        </w:rPr>
        <w:t xml:space="preserve"> = </w:t>
      </w:r>
      <w:r>
        <w:rPr>
          <w:b/>
          <w:bCs/>
          <w:color w:val="000000"/>
          <w:sz w:val="21"/>
          <w:szCs w:val="21"/>
        </w:rPr>
        <w:t xml:space="preserve">1980-01-01 → 2018-12-31</w:t>
      </w:r>
      <w:r>
        <w:rPr>
          <w:color w:val="000000"/>
          <w:sz w:val="21"/>
          <w:szCs w:val="21"/>
        </w:rPr>
        <w:t xml:space="preserve">  (39 años, bajo el límite de ~50 años del tipo Diario) → formato </w:t>
      </w:r>
      <w:r>
        <w:rPr>
          <w:b/>
          <w:bCs/>
          <w:color w:val="000000"/>
          <w:sz w:val="21"/>
          <w:szCs w:val="21"/>
        </w:rPr>
        <w:t xml:space="preserve">CSV</w:t>
      </w:r>
      <w:r>
        <w:rPr>
          <w:color w:val="000000"/>
          <w:sz w:val="21"/>
          <w:szCs w:val="21"/>
        </w:rPr>
        <w:t xml:space="preserve">.</w:t>
      </w:r>
    </w:p>
    <w:p>
      <w:pPr>
        <w:spacing w:after="80" w:line="276"/>
      </w:pPr>
      <w:r>
        <w:rPr>
          <w:b/>
          <w:bCs/>
          <w:color w:val="000000"/>
          <w:sz w:val="21"/>
          <w:szCs w:val="21"/>
        </w:rPr>
        <w:t xml:space="preserve">6. </w:t>
      </w:r>
      <w:r>
        <w:rPr>
          <w:color w:val="000000"/>
          <w:sz w:val="21"/>
          <w:szCs w:val="21"/>
        </w:rPr>
        <w:t xml:space="preserve">Guardar el archivo como </w:t>
      </w:r>
      <w:r>
        <w:rPr>
          <w:b/>
          <w:bCs/>
          <w:color w:val="000000"/>
          <w:sz w:val="21"/>
          <w:szCs w:val="21"/>
        </w:rPr>
        <w:t xml:space="preserve">caudal_&lt;departamento&gt;.csv</w:t>
      </w:r>
      <w:r>
        <w:rPr>
          <w:color w:val="000000"/>
          <w:sz w:val="21"/>
          <w:szCs w:val="21"/>
        </w:rPr>
        <w:t xml:space="preserve"> (ver tabla). F5 y siguiente departamento.</w:t>
      </w:r>
    </w:p>
    <w:p>
      <w:pPr>
        <w:spacing w:after="120" w:line="276"/>
      </w:pPr>
      <w:r>
        <w:rPr>
          <w:i/>
          <w:iCs/>
          <w:color w:val="595959"/>
          <w:sz w:val="19"/>
          <w:szCs w:val="19"/>
        </w:rPr>
        <w:t xml:space="preserve">Si un departamento tiene muchas estaciones y la descarga se cuelga, dividir: la mitad de las estaciones, o dos ventanas de fechas (1980-1999 / 2000-2018).</w:t>
      </w:r>
    </w:p>
    <w:p>
      <w:pPr>
        <w:pStyle w:val="Heading1"/>
        <w:spacing w:after="100" w:before="160"/>
      </w:pPr>
      <w:r>
        <w:rPr>
          <w:b/>
          <w:bCs/>
          <w:color w:val="1F3864"/>
          <w:sz w:val="26"/>
          <w:szCs w:val="26"/>
        </w:rPr>
        <w:t xml:space="preserve">4. Reparto del trabajo (18 departamentos)</w:t>
      </w:r>
    </w:p>
    <w:p>
      <w:pPr>
        <w:spacing w:after="120" w:line="276"/>
      </w:pPr>
      <w:r>
        <w:rPr>
          <w:color w:val="595959"/>
          <w:sz w:val="19"/>
          <w:szCs w:val="19"/>
        </w:rPr>
        <w:t xml:space="preserve">Verde = TWILL (aguas arriba, 1-9). Naranja = Omar (aguas abajo, 10-18). Marcar en el chat de grupo al terminar cada uno.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640"/>
        <w:gridCol w:w="3720"/>
        <w:gridCol w:w="2000"/>
        <w:gridCol w:w="3000"/>
      </w:tblGrid>
      <w:tr>
        <w:trPr>
          <w:tblHeader/>
        </w:trPr>
        <w:tc>
          <w:tcPr>
            <w:tcW w:type="dxa" w:w="64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72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Departamento</w:t>
            </w:r>
          </w:p>
        </w:tc>
        <w:tc>
          <w:tcPr>
            <w:tcW w:type="dxa" w:w="20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0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 esperado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Huila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caudal_huila.csv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Tolima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caudal_tolima.csv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Cauca  (solo 2x; descartar Pacífico 5x)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caudal_cauca.csv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Valle del Cauca  (descartar Pacífico 5x)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caudal_valle.csv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Caldas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caudal_caldas.csv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Risaralda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caudal_risaralda.csv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Quindío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caudal_quindio.csv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Cundinamarca  (descartar Orinoco 3x)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caudal_cundinamarca.csv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Boyacá  (descartar Orinoco 3x)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caudal_boyaca.csv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Antioquia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caudal_antioquia.csv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Santander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caudal_santander.csv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Norte de Santander  (descartar Catatumbo 16x)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caudal_nsantander.csv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Cesar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caudal_cesar.csv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Córdoba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caudal_cordoba.csv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Sucre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caudal_sucre.csv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Bolívar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caudal_bolivar.csv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Magdalena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caudal_magdalena.csv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Atlántico  (¡zona 29 – Calamar!)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caudal_atlantico.csv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5. Sedimento (segunda fase)</w:t>
      </w:r>
    </w:p>
    <w:p>
      <w:pPr>
        <w:spacing w:after="120" w:line="276"/>
      </w:pPr>
      <w:r>
        <w:rPr>
          <w:color w:val="000000"/>
          <w:sz w:val="21"/>
          <w:szCs w:val="21"/>
        </w:rPr>
        <w:t xml:space="preserve">Mismos pasos, mismo filtro 21-29, mismas fechas. Dos variables a descargar: </w:t>
      </w:r>
      <w:r>
        <w:rPr>
          <w:b/>
          <w:bCs/>
          <w:color w:val="000000"/>
          <w:sz w:val="21"/>
          <w:szCs w:val="21"/>
        </w:rPr>
        <w:t xml:space="preserve">Transporte de sedimentos</w:t>
      </w:r>
      <w:r>
        <w:rPr>
          <w:color w:val="000000"/>
          <w:sz w:val="21"/>
          <w:szCs w:val="21"/>
        </w:rPr>
        <w:t xml:space="preserve"> y </w:t>
      </w:r>
      <w:r>
        <w:rPr>
          <w:b/>
          <w:bCs/>
          <w:color w:val="000000"/>
          <w:sz w:val="21"/>
          <w:szCs w:val="21"/>
        </w:rPr>
        <w:t xml:space="preserve">Concentración de sedimentos en suspensión</w:t>
      </w:r>
      <w:r>
        <w:rPr>
          <w:color w:val="000000"/>
          <w:sz w:val="21"/>
          <w:szCs w:val="21"/>
        </w:rPr>
        <w:t xml:space="preserve">. Evitar los parámetros «a partir de la CM» (producto derivado, casi vacío).</w:t>
      </w:r>
    </w:p>
    <w:p>
      <w:pPr>
        <w:spacing w:after="120" w:line="276"/>
      </w:pPr>
      <w:r>
        <w:rPr>
          <w:color w:val="000000"/>
          <w:sz w:val="21"/>
          <w:szCs w:val="21"/>
        </w:rPr>
        <w:t xml:space="preserve">Omar ya empezó el sedimento (códigos 21-27): </w:t>
      </w:r>
      <w:r>
        <w:rPr>
          <w:b/>
          <w:bCs/>
          <w:color w:val="C00000"/>
          <w:sz w:val="21"/>
          <w:szCs w:val="21"/>
        </w:rPr>
        <w:t xml:space="preserve">falta completar las zonas 28 y 29</w:t>
      </w:r>
      <w:r>
        <w:rPr>
          <w:color w:val="000000"/>
          <w:sz w:val="21"/>
          <w:szCs w:val="21"/>
        </w:rPr>
        <w:t xml:space="preserve"> y revisar estaciones olvidadas. Guardar como </w:t>
      </w:r>
      <w:r>
        <w:rPr>
          <w:b/>
          <w:bCs/>
          <w:color w:val="000000"/>
          <w:sz w:val="21"/>
          <w:szCs w:val="21"/>
        </w:rPr>
        <w:t xml:space="preserve">sedimento_transporte_&lt;dep&gt;.csv</w:t>
      </w:r>
      <w:r>
        <w:rPr>
          <w:color w:val="000000"/>
          <w:sz w:val="21"/>
          <w:szCs w:val="21"/>
        </w:rPr>
        <w:t xml:space="preserve"> y </w:t>
      </w:r>
      <w:r>
        <w:rPr>
          <w:b/>
          <w:bCs/>
          <w:color w:val="000000"/>
          <w:sz w:val="21"/>
          <w:szCs w:val="21"/>
        </w:rPr>
        <w:t xml:space="preserve">sedimento_concentracion_&lt;dep&gt;.csv</w:t>
      </w:r>
      <w:r>
        <w:rPr>
          <w:color w:val="000000"/>
          <w:sz w:val="21"/>
          <w:szCs w:val="21"/>
        </w:rPr>
        <w:t xml:space="preserve">.</w:t>
      </w:r>
    </w:p>
    <w:p>
      <w:pPr>
        <w:pStyle w:val="Heading1"/>
        <w:spacing w:after="100" w:before="160"/>
      </w:pPr>
      <w:r>
        <w:rPr>
          <w:b/>
          <w:bCs/>
          <w:color w:val="1F3864"/>
          <w:sz w:val="26"/>
          <w:szCs w:val="26"/>
        </w:rPr>
        <w:t xml:space="preserve">6. Nomenclatura y entrega</w:t>
      </w:r>
    </w:p>
    <w:p>
      <w:pPr>
        <w:spacing w:after="50" w:line="276"/>
      </w:pPr>
      <w:r>
        <w:rPr>
          <w:color w:val="000000"/>
          <w:sz w:val="21"/>
          <w:szCs w:val="21"/>
        </w:rPr>
        <w:t xml:space="preserve">• Caudal → carpeta </w:t>
      </w:r>
      <w:r>
        <w:rPr>
          <w:b/>
          <w:bCs/>
          <w:color w:val="000000"/>
          <w:sz w:val="21"/>
          <w:szCs w:val="21"/>
        </w:rPr>
        <w:t xml:space="preserve">data/raw/observed/caudal/</w:t>
      </w:r>
      <w:r>
        <w:rPr>
          <w:color w:val="000000"/>
          <w:sz w:val="21"/>
          <w:szCs w:val="21"/>
        </w:rPr>
        <w:t xml:space="preserve">   →  caudal_&lt;dep&gt;.csv</w:t>
      </w:r>
    </w:p>
    <w:p>
      <w:pPr>
        <w:spacing w:after="50" w:line="276"/>
      </w:pPr>
      <w:r>
        <w:rPr>
          <w:color w:val="000000"/>
          <w:sz w:val="21"/>
          <w:szCs w:val="21"/>
        </w:rPr>
        <w:t xml:space="preserve">• Sedimento → carpeta </w:t>
      </w:r>
      <w:r>
        <w:rPr>
          <w:b/>
          <w:bCs/>
          <w:color w:val="000000"/>
          <w:sz w:val="21"/>
          <w:szCs w:val="21"/>
        </w:rPr>
        <w:t xml:space="preserve">data/raw/observed/sedimento/</w:t>
      </w:r>
      <w:r>
        <w:rPr>
          <w:color w:val="000000"/>
          <w:sz w:val="21"/>
          <w:szCs w:val="21"/>
        </w:rPr>
        <w:t xml:space="preserve">   →  sedimento_transporte_&lt;dep&gt;.csv, sedimento_concentracion_&lt;dep&gt;.csv</w:t>
      </w:r>
    </w:p>
    <w:p>
      <w:pPr>
        <w:spacing w:after="120" w:line="276"/>
      </w:pPr>
      <w:r>
        <w:rPr>
          <w:color w:val="000000"/>
          <w:sz w:val="21"/>
          <w:szCs w:val="21"/>
        </w:rPr>
        <w:t xml:space="preserve">• Enviar todos los CSV a TWILL para consolidación y control (nº de estaciones, códigos válidos, cobertura de 2011 y 2015-16).</w:t>
      </w:r>
    </w:p>
    <w:p>
      <w:pPr>
        <w:spacing w:after="120" w:line="276"/>
      </w:pPr>
      <w:r>
        <w:rPr>
          <w:i/>
          <w:iCs/>
          <w:color w:val="595959"/>
          <w:sz w:val="19"/>
          <w:szCs w:val="19"/>
        </w:rPr>
        <w:t xml:space="preserve">Conservar el CSV tal como lo entrega el portal, sin abrirlo/editarlo en Excel (Excel puede corromper fechas y separadores).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2026-07-29T04:31:00.983Z</dcterms:created>
  <dcterms:modified xsi:type="dcterms:W3CDTF">2026-07-29T04:31:00.983Z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