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</w:pPr>
      <w:r>
        <w:rPr>
          <w:b/>
          <w:bCs/>
          <w:color w:val="1F3864"/>
          <w:sz w:val="34"/>
          <w:szCs w:val="34"/>
        </w:rPr>
        <w:t xml:space="preserve">Protocolo de descarga — SEDIMENTOS</w:t>
      </w:r>
    </w:p>
    <w:p>
      <w:pPr>
        <w:spacing w:after="40" w:line="276"/>
      </w:pPr>
      <w:r>
        <w:rPr>
          <w:color w:val="2E5496"/>
          <w:sz w:val="22"/>
          <w:szCs w:val="22"/>
        </w:rPr>
        <w:t xml:space="preserve">Concentración media diaria · Cuenca Magdalena-Cauca · Proyecto MGB-SED (UMNG)</w:t>
      </w:r>
    </w:p>
    <w:p>
      <w:pPr>
        <w:spacing w:after="200" w:line="276"/>
      </w:pPr>
      <w:r>
        <w:rPr>
          <w:i/>
          <w:iCs/>
          <w:color w:val="595959"/>
          <w:sz w:val="21"/>
          <w:szCs w:val="21"/>
        </w:rPr>
        <w:t xml:space="preserve">Reparto de trabajo: TWILL &amp; Omar</w:t>
      </w:r>
    </w:p>
    <w:p>
      <w:pPr>
        <w:pStyle w:val="Heading1"/>
        <w:spacing w:after="100" w:before="120"/>
      </w:pPr>
      <w:r>
        <w:rPr>
          <w:b/>
          <w:bCs/>
          <w:color w:val="1F3864"/>
          <w:sz w:val="26"/>
          <w:szCs w:val="26"/>
        </w:rPr>
        <w:t xml:space="preserve">1. Objetivo</w:t>
      </w:r>
    </w:p>
    <w:p>
      <w:pPr>
        <w:spacing w:after="120" w:line="276"/>
      </w:pPr>
      <w:r>
        <w:rPr>
          <w:color w:val="000000"/>
          <w:sz w:val="21"/>
          <w:szCs w:val="21"/>
        </w:rPr>
        <w:t xml:space="preserve">Completar la descarga de </w:t>
      </w:r>
      <w:r>
        <w:rPr>
          <w:b/>
          <w:bCs/>
          <w:color w:val="000000"/>
          <w:sz w:val="21"/>
          <w:szCs w:val="21"/>
        </w:rPr>
        <w:t xml:space="preserve">sedimento en suspensión</w:t>
      </w:r>
      <w:r>
        <w:rPr>
          <w:color w:val="000000"/>
          <w:sz w:val="21"/>
          <w:szCs w:val="21"/>
        </w:rPr>
        <w:t xml:space="preserve"> para los departamentos de la cuenca que faltan. Un compañero ya descargó 7 departamentos (ver abajo); aquí repartimos los 11 restantes. Estos datos permiten validar el sedimento del modelo MGB-SED y construir las curvas de gasto sólido (Qs–Q).</w:t>
      </w:r>
    </w:p>
    <w:p>
      <w:pPr>
        <w:spacing w:after="120" w:line="276"/>
      </w:pPr>
      <w:r>
        <w:rPr>
          <w:b/>
          <w:bCs/>
          <w:color w:val="000000"/>
          <w:sz w:val="21"/>
          <w:szCs w:val="21"/>
        </w:rPr>
        <w:t xml:space="preserve">Ya descargados — NO rehacer: </w:t>
      </w:r>
      <w:r>
        <w:rPr>
          <w:color w:val="595959"/>
          <w:sz w:val="21"/>
          <w:szCs w:val="21"/>
        </w:rPr>
        <w:t xml:space="preserve">Huila, Cauca, Caldas, Antioquia, Santander, Bolívar, Valle del Cauca.</w:t>
      </w:r>
    </w:p>
    <w:p>
      <w:pPr>
        <w:pStyle w:val="Heading1"/>
        <w:spacing w:after="100" w:before="160"/>
      </w:pPr>
      <w:r>
        <w:rPr>
          <w:b/>
          <w:bCs/>
          <w:color w:val="1F3864"/>
          <w:sz w:val="26"/>
          <w:szCs w:val="26"/>
        </w:rPr>
        <w:t xml:space="preserve">2. La variable correcta</w:t>
      </w:r>
    </w:p>
    <w:p>
      <w:pPr>
        <w:spacing w:after="120" w:line="276"/>
      </w:pPr>
      <w:r>
        <w:rPr>
          <w:color w:val="000000"/>
          <w:sz w:val="21"/>
          <w:szCs w:val="21"/>
        </w:rPr>
        <w:t xml:space="preserve">En Descripción, elegir </w:t>
      </w:r>
      <w:r>
        <w:rPr>
          <w:b/>
          <w:bCs/>
          <w:color w:val="000000"/>
          <w:sz w:val="21"/>
          <w:szCs w:val="21"/>
        </w:rPr>
        <w:t xml:space="preserve">«Concentración media diaria» (Kg/m³)</w:t>
      </w:r>
      <w:r>
        <w:rPr>
          <w:color w:val="000000"/>
          <w:sz w:val="21"/>
          <w:szCs w:val="21"/>
        </w:rPr>
        <w:t xml:space="preserve">.  </w:t>
      </w:r>
      <w:r>
        <w:rPr>
          <w:b/>
          <w:bCs/>
          <w:color w:val="C00000"/>
          <w:sz w:val="21"/>
          <w:szCs w:val="21"/>
        </w:rPr>
        <w:t xml:space="preserve">¡NO elegir «Concentración superficial promedio diario»!</w:t>
      </w:r>
      <w:r>
        <w:rPr>
          <w:color w:val="000000"/>
          <w:sz w:val="21"/>
          <w:szCs w:val="21"/>
        </w:rPr>
        <w:t xml:space="preserve">  — ese producto está casi vacío y no cubre los años de estudio. La «media diaria» es la que tiene datos reales (2011 y 2015-16).</w:t>
      </w:r>
    </w:p>
    <w:p>
      <w:pPr>
        <w:spacing w:after="120" w:line="276"/>
      </w:pPr>
      <w:r>
        <w:rPr>
          <w:color w:val="000000"/>
          <w:sz w:val="21"/>
          <w:szCs w:val="21"/>
        </w:rPr>
        <w:t xml:space="preserve">Misma regla de cuenca que en caudal: guardar solo </w:t>
      </w:r>
      <w:r>
        <w:rPr>
          <w:b/>
          <w:bCs/>
          <w:color w:val="000000"/>
          <w:sz w:val="21"/>
          <w:szCs w:val="21"/>
        </w:rPr>
        <w:t xml:space="preserve">código 21-29</w:t>
      </w:r>
      <w:r>
        <w:rPr>
          <w:color w:val="000000"/>
          <w:sz w:val="21"/>
          <w:szCs w:val="21"/>
        </w:rPr>
        <w:t xml:space="preserve">, descartar el resto (3x Orinoco, 5x Pacífico, 16x Catatumbo).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100"/>
        <w:gridCol w:w="3580"/>
        <w:gridCol w:w="1100"/>
        <w:gridCol w:w="3580"/>
      </w:tblGrid>
      <w:tr>
        <w:trPr>
          <w:tblHeader/>
        </w:trPr>
        <w:tc>
          <w:tcPr>
            <w:tcW w:type="dxa" w:w="1100"/>
            <w:shd w:fill="2E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Cód.</w:t>
            </w:r>
          </w:p>
        </w:tc>
        <w:tc>
          <w:tcPr>
            <w:tcW w:type="dxa" w:w="3580"/>
            <w:shd w:fill="2E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Zona hidrográfica</w:t>
            </w:r>
          </w:p>
        </w:tc>
        <w:tc>
          <w:tcPr>
            <w:tcW w:type="dxa" w:w="1100"/>
            <w:shd w:fill="2E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Cód.</w:t>
            </w:r>
          </w:p>
        </w:tc>
        <w:tc>
          <w:tcPr>
            <w:tcW w:type="dxa" w:w="3580"/>
            <w:shd w:fill="2E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Zona hidrográfica</w:t>
            </w:r>
          </w:p>
        </w:tc>
      </w:tr>
      <w:tr>
        <w:tc>
          <w:tcPr>
            <w:tcW w:type="dxa" w:w="11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35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Alto Magdalena</w:t>
            </w:r>
          </w:p>
        </w:tc>
        <w:tc>
          <w:tcPr>
            <w:tcW w:type="dxa" w:w="11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dxa" w:w="35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Cauca</w:t>
            </w:r>
          </w:p>
        </w:tc>
      </w:tr>
      <w:tr>
        <w:tc>
          <w:tcPr>
            <w:tcW w:type="dxa" w:w="11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35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Saldaña</w:t>
            </w:r>
          </w:p>
        </w:tc>
        <w:tc>
          <w:tcPr>
            <w:tcW w:type="dxa" w:w="11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dxa" w:w="35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Nechí</w:t>
            </w:r>
          </w:p>
        </w:tc>
      </w:tr>
      <w:tr>
        <w:tc>
          <w:tcPr>
            <w:tcW w:type="dxa" w:w="11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35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Medio Magdalena</w:t>
            </w:r>
          </w:p>
        </w:tc>
        <w:tc>
          <w:tcPr>
            <w:tcW w:type="dxa" w:w="11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35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Cesar</w:t>
            </w:r>
          </w:p>
        </w:tc>
      </w:tr>
      <w:tr>
        <w:tc>
          <w:tcPr>
            <w:tcW w:type="dxa" w:w="11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35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Sogamoso</w:t>
            </w:r>
          </w:p>
        </w:tc>
        <w:tc>
          <w:tcPr>
            <w:tcW w:type="dxa" w:w="11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29</w:t>
            </w:r>
          </w:p>
        </w:tc>
        <w:tc>
          <w:tcPr>
            <w:tcW w:type="dxa" w:w="35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Bajo Magdalena</w:t>
            </w:r>
          </w:p>
        </w:tc>
      </w:tr>
      <w:tr>
        <w:tc>
          <w:tcPr>
            <w:tcW w:type="dxa" w:w="11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35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Bajo Magdalena-Cauca-San Jorge</w:t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00" w:before="160"/>
      </w:pPr>
      <w:r>
        <w:rPr>
          <w:b/>
          <w:bCs/>
          <w:color w:val="1F3864"/>
          <w:sz w:val="26"/>
          <w:szCs w:val="26"/>
        </w:rPr>
        <w:t xml:space="preserve">3. Receta paso a paso</w:t>
      </w:r>
    </w:p>
    <w:p>
      <w:pPr>
        <w:spacing w:after="100" w:line="276"/>
      </w:pPr>
      <w:r>
        <w:rPr>
          <w:color w:val="000000"/>
          <w:sz w:val="21"/>
          <w:szCs w:val="21"/>
        </w:rPr>
        <w:t xml:space="preserve">Portal DHIME. Recargar (F5) entre departamentos.</w:t>
      </w:r>
    </w:p>
    <w:p>
      <w:pPr>
        <w:spacing w:after="60" w:line="276"/>
      </w:pPr>
      <w:r>
        <w:rPr>
          <w:b/>
          <w:bCs/>
          <w:color w:val="000000"/>
          <w:sz w:val="21"/>
          <w:szCs w:val="21"/>
        </w:rPr>
        <w:t xml:space="preserve">1. </w:t>
      </w:r>
      <w:r>
        <w:rPr>
          <w:b/>
          <w:bCs/>
          <w:color w:val="000000"/>
          <w:sz w:val="21"/>
          <w:szCs w:val="21"/>
        </w:rPr>
        <w:t xml:space="preserve">Consultar</w:t>
      </w:r>
      <w:r>
        <w:rPr>
          <w:color w:val="000000"/>
          <w:sz w:val="21"/>
          <w:szCs w:val="21"/>
        </w:rPr>
        <w:t xml:space="preserve"> → Variable = </w:t>
      </w:r>
      <w:r>
        <w:rPr>
          <w:b/>
          <w:bCs/>
          <w:color w:val="000000"/>
          <w:sz w:val="21"/>
          <w:szCs w:val="21"/>
        </w:rPr>
        <w:t xml:space="preserve">Concentración de sedimentos en suspensión</w:t>
      </w:r>
      <w:r>
        <w:rPr>
          <w:color w:val="000000"/>
          <w:sz w:val="21"/>
          <w:szCs w:val="21"/>
        </w:rPr>
        <w:t xml:space="preserve">.</w:t>
      </w:r>
    </w:p>
    <w:p>
      <w:pPr>
        <w:spacing w:after="60" w:line="276"/>
      </w:pPr>
      <w:r>
        <w:rPr>
          <w:b/>
          <w:bCs/>
          <w:color w:val="000000"/>
          <w:sz w:val="21"/>
          <w:szCs w:val="21"/>
        </w:rPr>
        <w:t xml:space="preserve">2. </w:t>
      </w:r>
      <w:r>
        <w:rPr>
          <w:b/>
          <w:bCs/>
          <w:color w:val="000000"/>
          <w:sz w:val="21"/>
          <w:szCs w:val="21"/>
        </w:rPr>
        <w:t xml:space="preserve">Descripción</w:t>
      </w:r>
      <w:r>
        <w:rPr>
          <w:color w:val="000000"/>
          <w:sz w:val="21"/>
          <w:szCs w:val="21"/>
        </w:rPr>
        <w:t xml:space="preserve"> → </w:t>
      </w:r>
      <w:r>
        <w:rPr>
          <w:b/>
          <w:bCs/>
          <w:color w:val="000000"/>
          <w:sz w:val="21"/>
          <w:szCs w:val="21"/>
        </w:rPr>
        <w:t xml:space="preserve">Concentración media diaria (Kg/m³)</w:t>
      </w:r>
      <w:r>
        <w:rPr>
          <w:color w:val="000000"/>
          <w:sz w:val="21"/>
          <w:szCs w:val="21"/>
        </w:rPr>
        <w:t xml:space="preserve">  (NO «superficial promedio diario»).</w:t>
      </w:r>
    </w:p>
    <w:p>
      <w:pPr>
        <w:spacing w:after="60" w:line="276"/>
      </w:pPr>
      <w:r>
        <w:rPr>
          <w:b/>
          <w:bCs/>
          <w:color w:val="000000"/>
          <w:sz w:val="21"/>
          <w:szCs w:val="21"/>
        </w:rPr>
        <w:t xml:space="preserve">3. </w:t>
      </w:r>
      <w:r>
        <w:rPr>
          <w:b/>
          <w:bCs/>
          <w:color w:val="000000"/>
          <w:sz w:val="21"/>
          <w:szCs w:val="21"/>
        </w:rPr>
        <w:t xml:space="preserve">Datos Estación</w:t>
      </w:r>
      <w:r>
        <w:rPr>
          <w:color w:val="000000"/>
          <w:sz w:val="21"/>
          <w:szCs w:val="21"/>
        </w:rPr>
        <w:t xml:space="preserve">: Departamento = el asignado, Municipio = Todo, Nombre = Todo → </w:t>
      </w:r>
      <w:r>
        <w:rPr>
          <w:b/>
          <w:bCs/>
          <w:color w:val="000000"/>
          <w:sz w:val="21"/>
          <w:szCs w:val="21"/>
        </w:rPr>
        <w:t xml:space="preserve">Filtrar</w:t>
      </w:r>
      <w:r>
        <w:rPr>
          <w:color w:val="000000"/>
          <w:sz w:val="21"/>
          <w:szCs w:val="21"/>
        </w:rPr>
        <w:t xml:space="preserve">.</w:t>
      </w:r>
    </w:p>
    <w:p>
      <w:pPr>
        <w:spacing w:after="60" w:line="276"/>
      </w:pPr>
      <w:r>
        <w:rPr>
          <w:b/>
          <w:bCs/>
          <w:color w:val="000000"/>
          <w:sz w:val="21"/>
          <w:szCs w:val="21"/>
        </w:rPr>
        <w:t xml:space="preserve">4. </w:t>
      </w:r>
      <w:r>
        <w:rPr>
          <w:color w:val="000000"/>
          <w:sz w:val="21"/>
          <w:szCs w:val="21"/>
        </w:rPr>
        <w:t xml:space="preserve">Seleccionar todo → </w:t>
      </w:r>
      <w:r>
        <w:rPr>
          <w:b/>
          <w:bCs/>
          <w:color w:val="000000"/>
          <w:sz w:val="21"/>
          <w:szCs w:val="21"/>
        </w:rPr>
        <w:t xml:space="preserve">desmarcar</w:t>
      </w:r>
      <w:r>
        <w:rPr>
          <w:color w:val="000000"/>
          <w:sz w:val="21"/>
          <w:szCs w:val="21"/>
        </w:rPr>
        <w:t xml:space="preserve"> códigos que no empiecen por 21-29, y filas con FechaFin vacía.</w:t>
      </w:r>
    </w:p>
    <w:p>
      <w:pPr>
        <w:spacing w:after="60" w:line="276"/>
      </w:pPr>
      <w:r>
        <w:rPr>
          <w:b/>
          <w:bCs/>
          <w:color w:val="000000"/>
          <w:sz w:val="21"/>
          <w:szCs w:val="21"/>
        </w:rPr>
        <w:t xml:space="preserve">5. </w:t>
      </w:r>
      <w:r>
        <w:rPr>
          <w:b/>
          <w:bCs/>
          <w:color w:val="000000"/>
          <w:sz w:val="21"/>
          <w:szCs w:val="21"/>
        </w:rPr>
        <w:t xml:space="preserve">Descargar</w:t>
      </w:r>
      <w:r>
        <w:rPr>
          <w:color w:val="000000"/>
          <w:sz w:val="21"/>
          <w:szCs w:val="21"/>
        </w:rPr>
        <w:t xml:space="preserve"> → </w:t>
      </w:r>
      <w:r>
        <w:rPr>
          <w:b/>
          <w:bCs/>
          <w:color w:val="000000"/>
          <w:sz w:val="21"/>
          <w:szCs w:val="21"/>
        </w:rPr>
        <w:t xml:space="preserve">Ajustar Fechas</w:t>
      </w:r>
      <w:r>
        <w:rPr>
          <w:color w:val="000000"/>
          <w:sz w:val="21"/>
          <w:szCs w:val="21"/>
        </w:rPr>
        <w:t xml:space="preserve"> = </w:t>
      </w:r>
      <w:r>
        <w:rPr>
          <w:b/>
          <w:bCs/>
          <w:color w:val="000000"/>
          <w:sz w:val="21"/>
          <w:szCs w:val="21"/>
        </w:rPr>
        <w:t xml:space="preserve">1990-01-01 → 2018-12-31</w:t>
      </w:r>
      <w:r>
        <w:rPr>
          <w:color w:val="000000"/>
          <w:sz w:val="21"/>
          <w:szCs w:val="21"/>
        </w:rPr>
        <w:t xml:space="preserve"> → </w:t>
      </w:r>
      <w:r>
        <w:rPr>
          <w:b/>
          <w:bCs/>
          <w:color w:val="000000"/>
          <w:sz w:val="21"/>
          <w:szCs w:val="21"/>
        </w:rPr>
        <w:t xml:space="preserve">CSV</w:t>
      </w:r>
      <w:r>
        <w:rPr>
          <w:color w:val="000000"/>
          <w:sz w:val="21"/>
          <w:szCs w:val="21"/>
        </w:rPr>
        <w:t xml:space="preserve">.</w:t>
      </w:r>
    </w:p>
    <w:p>
      <w:pPr>
        <w:spacing w:after="80" w:line="276"/>
      </w:pPr>
      <w:r>
        <w:rPr>
          <w:b/>
          <w:bCs/>
          <w:color w:val="000000"/>
          <w:sz w:val="21"/>
          <w:szCs w:val="21"/>
        </w:rPr>
        <w:t xml:space="preserve">6. </w:t>
      </w:r>
      <w:r>
        <w:rPr>
          <w:color w:val="000000"/>
          <w:sz w:val="21"/>
          <w:szCs w:val="21"/>
        </w:rPr>
        <w:t xml:space="preserve">Guardar como </w:t>
      </w:r>
      <w:r>
        <w:rPr>
          <w:b/>
          <w:bCs/>
          <w:color w:val="000000"/>
          <w:sz w:val="21"/>
          <w:szCs w:val="21"/>
        </w:rPr>
        <w:t xml:space="preserve">ssc_&lt;departamento&gt;.csv</w:t>
      </w:r>
      <w:r>
        <w:rPr>
          <w:color w:val="000000"/>
          <w:sz w:val="21"/>
          <w:szCs w:val="21"/>
        </w:rPr>
        <w:t xml:space="preserve"> en la carpeta </w:t>
      </w:r>
      <w:r>
        <w:rPr>
          <w:b/>
          <w:bCs/>
          <w:color w:val="000000"/>
          <w:sz w:val="21"/>
          <w:szCs w:val="21"/>
        </w:rPr>
        <w:t xml:space="preserve">data/raw/observed/sedimento/</w:t>
      </w:r>
      <w:r>
        <w:rPr>
          <w:color w:val="000000"/>
          <w:sz w:val="21"/>
          <w:szCs w:val="21"/>
        </w:rPr>
        <w:t xml:space="preserve">. F5, siguiente.</w:t>
      </w:r>
    </w:p>
    <w:p>
      <w:pPr>
        <w:spacing w:after="40" w:line="276"/>
      </w:pPr>
      <w:r>
        <w:rPr>
          <w:i/>
          <w:iCs/>
          <w:color w:val="595959"/>
          <w:sz w:val="19"/>
          <w:szCs w:val="19"/>
        </w:rPr>
        <w:t xml:space="preserve">• Límite ~50 estaciones y ~30 años por descarga (tipo Diario): si se pasa, dividir en lotes (ssc_&lt;dep&gt;_1.csv, _2.csv).</w:t>
      </w:r>
    </w:p>
    <w:p>
      <w:pPr>
        <w:spacing w:after="120" w:line="276"/>
      </w:pPr>
      <w:r>
        <w:rPr>
          <w:i/>
          <w:iCs/>
          <w:color w:val="595959"/>
          <w:sz w:val="19"/>
          <w:szCs w:val="19"/>
        </w:rPr>
        <w:t xml:space="preserve">• Si una estación tiene datos ANTES de 1990, hacer un 2º lote 1970-01-01 → 1989-12-31: el histórico antiguo es muy valioso para las curvas de gasto sólido.</w:t>
      </w:r>
    </w:p>
    <w:p>
      <w:pPr>
        <w:pStyle w:val="Heading1"/>
        <w:spacing w:after="100" w:before="160"/>
      </w:pPr>
      <w:r>
        <w:rPr>
          <w:b/>
          <w:bCs/>
          <w:color w:val="1F3864"/>
          <w:sz w:val="26"/>
          <w:szCs w:val="26"/>
        </w:rPr>
        <w:t xml:space="preserve">4. Reparto del trabajo (11 departamentos restantes)</w:t>
      </w:r>
    </w:p>
    <w:p>
      <w:pPr>
        <w:spacing w:after="120" w:line="276"/>
      </w:pPr>
      <w:r>
        <w:rPr>
          <w:color w:val="595959"/>
          <w:sz w:val="19"/>
          <w:szCs w:val="19"/>
        </w:rPr>
        <w:t xml:space="preserve">Verde = TWILL (aguas arriba). Naranja = Omar (aguas abajo). Muchos departamentos tendrán pocas o ninguna estación de sedimento — es normal; si la tabla sale vacía, se salta.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640"/>
        <w:gridCol w:w="3720"/>
        <w:gridCol w:w="2000"/>
        <w:gridCol w:w="3000"/>
      </w:tblGrid>
      <w:tr>
        <w:trPr>
          <w:tblHeader/>
        </w:trPr>
        <w:tc>
          <w:tcPr>
            <w:tcW w:type="dxa" w:w="640"/>
            <w:shd w:fill="2E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3720"/>
            <w:shd w:fill="2E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Departamento</w:t>
            </w:r>
          </w:p>
        </w:tc>
        <w:tc>
          <w:tcPr>
            <w:tcW w:type="dxa" w:w="2000"/>
            <w:shd w:fill="2E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3000"/>
            <w:shd w:fill="2E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 esperado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Tolima</w:t>
            </w:r>
          </w:p>
        </w:tc>
        <w:tc>
          <w:tcPr>
            <w:tcW w:type="dxa" w:w="2000"/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TWILL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ssc_tolima.csv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Quindío</w:t>
            </w:r>
          </w:p>
        </w:tc>
        <w:tc>
          <w:tcPr>
            <w:tcW w:type="dxa" w:w="2000"/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TWILL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ssc_quindio.csv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Risaralda</w:t>
            </w:r>
          </w:p>
        </w:tc>
        <w:tc>
          <w:tcPr>
            <w:tcW w:type="dxa" w:w="2000"/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TWILL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ssc_risaralda.csv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Cundinamarca  (descartar 3x Orinoco)</w:t>
            </w:r>
          </w:p>
        </w:tc>
        <w:tc>
          <w:tcPr>
            <w:tcW w:type="dxa" w:w="2000"/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TWILL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ssc_cundinamarca.csv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Boyacá  (descartar 3x Orinoco)</w:t>
            </w:r>
          </w:p>
        </w:tc>
        <w:tc>
          <w:tcPr>
            <w:tcW w:type="dxa" w:w="2000"/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TWILL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ssc_boyaca.csv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Norte de Santander  (descartar 16x Catatumbo)</w:t>
            </w:r>
          </w:p>
        </w:tc>
        <w:tc>
          <w:tcPr>
            <w:tcW w:type="dxa" w:w="2000"/>
            <w:shd w:fill="FCE4D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Omar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ssc_nsantander.csv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Cesar</w:t>
            </w:r>
          </w:p>
        </w:tc>
        <w:tc>
          <w:tcPr>
            <w:tcW w:type="dxa" w:w="2000"/>
            <w:shd w:fill="FCE4D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Omar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ssc_cesar.csv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Córdoba</w:t>
            </w:r>
          </w:p>
        </w:tc>
        <w:tc>
          <w:tcPr>
            <w:tcW w:type="dxa" w:w="2000"/>
            <w:shd w:fill="FCE4D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Omar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ssc_cordoba.csv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Sucre</w:t>
            </w:r>
          </w:p>
        </w:tc>
        <w:tc>
          <w:tcPr>
            <w:tcW w:type="dxa" w:w="2000"/>
            <w:shd w:fill="FCE4D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Omar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ssc_sucre.csv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Magdalena</w:t>
            </w:r>
          </w:p>
        </w:tc>
        <w:tc>
          <w:tcPr>
            <w:tcW w:type="dxa" w:w="2000"/>
            <w:shd w:fill="FCE4D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Omar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ssc_magdalena.csv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3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Atlántico</w:t>
            </w:r>
          </w:p>
        </w:tc>
        <w:tc>
          <w:tcPr>
            <w:tcW w:type="dxa" w:w="2000"/>
            <w:shd w:fill="FCE4D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Omar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ssc_atlantico.csv</w:t>
            </w:r>
          </w:p>
        </w:tc>
      </w:tr>
    </w:tbl>
    <w:p>
      <w:pPr>
        <w:pStyle w:val="Heading1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5. Entrega</w:t>
      </w:r>
    </w:p>
    <w:p>
      <w:pPr>
        <w:spacing w:after="50" w:line="276"/>
      </w:pPr>
      <w:r>
        <w:rPr>
          <w:color w:val="000000"/>
          <w:sz w:val="21"/>
          <w:szCs w:val="21"/>
        </w:rPr>
        <w:t xml:space="preserve">• Guardar en </w:t>
      </w:r>
      <w:r>
        <w:rPr>
          <w:b/>
          <w:bCs/>
          <w:color w:val="000000"/>
          <w:sz w:val="21"/>
          <w:szCs w:val="21"/>
        </w:rPr>
        <w:t xml:space="preserve">data/raw/observed/sedimento/</w:t>
      </w:r>
      <w:r>
        <w:rPr>
          <w:color w:val="000000"/>
          <w:sz w:val="21"/>
          <w:szCs w:val="21"/>
        </w:rPr>
        <w:t xml:space="preserve">  →  ssc_&lt;dep&gt;.csv</w:t>
      </w:r>
    </w:p>
    <w:p>
      <w:pPr>
        <w:spacing w:after="120" w:line="276"/>
      </w:pPr>
      <w:r>
        <w:rPr>
          <w:color w:val="000000"/>
          <w:sz w:val="21"/>
          <w:szCs w:val="21"/>
        </w:rPr>
        <w:t xml:space="preserve">• Enviar a TWILL para consolidación y control (códigos 21-29, cobertura de 2011 y 2015-16, emparejamiento con caudal).</w:t>
      </w:r>
    </w:p>
    <w:p>
      <w:pPr>
        <w:spacing w:after="120" w:line="276"/>
      </w:pPr>
      <w:r>
        <w:rPr>
          <w:i/>
          <w:iCs/>
          <w:color w:val="595959"/>
          <w:sz w:val="19"/>
          <w:szCs w:val="19"/>
        </w:rPr>
        <w:t xml:space="preserve">Conservar el CSV tal como lo entrega el portal, sin abrirlo en Excel.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2026-07-29T06:43:36.383Z</dcterms:created>
  <dcterms:modified xsi:type="dcterms:W3CDTF">2026-07-29T06:43:36.392Z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