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1002" w:rsidRDefault="00137526">
      <w:pPr>
        <w:pStyle w:val="Ttulo3"/>
        <w:pBdr>
          <w:top w:val="nil"/>
          <w:left w:val="nil"/>
          <w:bottom w:val="nil"/>
          <w:right w:val="nil"/>
          <w:between w:val="nil"/>
        </w:pBdr>
      </w:pPr>
      <w:bookmarkStart w:id="0" w:name="_gjdgxs" w:colFirst="0" w:colLast="0"/>
      <w:bookmarkStart w:id="1" w:name="_GoBack"/>
      <w:bookmarkEnd w:id="0"/>
      <w:r>
        <w:rPr>
          <w:b/>
          <w:lang w:val="pt-BR" w:bidi="pt-BR"/>
        </w:rPr>
        <w:t>Módulo 7 - Aprendizagem não supervisionada</w:t>
      </w:r>
      <w:r>
        <w:rPr>
          <w:b/>
          <w:lang w:val="pt-BR" w:bidi="pt-BR"/>
        </w:rPr>
        <w:br/>
      </w:r>
      <w:r>
        <w:rPr>
          <w:lang w:val="pt-BR" w:bidi="pt-BR"/>
        </w:rPr>
        <w:t>Classe 51b - Ajuste e avaliação de clustering</w:t>
      </w:r>
    </w:p>
    <w:p w:rsidR="009C1002" w:rsidRDefault="009C1002">
      <w:pPr>
        <w:pBdr>
          <w:top w:val="nil"/>
          <w:left w:val="nil"/>
          <w:bottom w:val="nil"/>
          <w:right w:val="nil"/>
          <w:between w:val="nil"/>
        </w:pBdr>
      </w:pPr>
    </w:p>
    <w:p w:rsidR="009C1002" w:rsidRDefault="00137526">
      <w:pPr>
        <w:pBdr>
          <w:top w:val="nil"/>
          <w:left w:val="nil"/>
          <w:bottom w:val="nil"/>
          <w:right w:val="nil"/>
          <w:between w:val="nil"/>
        </w:pBdr>
      </w:pPr>
      <w:r>
        <w:rPr>
          <w:b/>
          <w:u w:val="single"/>
          <w:lang w:val="pt-BR" w:bidi="pt-BR"/>
        </w:rPr>
        <w:t>Objetivos de aprendizagem</w:t>
      </w:r>
    </w:p>
    <w:p w:rsidR="009C1002" w:rsidRDefault="00137526">
      <w:pPr>
        <w:numPr>
          <w:ilvl w:val="0"/>
          <w:numId w:val="2"/>
        </w:numPr>
        <w:pBdr>
          <w:top w:val="nil"/>
          <w:left w:val="nil"/>
          <w:bottom w:val="nil"/>
          <w:right w:val="nil"/>
          <w:between w:val="nil"/>
        </w:pBdr>
        <w:ind w:hanging="360"/>
        <w:contextualSpacing/>
        <w:rPr>
          <w:sz w:val="20"/>
          <w:szCs w:val="20"/>
        </w:rPr>
      </w:pPr>
      <w:r>
        <w:rPr>
          <w:sz w:val="20"/>
          <w:szCs w:val="20"/>
          <w:lang w:val="pt-BR" w:bidi="pt-BR"/>
        </w:rPr>
        <w:t>Entender a composição dos clusters e como foram construídos</w:t>
      </w:r>
    </w:p>
    <w:p w:rsidR="009C1002" w:rsidRDefault="00137526">
      <w:pPr>
        <w:numPr>
          <w:ilvl w:val="0"/>
          <w:numId w:val="2"/>
        </w:numPr>
        <w:pBdr>
          <w:top w:val="nil"/>
          <w:left w:val="nil"/>
          <w:bottom w:val="nil"/>
          <w:right w:val="nil"/>
          <w:between w:val="nil"/>
        </w:pBdr>
        <w:ind w:hanging="360"/>
        <w:contextualSpacing/>
        <w:rPr>
          <w:sz w:val="20"/>
          <w:szCs w:val="20"/>
        </w:rPr>
      </w:pPr>
      <w:r>
        <w:rPr>
          <w:sz w:val="20"/>
          <w:szCs w:val="20"/>
          <w:lang w:val="pt-BR" w:bidi="pt-BR"/>
        </w:rPr>
        <w:t>Compreender e incorporar conceitos relativos à avaliação do resultado da análise realizada por K-Means</w:t>
      </w:r>
    </w:p>
    <w:p w:rsidR="009C1002" w:rsidRDefault="00137526">
      <w:pPr>
        <w:numPr>
          <w:ilvl w:val="0"/>
          <w:numId w:val="2"/>
        </w:numPr>
        <w:pBdr>
          <w:top w:val="nil"/>
          <w:left w:val="nil"/>
          <w:bottom w:val="nil"/>
          <w:right w:val="nil"/>
          <w:between w:val="nil"/>
        </w:pBdr>
        <w:ind w:hanging="360"/>
        <w:contextualSpacing/>
        <w:rPr>
          <w:sz w:val="20"/>
          <w:szCs w:val="20"/>
        </w:rPr>
      </w:pPr>
      <w:r>
        <w:rPr>
          <w:sz w:val="20"/>
          <w:szCs w:val="20"/>
          <w:lang w:val="pt-BR" w:bidi="pt-BR"/>
        </w:rPr>
        <w:t>Introduzir o conceito de “avaliação interna” e “avaliação externa” de um processo de clustering</w:t>
      </w:r>
    </w:p>
    <w:p w:rsidR="009C1002" w:rsidRDefault="00137526">
      <w:pPr>
        <w:numPr>
          <w:ilvl w:val="0"/>
          <w:numId w:val="2"/>
        </w:numPr>
        <w:pBdr>
          <w:top w:val="nil"/>
          <w:left w:val="nil"/>
          <w:bottom w:val="nil"/>
          <w:right w:val="nil"/>
          <w:between w:val="nil"/>
        </w:pBdr>
        <w:ind w:hanging="360"/>
        <w:contextualSpacing/>
        <w:rPr>
          <w:sz w:val="20"/>
          <w:szCs w:val="20"/>
        </w:rPr>
      </w:pPr>
      <w:r>
        <w:rPr>
          <w:sz w:val="20"/>
          <w:szCs w:val="20"/>
          <w:lang w:val="pt-BR" w:bidi="pt-BR"/>
        </w:rPr>
        <w:t>Apresentar algumas medidas de avaliação</w:t>
      </w:r>
    </w:p>
    <w:p w:rsidR="009C1002" w:rsidRDefault="009C1002">
      <w:pPr>
        <w:pBdr>
          <w:top w:val="nil"/>
          <w:left w:val="nil"/>
          <w:bottom w:val="nil"/>
          <w:right w:val="nil"/>
          <w:between w:val="nil"/>
        </w:pBdr>
      </w:pPr>
    </w:p>
    <w:p w:rsidR="009C1002" w:rsidRDefault="00137526">
      <w:pPr>
        <w:pBdr>
          <w:top w:val="nil"/>
          <w:left w:val="nil"/>
          <w:bottom w:val="nil"/>
          <w:right w:val="nil"/>
          <w:between w:val="nil"/>
        </w:pBdr>
      </w:pPr>
      <w:r>
        <w:rPr>
          <w:b/>
          <w:sz w:val="20"/>
          <w:szCs w:val="20"/>
          <w:u w:val="single"/>
          <w:lang w:val="pt-BR" w:bidi="pt-BR"/>
        </w:rPr>
        <w:t>Conteúdo</w:t>
      </w:r>
    </w:p>
    <w:p w:rsidR="009C1002" w:rsidRDefault="00137526">
      <w:pPr>
        <w:numPr>
          <w:ilvl w:val="0"/>
          <w:numId w:val="1"/>
        </w:numPr>
        <w:pBdr>
          <w:top w:val="nil"/>
          <w:left w:val="nil"/>
          <w:bottom w:val="nil"/>
          <w:right w:val="nil"/>
          <w:between w:val="nil"/>
        </w:pBdr>
        <w:ind w:hanging="360"/>
        <w:contextualSpacing/>
        <w:rPr>
          <w:sz w:val="20"/>
          <w:szCs w:val="20"/>
        </w:rPr>
      </w:pPr>
      <w:r>
        <w:rPr>
          <w:sz w:val="20"/>
          <w:szCs w:val="20"/>
          <w:lang w:val="pt-BR" w:bidi="pt-BR"/>
        </w:rPr>
        <w:t>Medidas de avaliação interna:</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Análise visual</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Silhouette Score</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Calinski-Harabaz Index</w:t>
      </w:r>
    </w:p>
    <w:p w:rsidR="009C1002" w:rsidRDefault="00137526">
      <w:pPr>
        <w:numPr>
          <w:ilvl w:val="0"/>
          <w:numId w:val="1"/>
        </w:numPr>
        <w:pBdr>
          <w:top w:val="nil"/>
          <w:left w:val="nil"/>
          <w:bottom w:val="nil"/>
          <w:right w:val="nil"/>
          <w:between w:val="nil"/>
        </w:pBdr>
        <w:ind w:hanging="360"/>
        <w:contextualSpacing/>
        <w:rPr>
          <w:sz w:val="20"/>
          <w:szCs w:val="20"/>
        </w:rPr>
      </w:pPr>
      <w:r>
        <w:rPr>
          <w:sz w:val="20"/>
          <w:szCs w:val="20"/>
          <w:lang w:val="pt-BR" w:bidi="pt-BR"/>
        </w:rPr>
        <w:t>Medidas de avaliação externa:</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Accuracy</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F1-Score</w:t>
      </w:r>
    </w:p>
    <w:p w:rsidR="009C1002" w:rsidRDefault="00137526">
      <w:pPr>
        <w:numPr>
          <w:ilvl w:val="1"/>
          <w:numId w:val="1"/>
        </w:numPr>
        <w:pBdr>
          <w:top w:val="nil"/>
          <w:left w:val="nil"/>
          <w:bottom w:val="nil"/>
          <w:right w:val="nil"/>
          <w:between w:val="nil"/>
        </w:pBdr>
        <w:contextualSpacing/>
        <w:rPr>
          <w:sz w:val="20"/>
          <w:szCs w:val="20"/>
        </w:rPr>
      </w:pPr>
      <w:r>
        <w:rPr>
          <w:sz w:val="20"/>
          <w:szCs w:val="20"/>
          <w:lang w:val="pt-BR" w:bidi="pt-BR"/>
        </w:rPr>
        <w:t>Confusion Matrix</w:t>
      </w:r>
    </w:p>
    <w:p w:rsidR="009C1002" w:rsidRDefault="009C1002">
      <w:pPr>
        <w:pBdr>
          <w:top w:val="nil"/>
          <w:left w:val="nil"/>
          <w:bottom w:val="nil"/>
          <w:right w:val="nil"/>
          <w:between w:val="nil"/>
        </w:pBdr>
      </w:pPr>
    </w:p>
    <w:p w:rsidR="009C1002" w:rsidRDefault="00137526">
      <w:pPr>
        <w:pBdr>
          <w:top w:val="nil"/>
          <w:left w:val="nil"/>
          <w:bottom w:val="nil"/>
          <w:right w:val="nil"/>
          <w:between w:val="nil"/>
        </w:pBdr>
      </w:pPr>
      <w:r>
        <w:rPr>
          <w:b/>
          <w:sz w:val="20"/>
          <w:szCs w:val="20"/>
          <w:u w:val="single"/>
          <w:lang w:val="pt-BR" w:bidi="pt-BR"/>
        </w:rPr>
        <w:t>Modalidades de aula incluídas</w:t>
      </w:r>
    </w:p>
    <w:p w:rsidR="009C1002" w:rsidRDefault="009C1002">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25"/>
      </w:tblGrid>
      <w:tr w:rsidR="009C1002">
        <w:trPr>
          <w:trHeight w:val="540"/>
        </w:trPr>
        <w:tc>
          <w:tcPr>
            <w:tcW w:w="735" w:type="dxa"/>
            <w:tcMar>
              <w:top w:w="100" w:type="dxa"/>
              <w:left w:w="100" w:type="dxa"/>
              <w:bottom w:w="100" w:type="dxa"/>
              <w:right w:w="100" w:type="dxa"/>
            </w:tcMar>
          </w:tcPr>
          <w:p w:rsidR="009C1002" w:rsidRDefault="00137526">
            <w:pPr>
              <w:widowControl w:val="0"/>
              <w:pBdr>
                <w:top w:val="nil"/>
                <w:left w:val="nil"/>
                <w:bottom w:val="nil"/>
                <w:right w:val="nil"/>
                <w:between w:val="nil"/>
              </w:pBdr>
              <w:spacing w:line="240" w:lineRule="auto"/>
            </w:pPr>
            <w:r>
              <w:rPr>
                <w:noProof/>
                <w:lang w:val="es-AR" w:eastAsia="es-AR"/>
              </w:rPr>
              <w:drawing>
                <wp:inline distT="114300" distB="114300" distL="114300" distR="114300">
                  <wp:extent cx="323850" cy="279400"/>
                  <wp:effectExtent l="0" t="0" r="0" b="0"/>
                  <wp:docPr id="4" name="image7.png" descr="hablar.png"/>
                  <wp:cNvGraphicFramePr/>
                  <a:graphic xmlns:a="http://schemas.openxmlformats.org/drawingml/2006/main">
                    <a:graphicData uri="http://schemas.openxmlformats.org/drawingml/2006/picture">
                      <pic:pic xmlns:pic="http://schemas.openxmlformats.org/drawingml/2006/picture">
                        <pic:nvPicPr>
                          <pic:cNvPr id="0" name="image7.png" descr="hablar.png"/>
                          <pic:cNvPicPr preferRelativeResize="0"/>
                        </pic:nvPicPr>
                        <pic:blipFill>
                          <a:blip r:embed="rId6"/>
                          <a:srcRect/>
                          <a:stretch>
                            <a:fillRect/>
                          </a:stretch>
                        </pic:blipFill>
                        <pic:spPr>
                          <a:xfrm>
                            <a:off x="0" y="0"/>
                            <a:ext cx="323850" cy="279400"/>
                          </a:xfrm>
                          <a:prstGeom prst="rect">
                            <a:avLst/>
                          </a:prstGeom>
                          <a:ln/>
                        </pic:spPr>
                      </pic:pic>
                    </a:graphicData>
                  </a:graphic>
                </wp:inline>
              </w:drawing>
            </w:r>
          </w:p>
        </w:tc>
        <w:tc>
          <w:tcPr>
            <w:tcW w:w="8625" w:type="dxa"/>
            <w:tcMar>
              <w:top w:w="100" w:type="dxa"/>
              <w:left w:w="100" w:type="dxa"/>
              <w:bottom w:w="100" w:type="dxa"/>
              <w:right w:w="100" w:type="dxa"/>
            </w:tcMar>
          </w:tcPr>
          <w:p w:rsidR="009C1002" w:rsidRDefault="00137526">
            <w:pPr>
              <w:widowControl w:val="0"/>
              <w:pBdr>
                <w:top w:val="nil"/>
                <w:left w:val="nil"/>
                <w:bottom w:val="nil"/>
                <w:right w:val="nil"/>
                <w:between w:val="nil"/>
              </w:pBdr>
              <w:spacing w:before="200" w:line="240" w:lineRule="auto"/>
            </w:pPr>
            <w:r>
              <w:rPr>
                <w:sz w:val="20"/>
                <w:szCs w:val="20"/>
                <w:lang w:val="pt-BR" w:bidi="pt-BR"/>
              </w:rPr>
              <w:t>Exposição teórica oral e interativa, com material de apoio por escrito</w:t>
            </w:r>
          </w:p>
        </w:tc>
      </w:tr>
    </w:tbl>
    <w:p w:rsidR="009C1002" w:rsidRDefault="009C1002">
      <w:pPr>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25"/>
      </w:tblGrid>
      <w:tr w:rsidR="009C1002">
        <w:trPr>
          <w:trHeight w:val="540"/>
        </w:trPr>
        <w:tc>
          <w:tcPr>
            <w:tcW w:w="735" w:type="dxa"/>
            <w:tcMar>
              <w:top w:w="100" w:type="dxa"/>
              <w:left w:w="100" w:type="dxa"/>
              <w:bottom w:w="100" w:type="dxa"/>
              <w:right w:w="100" w:type="dxa"/>
            </w:tcMar>
          </w:tcPr>
          <w:p w:rsidR="009C1002" w:rsidRDefault="00137526">
            <w:pPr>
              <w:widowControl w:val="0"/>
              <w:pBdr>
                <w:top w:val="nil"/>
                <w:left w:val="nil"/>
                <w:bottom w:val="nil"/>
                <w:right w:val="nil"/>
                <w:between w:val="nil"/>
              </w:pBdr>
              <w:spacing w:line="240" w:lineRule="auto"/>
            </w:pPr>
            <w:r>
              <w:rPr>
                <w:noProof/>
                <w:lang w:val="es-AR" w:eastAsia="es-AR"/>
              </w:rPr>
              <w:drawing>
                <wp:inline distT="114300" distB="114300" distL="114300" distR="114300">
                  <wp:extent cx="323850" cy="2921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23850" cy="292100"/>
                          </a:xfrm>
                          <a:prstGeom prst="rect">
                            <a:avLst/>
                          </a:prstGeom>
                          <a:ln/>
                        </pic:spPr>
                      </pic:pic>
                    </a:graphicData>
                  </a:graphic>
                </wp:inline>
              </w:drawing>
            </w:r>
          </w:p>
        </w:tc>
        <w:tc>
          <w:tcPr>
            <w:tcW w:w="8625" w:type="dxa"/>
            <w:tcMar>
              <w:top w:w="100" w:type="dxa"/>
              <w:left w:w="100" w:type="dxa"/>
              <w:bottom w:w="100" w:type="dxa"/>
              <w:right w:w="100" w:type="dxa"/>
            </w:tcMar>
          </w:tcPr>
          <w:p w:rsidR="009C1002" w:rsidRDefault="00137526">
            <w:pPr>
              <w:pBdr>
                <w:top w:val="nil"/>
                <w:left w:val="nil"/>
                <w:bottom w:val="nil"/>
                <w:right w:val="nil"/>
                <w:between w:val="nil"/>
              </w:pBdr>
              <w:spacing w:before="200"/>
            </w:pPr>
            <w:r>
              <w:rPr>
                <w:sz w:val="20"/>
                <w:szCs w:val="20"/>
                <w:lang w:val="pt-BR" w:bidi="pt-BR"/>
              </w:rPr>
              <w:t>Práticas interativas, grupais e individuais, usando notebooks</w:t>
            </w:r>
          </w:p>
        </w:tc>
      </w:tr>
    </w:tbl>
    <w:p w:rsidR="009C1002" w:rsidRDefault="009C1002">
      <w:pPr>
        <w:pBdr>
          <w:top w:val="nil"/>
          <w:left w:val="nil"/>
          <w:bottom w:val="nil"/>
          <w:right w:val="nil"/>
          <w:between w:val="nil"/>
        </w:pBdr>
      </w:pPr>
    </w:p>
    <w:p w:rsidR="009C1002" w:rsidRDefault="009C1002">
      <w:pPr>
        <w:pBdr>
          <w:top w:val="nil"/>
          <w:left w:val="nil"/>
          <w:bottom w:val="nil"/>
          <w:right w:val="nil"/>
          <w:between w:val="nil"/>
        </w:pBdr>
      </w:pPr>
    </w:p>
    <w:p w:rsidR="009C1002" w:rsidRDefault="00137526">
      <w:pPr>
        <w:pBdr>
          <w:top w:val="nil"/>
          <w:left w:val="nil"/>
          <w:bottom w:val="nil"/>
          <w:right w:val="nil"/>
          <w:between w:val="nil"/>
        </w:pBdr>
      </w:pPr>
      <w:r>
        <w:rPr>
          <w:lang w:val="pt-BR" w:bidi="pt-BR"/>
        </w:rPr>
        <w:br w:type="page"/>
      </w:r>
    </w:p>
    <w:p w:rsidR="009C1002" w:rsidRDefault="00137526">
      <w:pPr>
        <w:pStyle w:val="Ttulo3"/>
        <w:pBdr>
          <w:top w:val="nil"/>
          <w:left w:val="nil"/>
          <w:bottom w:val="nil"/>
          <w:right w:val="nil"/>
          <w:between w:val="nil"/>
        </w:pBdr>
      </w:pPr>
      <w:bookmarkStart w:id="2" w:name="_30j0zll" w:colFirst="0" w:colLast="0"/>
      <w:bookmarkEnd w:id="2"/>
      <w:r>
        <w:rPr>
          <w:lang w:val="pt-BR" w:bidi="pt-BR"/>
        </w:rPr>
        <w:lastRenderedPageBreak/>
        <w:t>Roteiro da aula</w:t>
      </w:r>
    </w:p>
    <w:p w:rsidR="009C1002" w:rsidRDefault="009C1002">
      <w:pPr>
        <w:pBdr>
          <w:top w:val="nil"/>
          <w:left w:val="nil"/>
          <w:bottom w:val="nil"/>
          <w:right w:val="nil"/>
          <w:between w:val="nil"/>
        </w:pBdr>
      </w:pPr>
    </w:p>
    <w:p w:rsidR="009C1002" w:rsidRDefault="009C1002"/>
    <w:tbl>
      <w:tblPr>
        <w:tblStyle w:val="a1"/>
        <w:tblW w:w="9360" w:type="dxa"/>
        <w:tblLayout w:type="fixed"/>
        <w:tblLook w:val="0600" w:firstRow="0" w:lastRow="0" w:firstColumn="0" w:lastColumn="0" w:noHBand="1" w:noVBand="1"/>
      </w:tblPr>
      <w:tblGrid>
        <w:gridCol w:w="7125"/>
        <w:gridCol w:w="2235"/>
      </w:tblGrid>
      <w:tr w:rsidR="009C1002">
        <w:trPr>
          <w:trHeight w:val="520"/>
        </w:trPr>
        <w:tc>
          <w:tcPr>
            <w:tcW w:w="7125" w:type="dxa"/>
            <w:tcBorders>
              <w:top w:val="nil"/>
              <w:left w:val="nil"/>
              <w:bottom w:val="nil"/>
              <w:right w:val="nil"/>
            </w:tcBorders>
            <w:tcMar>
              <w:top w:w="100" w:type="dxa"/>
              <w:left w:w="100" w:type="dxa"/>
              <w:bottom w:w="100" w:type="dxa"/>
              <w:right w:w="100" w:type="dxa"/>
            </w:tcMar>
          </w:tcPr>
          <w:p w:rsidR="009C1002" w:rsidRDefault="00137526">
            <w:pPr>
              <w:numPr>
                <w:ilvl w:val="0"/>
                <w:numId w:val="5"/>
              </w:numPr>
              <w:contextualSpacing/>
              <w:rPr>
                <w:b/>
              </w:rPr>
            </w:pPr>
            <w:r>
              <w:rPr>
                <w:b/>
                <w:lang w:val="pt-BR" w:bidi="pt-BR"/>
              </w:rPr>
              <w:t>Boas-vindas</w:t>
            </w:r>
          </w:p>
        </w:tc>
        <w:tc>
          <w:tcPr>
            <w:tcW w:w="2235" w:type="dxa"/>
            <w:tcBorders>
              <w:left w:val="nil"/>
            </w:tcBorders>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5 minutos</w:t>
            </w:r>
          </w:p>
        </w:tc>
      </w:tr>
    </w:tbl>
    <w:p w:rsidR="009C1002" w:rsidRDefault="009C1002"/>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40"/>
      </w:tblGrid>
      <w:tr w:rsidR="009C1002">
        <w:tc>
          <w:tcPr>
            <w:tcW w:w="735"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323850" cy="279400"/>
                  <wp:effectExtent l="0" t="0" r="0" b="0"/>
                  <wp:docPr id="2" name="image3.png" descr="hablar.png"/>
                  <wp:cNvGraphicFramePr/>
                  <a:graphic xmlns:a="http://schemas.openxmlformats.org/drawingml/2006/main">
                    <a:graphicData uri="http://schemas.openxmlformats.org/drawingml/2006/picture">
                      <pic:pic xmlns:pic="http://schemas.openxmlformats.org/drawingml/2006/picture">
                        <pic:nvPicPr>
                          <pic:cNvPr id="0" name="image3.png" descr="hablar.png"/>
                          <pic:cNvPicPr preferRelativeResize="0"/>
                        </pic:nvPicPr>
                        <pic:blipFill>
                          <a:blip r:embed="rId6"/>
                          <a:srcRect/>
                          <a:stretch>
                            <a:fillRect/>
                          </a:stretch>
                        </pic:blipFill>
                        <pic:spPr>
                          <a:xfrm>
                            <a:off x="0" y="0"/>
                            <a:ext cx="323850" cy="279400"/>
                          </a:xfrm>
                          <a:prstGeom prst="rect">
                            <a:avLst/>
                          </a:prstGeom>
                          <a:ln/>
                        </pic:spPr>
                      </pic:pic>
                    </a:graphicData>
                  </a:graphic>
                </wp:inline>
              </w:drawing>
            </w:r>
          </w:p>
        </w:tc>
        <w:tc>
          <w:tcPr>
            <w:tcW w:w="8640" w:type="dxa"/>
            <w:tcMar>
              <w:top w:w="100" w:type="dxa"/>
              <w:left w:w="100" w:type="dxa"/>
              <w:bottom w:w="100" w:type="dxa"/>
              <w:right w:w="100" w:type="dxa"/>
            </w:tcMar>
          </w:tcPr>
          <w:p w:rsidR="009C1002" w:rsidRDefault="00137526">
            <w:pPr>
              <w:numPr>
                <w:ilvl w:val="0"/>
                <w:numId w:val="4"/>
              </w:numPr>
              <w:contextualSpacing/>
            </w:pPr>
            <w:r>
              <w:rPr>
                <w:lang w:val="pt-BR" w:bidi="pt-BR"/>
              </w:rPr>
              <w:t>Verificar se os PCs estão funcionando corretamente</w:t>
            </w:r>
          </w:p>
          <w:p w:rsidR="009C1002" w:rsidRDefault="00137526">
            <w:pPr>
              <w:numPr>
                <w:ilvl w:val="0"/>
                <w:numId w:val="4"/>
              </w:numPr>
              <w:contextualSpacing/>
            </w:pPr>
            <w:r>
              <w:rPr>
                <w:lang w:val="pt-BR" w:bidi="pt-BR"/>
              </w:rPr>
              <w:t>Revisão de noções gerais de clustering (homogeneidade interna/heterogeneidade externa)</w:t>
            </w:r>
          </w:p>
        </w:tc>
      </w:tr>
    </w:tbl>
    <w:p w:rsidR="009C1002" w:rsidRDefault="009C1002"/>
    <w:p w:rsidR="009C1002" w:rsidRDefault="009C1002"/>
    <w:tbl>
      <w:tblPr>
        <w:tblStyle w:val="a3"/>
        <w:tblW w:w="9360" w:type="dxa"/>
        <w:tblLayout w:type="fixed"/>
        <w:tblLook w:val="0600" w:firstRow="0" w:lastRow="0" w:firstColumn="0" w:lastColumn="0" w:noHBand="1" w:noVBand="1"/>
      </w:tblPr>
      <w:tblGrid>
        <w:gridCol w:w="7125"/>
        <w:gridCol w:w="2235"/>
      </w:tblGrid>
      <w:tr w:rsidR="009C1002">
        <w:trPr>
          <w:trHeight w:val="520"/>
        </w:trPr>
        <w:tc>
          <w:tcPr>
            <w:tcW w:w="7125" w:type="dxa"/>
            <w:tcBorders>
              <w:top w:val="nil"/>
              <w:left w:val="nil"/>
              <w:bottom w:val="nil"/>
              <w:right w:val="nil"/>
            </w:tcBorders>
            <w:tcMar>
              <w:top w:w="100" w:type="dxa"/>
              <w:left w:w="100" w:type="dxa"/>
              <w:bottom w:w="100" w:type="dxa"/>
              <w:right w:w="100" w:type="dxa"/>
            </w:tcMar>
          </w:tcPr>
          <w:p w:rsidR="009C1002" w:rsidRDefault="00137526">
            <w:pPr>
              <w:numPr>
                <w:ilvl w:val="0"/>
                <w:numId w:val="5"/>
              </w:numPr>
              <w:contextualSpacing/>
              <w:rPr>
                <w:b/>
              </w:rPr>
            </w:pPr>
            <w:r>
              <w:rPr>
                <w:b/>
                <w:lang w:val="pt-BR" w:bidi="pt-BR"/>
              </w:rPr>
              <w:t>Técnicas de avaliação de clusters: Medidas externas</w:t>
            </w:r>
          </w:p>
        </w:tc>
        <w:tc>
          <w:tcPr>
            <w:tcW w:w="2235" w:type="dxa"/>
            <w:tcBorders>
              <w:left w:val="nil"/>
            </w:tcBorders>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10 minutos</w:t>
            </w:r>
          </w:p>
        </w:tc>
      </w:tr>
    </w:tbl>
    <w:p w:rsidR="009C1002" w:rsidRDefault="009C1002"/>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40"/>
      </w:tblGrid>
      <w:tr w:rsidR="009C1002">
        <w:tc>
          <w:tcPr>
            <w:tcW w:w="735"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323850" cy="279400"/>
                  <wp:effectExtent l="0" t="0" r="0" b="0"/>
                  <wp:docPr id="7" name="image10.png" descr="hablar.png"/>
                  <wp:cNvGraphicFramePr/>
                  <a:graphic xmlns:a="http://schemas.openxmlformats.org/drawingml/2006/main">
                    <a:graphicData uri="http://schemas.openxmlformats.org/drawingml/2006/picture">
                      <pic:pic xmlns:pic="http://schemas.openxmlformats.org/drawingml/2006/picture">
                        <pic:nvPicPr>
                          <pic:cNvPr id="0" name="image10.png" descr="hablar.png"/>
                          <pic:cNvPicPr preferRelativeResize="0"/>
                        </pic:nvPicPr>
                        <pic:blipFill>
                          <a:blip r:embed="rId6"/>
                          <a:srcRect/>
                          <a:stretch>
                            <a:fillRect/>
                          </a:stretch>
                        </pic:blipFill>
                        <pic:spPr>
                          <a:xfrm>
                            <a:off x="0" y="0"/>
                            <a:ext cx="323850" cy="279400"/>
                          </a:xfrm>
                          <a:prstGeom prst="rect">
                            <a:avLst/>
                          </a:prstGeom>
                          <a:ln/>
                        </pic:spPr>
                      </pic:pic>
                    </a:graphicData>
                  </a:graphic>
                </wp:inline>
              </w:drawing>
            </w:r>
          </w:p>
        </w:tc>
        <w:tc>
          <w:tcPr>
            <w:tcW w:w="8640" w:type="dxa"/>
            <w:tcMar>
              <w:top w:w="100" w:type="dxa"/>
              <w:left w:w="100" w:type="dxa"/>
              <w:bottom w:w="100" w:type="dxa"/>
              <w:right w:w="100" w:type="dxa"/>
            </w:tcMar>
          </w:tcPr>
          <w:p w:rsidR="009C1002" w:rsidRDefault="00137526">
            <w:pPr>
              <w:numPr>
                <w:ilvl w:val="0"/>
                <w:numId w:val="4"/>
              </w:numPr>
              <w:contextualSpacing/>
            </w:pPr>
            <w:r>
              <w:rPr>
                <w:lang w:val="pt-BR" w:bidi="pt-BR"/>
              </w:rPr>
              <w:t xml:space="preserve">Utilizam alguma variável “correlacionada” ao clustering para avaliar o desempenho dos clusters. </w:t>
            </w:r>
          </w:p>
          <w:p w:rsidR="009C1002" w:rsidRDefault="00137526">
            <w:pPr>
              <w:numPr>
                <w:ilvl w:val="0"/>
                <w:numId w:val="4"/>
              </w:numPr>
              <w:contextualSpacing/>
            </w:pPr>
            <w:r>
              <w:rPr>
                <w:lang w:val="pt-BR" w:bidi="pt-BR"/>
              </w:rPr>
              <w:t>As medidas de avaliação externa são iguais às utilizadas em problemas de classificação, mas a lógica é diferente: clustering é uma questão de aprendizagem não supervisionada, portanto não modela uma variável resposta, mas sim, usa uma variável “externa” para avaliar os resultados. Vamos ver as seguintes medidas (destacar que existem muitas outras):</w:t>
            </w:r>
          </w:p>
          <w:p w:rsidR="009C1002" w:rsidRDefault="00137526">
            <w:pPr>
              <w:numPr>
                <w:ilvl w:val="1"/>
                <w:numId w:val="4"/>
              </w:numPr>
              <w:contextualSpacing/>
            </w:pPr>
            <w:r>
              <w:rPr>
                <w:lang w:val="pt-BR" w:bidi="pt-BR"/>
              </w:rPr>
              <w:t>Accuracy</w:t>
            </w:r>
          </w:p>
          <w:p w:rsidR="009C1002" w:rsidRDefault="00137526">
            <w:pPr>
              <w:numPr>
                <w:ilvl w:val="1"/>
                <w:numId w:val="4"/>
              </w:numPr>
              <w:contextualSpacing/>
            </w:pPr>
            <w:r>
              <w:rPr>
                <w:lang w:val="pt-BR" w:bidi="pt-BR"/>
              </w:rPr>
              <w:t>Medida F</w:t>
            </w:r>
          </w:p>
          <w:p w:rsidR="009C1002" w:rsidRDefault="00137526">
            <w:pPr>
              <w:numPr>
                <w:ilvl w:val="1"/>
                <w:numId w:val="4"/>
              </w:numPr>
              <w:contextualSpacing/>
            </w:pPr>
            <w:r>
              <w:rPr>
                <w:lang w:val="pt-BR" w:bidi="pt-BR"/>
              </w:rPr>
              <w:t>Confusion Matrix</w:t>
            </w:r>
          </w:p>
        </w:tc>
      </w:tr>
    </w:tbl>
    <w:p w:rsidR="009C1002" w:rsidRDefault="009C1002"/>
    <w:p w:rsidR="009C1002" w:rsidRDefault="009C1002"/>
    <w:tbl>
      <w:tblPr>
        <w:tblStyle w:val="a5"/>
        <w:tblW w:w="9360" w:type="dxa"/>
        <w:tblLayout w:type="fixed"/>
        <w:tblLook w:val="0600" w:firstRow="0" w:lastRow="0" w:firstColumn="0" w:lastColumn="0" w:noHBand="1" w:noVBand="1"/>
      </w:tblPr>
      <w:tblGrid>
        <w:gridCol w:w="7125"/>
        <w:gridCol w:w="2235"/>
      </w:tblGrid>
      <w:tr w:rsidR="009C1002">
        <w:trPr>
          <w:trHeight w:val="520"/>
        </w:trPr>
        <w:tc>
          <w:tcPr>
            <w:tcW w:w="7125" w:type="dxa"/>
            <w:tcBorders>
              <w:top w:val="nil"/>
              <w:left w:val="nil"/>
              <w:bottom w:val="nil"/>
              <w:right w:val="nil"/>
            </w:tcBorders>
            <w:tcMar>
              <w:top w:w="100" w:type="dxa"/>
              <w:left w:w="100" w:type="dxa"/>
              <w:bottom w:w="100" w:type="dxa"/>
              <w:right w:w="100" w:type="dxa"/>
            </w:tcMar>
          </w:tcPr>
          <w:p w:rsidR="009C1002" w:rsidRDefault="00137526">
            <w:pPr>
              <w:numPr>
                <w:ilvl w:val="0"/>
                <w:numId w:val="5"/>
              </w:numPr>
              <w:contextualSpacing/>
              <w:rPr>
                <w:b/>
              </w:rPr>
            </w:pPr>
            <w:r>
              <w:rPr>
                <w:b/>
                <w:lang w:val="pt-BR" w:bidi="pt-BR"/>
              </w:rPr>
              <w:t>Técnicas de avaliação de clusters: Medidas internas</w:t>
            </w:r>
          </w:p>
        </w:tc>
        <w:tc>
          <w:tcPr>
            <w:tcW w:w="2235" w:type="dxa"/>
            <w:tcBorders>
              <w:left w:val="nil"/>
            </w:tcBorders>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10 minutos</w:t>
            </w:r>
          </w:p>
        </w:tc>
      </w:tr>
    </w:tbl>
    <w:p w:rsidR="009C1002" w:rsidRDefault="009C1002"/>
    <w:tbl>
      <w:tblPr>
        <w:tblStyle w:val="a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40"/>
      </w:tblGrid>
      <w:tr w:rsidR="009C1002">
        <w:tc>
          <w:tcPr>
            <w:tcW w:w="735"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323850" cy="279400"/>
                  <wp:effectExtent l="0" t="0" r="0" b="0"/>
                  <wp:docPr id="1" name="image2.png" descr="hablar.png"/>
                  <wp:cNvGraphicFramePr/>
                  <a:graphic xmlns:a="http://schemas.openxmlformats.org/drawingml/2006/main">
                    <a:graphicData uri="http://schemas.openxmlformats.org/drawingml/2006/picture">
                      <pic:pic xmlns:pic="http://schemas.openxmlformats.org/drawingml/2006/picture">
                        <pic:nvPicPr>
                          <pic:cNvPr id="0" name="image2.png" descr="hablar.png"/>
                          <pic:cNvPicPr preferRelativeResize="0"/>
                        </pic:nvPicPr>
                        <pic:blipFill>
                          <a:blip r:embed="rId6"/>
                          <a:srcRect/>
                          <a:stretch>
                            <a:fillRect/>
                          </a:stretch>
                        </pic:blipFill>
                        <pic:spPr>
                          <a:xfrm>
                            <a:off x="0" y="0"/>
                            <a:ext cx="323850" cy="279400"/>
                          </a:xfrm>
                          <a:prstGeom prst="rect">
                            <a:avLst/>
                          </a:prstGeom>
                          <a:ln/>
                        </pic:spPr>
                      </pic:pic>
                    </a:graphicData>
                  </a:graphic>
                </wp:inline>
              </w:drawing>
            </w:r>
          </w:p>
        </w:tc>
        <w:tc>
          <w:tcPr>
            <w:tcW w:w="8640" w:type="dxa"/>
            <w:tcMar>
              <w:top w:w="100" w:type="dxa"/>
              <w:left w:w="100" w:type="dxa"/>
              <w:bottom w:w="100" w:type="dxa"/>
              <w:right w:w="100" w:type="dxa"/>
            </w:tcMar>
          </w:tcPr>
          <w:p w:rsidR="009C1002" w:rsidRDefault="00137526">
            <w:pPr>
              <w:numPr>
                <w:ilvl w:val="0"/>
                <w:numId w:val="4"/>
              </w:numPr>
              <w:pBdr>
                <w:top w:val="nil"/>
                <w:left w:val="nil"/>
                <w:bottom w:val="nil"/>
                <w:right w:val="nil"/>
                <w:between w:val="nil"/>
              </w:pBdr>
              <w:contextualSpacing/>
            </w:pPr>
            <w:r>
              <w:rPr>
                <w:lang w:val="pt-BR" w:bidi="pt-BR"/>
              </w:rPr>
              <w:t>Buscam avaliar a semelhança entre os membros de um cluster (homogeneidade) e a diferença entre eles e o restante dos clusters. Ou seja, se baseiam nas informações intrínsecas do conjunto de dados disponível. Vamos ver as seguintes medidas (destacar que existem muitas outras):</w:t>
            </w:r>
          </w:p>
          <w:p w:rsidR="009C1002" w:rsidRDefault="00137526">
            <w:pPr>
              <w:numPr>
                <w:ilvl w:val="1"/>
                <w:numId w:val="4"/>
              </w:numPr>
              <w:pBdr>
                <w:top w:val="nil"/>
                <w:left w:val="nil"/>
                <w:bottom w:val="nil"/>
                <w:right w:val="nil"/>
                <w:between w:val="nil"/>
              </w:pBdr>
              <w:contextualSpacing/>
            </w:pPr>
            <w:r>
              <w:rPr>
                <w:lang w:val="pt-BR" w:bidi="pt-BR"/>
              </w:rPr>
              <w:t>Técnicas visuais (úteis, porém limitadas a dados com baixa dimensionalidade)</w:t>
            </w:r>
          </w:p>
          <w:p w:rsidR="009C1002" w:rsidRDefault="00137526">
            <w:pPr>
              <w:numPr>
                <w:ilvl w:val="1"/>
                <w:numId w:val="4"/>
              </w:numPr>
              <w:contextualSpacing/>
            </w:pPr>
            <w:r>
              <w:rPr>
                <w:lang w:val="pt-BR" w:bidi="pt-BR"/>
              </w:rPr>
              <w:t>Silhouette Score</w:t>
            </w:r>
          </w:p>
          <w:p w:rsidR="009C1002" w:rsidRDefault="00137526">
            <w:pPr>
              <w:numPr>
                <w:ilvl w:val="1"/>
                <w:numId w:val="4"/>
              </w:numPr>
              <w:contextualSpacing/>
            </w:pPr>
            <w:r>
              <w:rPr>
                <w:lang w:val="pt-BR" w:bidi="pt-BR"/>
              </w:rPr>
              <w:t>Calinski-Harabaz Index</w:t>
            </w:r>
          </w:p>
        </w:tc>
      </w:tr>
    </w:tbl>
    <w:p w:rsidR="009C1002" w:rsidRDefault="009C1002"/>
    <w:p w:rsidR="009C1002" w:rsidRDefault="009C1002"/>
    <w:tbl>
      <w:tblPr>
        <w:tblStyle w:val="a7"/>
        <w:tblW w:w="9360" w:type="dxa"/>
        <w:tblLayout w:type="fixed"/>
        <w:tblLook w:val="0600" w:firstRow="0" w:lastRow="0" w:firstColumn="0" w:lastColumn="0" w:noHBand="1" w:noVBand="1"/>
      </w:tblPr>
      <w:tblGrid>
        <w:gridCol w:w="7125"/>
        <w:gridCol w:w="2235"/>
      </w:tblGrid>
      <w:tr w:rsidR="009C1002">
        <w:tc>
          <w:tcPr>
            <w:tcW w:w="7125" w:type="dxa"/>
            <w:tcMar>
              <w:top w:w="100" w:type="dxa"/>
              <w:left w:w="100" w:type="dxa"/>
              <w:bottom w:w="100" w:type="dxa"/>
              <w:right w:w="100" w:type="dxa"/>
            </w:tcMar>
          </w:tcPr>
          <w:p w:rsidR="009C1002" w:rsidRDefault="00137526">
            <w:pPr>
              <w:numPr>
                <w:ilvl w:val="0"/>
                <w:numId w:val="5"/>
              </w:numPr>
              <w:contextualSpacing/>
              <w:rPr>
                <w:b/>
              </w:rPr>
            </w:pPr>
            <w:r>
              <w:rPr>
                <w:b/>
                <w:lang w:val="pt-BR" w:bidi="pt-BR"/>
              </w:rPr>
              <w:lastRenderedPageBreak/>
              <w:t>Prática guiada: Ajuste de K-Means Clustering em Python</w:t>
            </w:r>
          </w:p>
        </w:tc>
        <w:tc>
          <w:tcPr>
            <w:tcW w:w="2235" w:type="dxa"/>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20 minutos</w:t>
            </w:r>
          </w:p>
        </w:tc>
      </w:tr>
    </w:tbl>
    <w:p w:rsidR="009C1002" w:rsidRDefault="009C1002"/>
    <w:tbl>
      <w:tblPr>
        <w:tblStyle w:val="a8"/>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00"/>
      </w:tblGrid>
      <w:tr w:rsidR="009C1002">
        <w:tc>
          <w:tcPr>
            <w:tcW w:w="660"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276225" cy="254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6225" cy="254000"/>
                          </a:xfrm>
                          <a:prstGeom prst="rect">
                            <a:avLst/>
                          </a:prstGeom>
                          <a:ln/>
                        </pic:spPr>
                      </pic:pic>
                    </a:graphicData>
                  </a:graphic>
                </wp:inline>
              </w:drawing>
            </w:r>
          </w:p>
        </w:tc>
        <w:tc>
          <w:tcPr>
            <w:tcW w:w="7800" w:type="dxa"/>
            <w:tcMar>
              <w:top w:w="100" w:type="dxa"/>
              <w:left w:w="100" w:type="dxa"/>
              <w:bottom w:w="100" w:type="dxa"/>
              <w:right w:w="100" w:type="dxa"/>
            </w:tcMar>
          </w:tcPr>
          <w:p w:rsidR="009C1002" w:rsidRDefault="00137526">
            <w:pPr>
              <w:widowControl w:val="0"/>
              <w:numPr>
                <w:ilvl w:val="0"/>
                <w:numId w:val="3"/>
              </w:numPr>
              <w:spacing w:line="240" w:lineRule="auto"/>
              <w:contextualSpacing/>
            </w:pPr>
            <w:r>
              <w:rPr>
                <w:lang w:val="pt-BR" w:bidi="pt-BR"/>
              </w:rPr>
              <w:t>Executar um notebook com a implementação de um clustering baseado em k-means sobre o conjunto de dados “</w:t>
            </w:r>
            <w:r w:rsidR="007F097F">
              <w:rPr>
                <w:lang w:val="pt-BR" w:bidi="pt-BR"/>
              </w:rPr>
              <w:t>IRIS</w:t>
            </w:r>
            <w:r>
              <w:rPr>
                <w:lang w:val="pt-BR" w:bidi="pt-BR"/>
              </w:rPr>
              <w:t>”.</w:t>
            </w:r>
          </w:p>
          <w:p w:rsidR="009C1002" w:rsidRDefault="00137526">
            <w:pPr>
              <w:widowControl w:val="0"/>
              <w:numPr>
                <w:ilvl w:val="0"/>
                <w:numId w:val="6"/>
              </w:numPr>
              <w:spacing w:line="240" w:lineRule="auto"/>
              <w:contextualSpacing/>
            </w:pPr>
            <w:r>
              <w:rPr>
                <w:lang w:val="pt-BR" w:bidi="pt-BR"/>
              </w:rPr>
              <w:t>Calcular as diversas medidas de avaliação sobre o conjunto de dados</w:t>
            </w:r>
          </w:p>
          <w:p w:rsidR="009C1002" w:rsidRDefault="00137526">
            <w:pPr>
              <w:widowControl w:val="0"/>
              <w:numPr>
                <w:ilvl w:val="1"/>
                <w:numId w:val="6"/>
              </w:numPr>
              <w:spacing w:line="240" w:lineRule="auto"/>
              <w:contextualSpacing/>
            </w:pPr>
            <w:r>
              <w:rPr>
                <w:lang w:val="pt-BR" w:bidi="pt-BR"/>
              </w:rPr>
              <w:t>Para as de avaliação externa, utilizar como variável extra a espécie da flor</w:t>
            </w:r>
          </w:p>
          <w:p w:rsidR="009C1002" w:rsidRDefault="00137526">
            <w:pPr>
              <w:widowControl w:val="0"/>
              <w:numPr>
                <w:ilvl w:val="0"/>
                <w:numId w:val="6"/>
              </w:numPr>
              <w:pBdr>
                <w:top w:val="nil"/>
                <w:left w:val="nil"/>
                <w:bottom w:val="nil"/>
                <w:right w:val="nil"/>
                <w:between w:val="nil"/>
              </w:pBdr>
              <w:spacing w:line="240" w:lineRule="auto"/>
              <w:contextualSpacing/>
              <w:rPr>
                <w:color w:val="000000"/>
              </w:rPr>
            </w:pPr>
            <w:r>
              <w:rPr>
                <w:lang w:val="pt-BR" w:bidi="pt-BR"/>
              </w:rPr>
              <w:t>A partir das medidas aprendidas, buscar o k ideal para o conjunto de dados.</w:t>
            </w:r>
          </w:p>
        </w:tc>
      </w:tr>
    </w:tbl>
    <w:p w:rsidR="009C1002" w:rsidRDefault="009C1002"/>
    <w:p w:rsidR="009C1002" w:rsidRDefault="009C1002"/>
    <w:tbl>
      <w:tblPr>
        <w:tblStyle w:val="a9"/>
        <w:tblW w:w="9360" w:type="dxa"/>
        <w:tblLayout w:type="fixed"/>
        <w:tblLook w:val="0600" w:firstRow="0" w:lastRow="0" w:firstColumn="0" w:lastColumn="0" w:noHBand="1" w:noVBand="1"/>
      </w:tblPr>
      <w:tblGrid>
        <w:gridCol w:w="7125"/>
        <w:gridCol w:w="2235"/>
      </w:tblGrid>
      <w:tr w:rsidR="009C1002">
        <w:tc>
          <w:tcPr>
            <w:tcW w:w="7125" w:type="dxa"/>
            <w:tcMar>
              <w:top w:w="100" w:type="dxa"/>
              <w:left w:w="100" w:type="dxa"/>
              <w:bottom w:w="100" w:type="dxa"/>
              <w:right w:w="100" w:type="dxa"/>
            </w:tcMar>
          </w:tcPr>
          <w:p w:rsidR="009C1002" w:rsidRDefault="00137526">
            <w:pPr>
              <w:numPr>
                <w:ilvl w:val="0"/>
                <w:numId w:val="5"/>
              </w:numPr>
              <w:contextualSpacing/>
              <w:rPr>
                <w:b/>
              </w:rPr>
            </w:pPr>
            <w:r>
              <w:rPr>
                <w:b/>
                <w:lang w:val="pt-BR" w:bidi="pt-BR"/>
              </w:rPr>
              <w:t>LAB: Clustering e avaliação sobre o conjunto de dados de câncer de mama (Scikit-Learn)</w:t>
            </w:r>
          </w:p>
        </w:tc>
        <w:tc>
          <w:tcPr>
            <w:tcW w:w="2235" w:type="dxa"/>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40 minutos</w:t>
            </w:r>
          </w:p>
        </w:tc>
      </w:tr>
    </w:tbl>
    <w:p w:rsidR="009C1002" w:rsidRDefault="009C1002"/>
    <w:tbl>
      <w:tblPr>
        <w:tblStyle w:val="aa"/>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00"/>
      </w:tblGrid>
      <w:tr w:rsidR="009C1002">
        <w:tc>
          <w:tcPr>
            <w:tcW w:w="660"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276225" cy="254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76225" cy="254000"/>
                          </a:xfrm>
                          <a:prstGeom prst="rect">
                            <a:avLst/>
                          </a:prstGeom>
                          <a:ln/>
                        </pic:spPr>
                      </pic:pic>
                    </a:graphicData>
                  </a:graphic>
                </wp:inline>
              </w:drawing>
            </w:r>
          </w:p>
        </w:tc>
        <w:tc>
          <w:tcPr>
            <w:tcW w:w="7800" w:type="dxa"/>
            <w:tcMar>
              <w:top w:w="100" w:type="dxa"/>
              <w:left w:w="100" w:type="dxa"/>
              <w:bottom w:w="100" w:type="dxa"/>
              <w:right w:w="100" w:type="dxa"/>
            </w:tcMar>
          </w:tcPr>
          <w:p w:rsidR="009C1002" w:rsidRDefault="00137526">
            <w:pPr>
              <w:widowControl w:val="0"/>
              <w:numPr>
                <w:ilvl w:val="0"/>
                <w:numId w:val="6"/>
              </w:numPr>
              <w:spacing w:line="240" w:lineRule="auto"/>
              <w:contextualSpacing/>
            </w:pPr>
            <w:r>
              <w:rPr>
                <w:lang w:val="pt-BR" w:bidi="pt-BR"/>
              </w:rPr>
              <w:t>Para esta seção de laboratório, vamos concluir um processo completo de K-Means.</w:t>
            </w:r>
          </w:p>
          <w:p w:rsidR="009C1002" w:rsidRDefault="00137526">
            <w:pPr>
              <w:widowControl w:val="0"/>
              <w:numPr>
                <w:ilvl w:val="0"/>
                <w:numId w:val="6"/>
              </w:numPr>
              <w:spacing w:line="240" w:lineRule="auto"/>
              <w:contextualSpacing/>
            </w:pPr>
            <w:r>
              <w:rPr>
                <w:lang w:val="pt-BR" w:bidi="pt-BR"/>
              </w:rPr>
              <w:t>Trabalhar com o conjunto de dados de câncer de mama elaborado pela Universidade de Wisconsin. As features foram calculadas a partir de imagens digitalizadas de tecido mamário. Elas descrevem características dos núcleos celulares nas imagens.</w:t>
            </w:r>
          </w:p>
          <w:p w:rsidR="009C1002" w:rsidRDefault="00137526">
            <w:pPr>
              <w:widowControl w:val="0"/>
              <w:numPr>
                <w:ilvl w:val="0"/>
                <w:numId w:val="6"/>
              </w:numPr>
              <w:spacing w:line="240" w:lineRule="auto"/>
              <w:contextualSpacing/>
            </w:pPr>
            <w:r>
              <w:rPr>
                <w:lang w:val="pt-BR" w:bidi="pt-BR"/>
              </w:rPr>
              <w:t>Objetivo: encontrar grupos de tecidos similares em função dessas características.</w:t>
            </w:r>
          </w:p>
          <w:p w:rsidR="009C1002" w:rsidRDefault="00137526">
            <w:pPr>
              <w:widowControl w:val="0"/>
              <w:numPr>
                <w:ilvl w:val="0"/>
                <w:numId w:val="6"/>
              </w:numPr>
              <w:spacing w:line="240" w:lineRule="auto"/>
              <w:contextualSpacing/>
            </w:pPr>
            <w:r>
              <w:rPr>
                <w:lang w:val="pt-BR" w:bidi="pt-BR"/>
              </w:rPr>
              <w:t>Começar com um k=4 e avaliar esse processo de clustering</w:t>
            </w:r>
          </w:p>
          <w:p w:rsidR="009C1002" w:rsidRDefault="00137526">
            <w:pPr>
              <w:widowControl w:val="0"/>
              <w:numPr>
                <w:ilvl w:val="0"/>
                <w:numId w:val="6"/>
              </w:numPr>
              <w:spacing w:line="240" w:lineRule="auto"/>
              <w:contextualSpacing/>
            </w:pPr>
            <w:r>
              <w:rPr>
                <w:lang w:val="pt-BR" w:bidi="pt-BR"/>
              </w:rPr>
              <w:t>Por último, encontrar o k ideal para o conjunto de dados e conversar sobre as diferenças entre as medidas de avaliação.</w:t>
            </w:r>
          </w:p>
        </w:tc>
      </w:tr>
    </w:tbl>
    <w:p w:rsidR="009C1002" w:rsidRDefault="009C1002"/>
    <w:p w:rsidR="009C1002" w:rsidRDefault="009C1002"/>
    <w:tbl>
      <w:tblPr>
        <w:tblStyle w:val="ab"/>
        <w:tblW w:w="9360" w:type="dxa"/>
        <w:tblLayout w:type="fixed"/>
        <w:tblLook w:val="0600" w:firstRow="0" w:lastRow="0" w:firstColumn="0" w:lastColumn="0" w:noHBand="1" w:noVBand="1"/>
      </w:tblPr>
      <w:tblGrid>
        <w:gridCol w:w="7125"/>
        <w:gridCol w:w="2235"/>
      </w:tblGrid>
      <w:tr w:rsidR="009C1002">
        <w:tc>
          <w:tcPr>
            <w:tcW w:w="7125" w:type="dxa"/>
            <w:tcMar>
              <w:top w:w="100" w:type="dxa"/>
              <w:left w:w="100" w:type="dxa"/>
              <w:bottom w:w="100" w:type="dxa"/>
              <w:right w:w="100" w:type="dxa"/>
            </w:tcMar>
          </w:tcPr>
          <w:p w:rsidR="009C1002" w:rsidRDefault="00137526">
            <w:pPr>
              <w:numPr>
                <w:ilvl w:val="0"/>
                <w:numId w:val="5"/>
              </w:numPr>
              <w:contextualSpacing/>
              <w:rPr>
                <w:b/>
              </w:rPr>
            </w:pPr>
            <w:r>
              <w:rPr>
                <w:b/>
                <w:lang w:val="pt-BR" w:bidi="pt-BR"/>
              </w:rPr>
              <w:t>Conclusão</w:t>
            </w:r>
          </w:p>
        </w:tc>
        <w:tc>
          <w:tcPr>
            <w:tcW w:w="2235" w:type="dxa"/>
            <w:shd w:val="clear" w:color="auto" w:fill="CCCCCC"/>
            <w:tcMar>
              <w:top w:w="100" w:type="dxa"/>
              <w:left w:w="100" w:type="dxa"/>
              <w:bottom w:w="100" w:type="dxa"/>
              <w:right w:w="100" w:type="dxa"/>
            </w:tcMar>
          </w:tcPr>
          <w:p w:rsidR="009C1002" w:rsidRDefault="00137526">
            <w:pPr>
              <w:widowControl w:val="0"/>
              <w:spacing w:line="240" w:lineRule="auto"/>
              <w:jc w:val="right"/>
            </w:pPr>
            <w:r>
              <w:rPr>
                <w:b/>
                <w:lang w:val="pt-BR" w:bidi="pt-BR"/>
              </w:rPr>
              <w:t>5 minutos</w:t>
            </w:r>
          </w:p>
        </w:tc>
      </w:tr>
    </w:tbl>
    <w:p w:rsidR="009C1002" w:rsidRDefault="009C1002"/>
    <w:tbl>
      <w:tblPr>
        <w:tblStyle w:val="ac"/>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00"/>
      </w:tblGrid>
      <w:tr w:rsidR="009C1002">
        <w:tc>
          <w:tcPr>
            <w:tcW w:w="660" w:type="dxa"/>
            <w:tcMar>
              <w:top w:w="100" w:type="dxa"/>
              <w:left w:w="100" w:type="dxa"/>
              <w:bottom w:w="100" w:type="dxa"/>
              <w:right w:w="100" w:type="dxa"/>
            </w:tcMar>
          </w:tcPr>
          <w:p w:rsidR="009C1002" w:rsidRDefault="00137526">
            <w:pPr>
              <w:widowControl w:val="0"/>
              <w:spacing w:line="240" w:lineRule="auto"/>
            </w:pPr>
            <w:r>
              <w:rPr>
                <w:noProof/>
                <w:lang w:val="es-AR" w:eastAsia="es-AR"/>
              </w:rPr>
              <w:drawing>
                <wp:inline distT="114300" distB="114300" distL="114300" distR="114300">
                  <wp:extent cx="285750" cy="241300"/>
                  <wp:effectExtent l="0" t="0" r="0" b="0"/>
                  <wp:docPr id="8" name="image11.png" descr="hablar.png"/>
                  <wp:cNvGraphicFramePr/>
                  <a:graphic xmlns:a="http://schemas.openxmlformats.org/drawingml/2006/main">
                    <a:graphicData uri="http://schemas.openxmlformats.org/drawingml/2006/picture">
                      <pic:pic xmlns:pic="http://schemas.openxmlformats.org/drawingml/2006/picture">
                        <pic:nvPicPr>
                          <pic:cNvPr id="0" name="image11.png" descr="hablar.png"/>
                          <pic:cNvPicPr preferRelativeResize="0"/>
                        </pic:nvPicPr>
                        <pic:blipFill>
                          <a:blip r:embed="rId6"/>
                          <a:srcRect/>
                          <a:stretch>
                            <a:fillRect/>
                          </a:stretch>
                        </pic:blipFill>
                        <pic:spPr>
                          <a:xfrm>
                            <a:off x="0" y="0"/>
                            <a:ext cx="285750" cy="241300"/>
                          </a:xfrm>
                          <a:prstGeom prst="rect">
                            <a:avLst/>
                          </a:prstGeom>
                          <a:ln/>
                        </pic:spPr>
                      </pic:pic>
                    </a:graphicData>
                  </a:graphic>
                </wp:inline>
              </w:drawing>
            </w:r>
          </w:p>
        </w:tc>
        <w:tc>
          <w:tcPr>
            <w:tcW w:w="7800" w:type="dxa"/>
            <w:tcMar>
              <w:top w:w="100" w:type="dxa"/>
              <w:left w:w="100" w:type="dxa"/>
              <w:bottom w:w="100" w:type="dxa"/>
              <w:right w:w="100" w:type="dxa"/>
            </w:tcMar>
          </w:tcPr>
          <w:p w:rsidR="009C1002" w:rsidRDefault="00137526">
            <w:pPr>
              <w:widowControl w:val="0"/>
              <w:numPr>
                <w:ilvl w:val="0"/>
                <w:numId w:val="6"/>
              </w:numPr>
              <w:spacing w:line="240" w:lineRule="auto"/>
              <w:contextualSpacing/>
            </w:pPr>
            <w:r>
              <w:rPr>
                <w:lang w:val="pt-BR" w:bidi="pt-BR"/>
              </w:rPr>
              <w:t>Existem diferentes métodos para avaliar a qualidade de uma análise (incluindo visualização, silhouette scores, F-metrics e matrizes de confusão).</w:t>
            </w:r>
          </w:p>
          <w:p w:rsidR="009C1002" w:rsidRDefault="00137526">
            <w:pPr>
              <w:widowControl w:val="0"/>
              <w:numPr>
                <w:ilvl w:val="0"/>
                <w:numId w:val="6"/>
              </w:numPr>
              <w:spacing w:line="240" w:lineRule="auto"/>
              <w:contextualSpacing/>
            </w:pPr>
            <w:r>
              <w:rPr>
                <w:lang w:val="pt-BR" w:bidi="pt-BR"/>
              </w:rPr>
              <w:t>Depois de analisar os clusters, talvez seja necessário redefinir a quantidade “k” de clusters procurados.</w:t>
            </w:r>
          </w:p>
          <w:p w:rsidR="009C1002" w:rsidRDefault="00137526">
            <w:pPr>
              <w:widowControl w:val="0"/>
              <w:numPr>
                <w:ilvl w:val="0"/>
                <w:numId w:val="6"/>
              </w:numPr>
              <w:spacing w:line="240" w:lineRule="auto"/>
              <w:contextualSpacing/>
            </w:pPr>
            <w:r>
              <w:rPr>
                <w:lang w:val="pt-BR" w:bidi="pt-BR"/>
              </w:rPr>
              <w:t>Sempre é uma boa ideia examinar várias métricas para entender a qualidade da análise realizada.</w:t>
            </w:r>
          </w:p>
        </w:tc>
      </w:tr>
    </w:tbl>
    <w:p w:rsidR="009C1002" w:rsidRDefault="009C1002"/>
    <w:bookmarkEnd w:id="1"/>
    <w:p w:rsidR="009C1002" w:rsidRDefault="009C1002">
      <w:pPr>
        <w:pBdr>
          <w:top w:val="nil"/>
          <w:left w:val="nil"/>
          <w:bottom w:val="nil"/>
          <w:right w:val="nil"/>
          <w:between w:val="nil"/>
        </w:pBdr>
      </w:pPr>
    </w:p>
    <w:sectPr w:rsidR="009C1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904C8"/>
    <w:multiLevelType w:val="multilevel"/>
    <w:tmpl w:val="5EBCC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B53D2E"/>
    <w:multiLevelType w:val="multilevel"/>
    <w:tmpl w:val="A63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0F0525"/>
    <w:multiLevelType w:val="multilevel"/>
    <w:tmpl w:val="1FBCE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1836564"/>
    <w:multiLevelType w:val="multilevel"/>
    <w:tmpl w:val="12A46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D7407F"/>
    <w:multiLevelType w:val="multilevel"/>
    <w:tmpl w:val="1E96D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AEE0CD2"/>
    <w:multiLevelType w:val="multilevel"/>
    <w:tmpl w:val="0DE67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C1002"/>
    <w:rsid w:val="00137526"/>
    <w:rsid w:val="007F097F"/>
    <w:rsid w:val="009C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color w:val="000000"/>
      <w:sz w:val="40"/>
      <w:szCs w:val="40"/>
    </w:rPr>
  </w:style>
  <w:style w:type="paragraph" w:styleId="Ttulo2">
    <w:name w:val="heading 2"/>
    <w:basedOn w:val="Normal"/>
    <w:next w:val="Normal"/>
    <w:pPr>
      <w:keepNext/>
      <w:keepLines/>
      <w:spacing w:before="360" w:after="120"/>
      <w:outlineLvl w:val="1"/>
    </w:pPr>
    <w:rPr>
      <w:color w:val="000000"/>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color w:val="000000"/>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elanormal"/>
    <w:tblPr>
      <w:tblStyleRowBandSize w:val="1"/>
      <w:tblStyleColBandSize w:val="1"/>
      <w:tblCellMar>
        <w:left w:w="115" w:type="dxa"/>
        <w:right w:w="115" w:type="dxa"/>
      </w:tblCellMar>
    </w:tblPr>
  </w:style>
  <w:style w:type="table" w:customStyle="1" w:styleId="a0">
    <w:basedOn w:val="Tabelanormal"/>
    <w:tblPr>
      <w:tblStyleRowBandSize w:val="1"/>
      <w:tblStyleColBandSize w:val="1"/>
      <w:tblCellMar>
        <w:left w:w="115" w:type="dxa"/>
        <w:right w:w="115" w:type="dxa"/>
      </w:tblCellMar>
    </w:tblPr>
  </w:style>
  <w:style w:type="table" w:customStyle="1" w:styleId="a1">
    <w:basedOn w:val="Tabelanormal"/>
    <w:tblPr>
      <w:tblStyleRowBandSize w:val="1"/>
      <w:tblStyleColBandSize w:val="1"/>
      <w:tblCellMar>
        <w:left w:w="115" w:type="dxa"/>
        <w:right w:w="115" w:type="dxa"/>
      </w:tblCellMar>
    </w:tblPr>
  </w:style>
  <w:style w:type="table" w:customStyle="1" w:styleId="a2">
    <w:basedOn w:val="Tabelanormal"/>
    <w:tblPr>
      <w:tblStyleRowBandSize w:val="1"/>
      <w:tblStyleColBandSize w:val="1"/>
      <w:tblCellMar>
        <w:left w:w="115" w:type="dxa"/>
        <w:right w:w="115" w:type="dxa"/>
      </w:tblCellMar>
    </w:tblPr>
  </w:style>
  <w:style w:type="table" w:customStyle="1" w:styleId="a3">
    <w:basedOn w:val="Tabelanormal"/>
    <w:tblPr>
      <w:tblStyleRowBandSize w:val="1"/>
      <w:tblStyleColBandSize w:val="1"/>
      <w:tblCellMar>
        <w:left w:w="115" w:type="dxa"/>
        <w:right w:w="115" w:type="dxa"/>
      </w:tblCellMar>
    </w:tblPr>
  </w:style>
  <w:style w:type="table" w:customStyle="1" w:styleId="a4">
    <w:basedOn w:val="Tabelanormal"/>
    <w:tblPr>
      <w:tblStyleRowBandSize w:val="1"/>
      <w:tblStyleColBandSize w:val="1"/>
      <w:tblCellMar>
        <w:left w:w="115" w:type="dxa"/>
        <w:right w:w="115" w:type="dxa"/>
      </w:tblCellMar>
    </w:tblPr>
  </w:style>
  <w:style w:type="table" w:customStyle="1" w:styleId="a5">
    <w:basedOn w:val="Tabelanormal"/>
    <w:tblPr>
      <w:tblStyleRowBandSize w:val="1"/>
      <w:tblStyleColBandSize w:val="1"/>
      <w:tblCellMar>
        <w:left w:w="115" w:type="dxa"/>
        <w:right w:w="115" w:type="dxa"/>
      </w:tblCellMar>
    </w:tblPr>
  </w:style>
  <w:style w:type="table" w:customStyle="1" w:styleId="a6">
    <w:basedOn w:val="Tabelanormal"/>
    <w:tblPr>
      <w:tblStyleRowBandSize w:val="1"/>
      <w:tblStyleColBandSize w:val="1"/>
      <w:tblCellMar>
        <w:left w:w="115" w:type="dxa"/>
        <w:right w:w="115" w:type="dxa"/>
      </w:tblCellMar>
    </w:tblPr>
  </w:style>
  <w:style w:type="table" w:customStyle="1" w:styleId="a7">
    <w:basedOn w:val="Tabelanormal"/>
    <w:tblPr>
      <w:tblStyleRowBandSize w:val="1"/>
      <w:tblStyleColBandSize w:val="1"/>
      <w:tblCellMar>
        <w:left w:w="115" w:type="dxa"/>
        <w:right w:w="115" w:type="dxa"/>
      </w:tblCellMar>
    </w:tblPr>
  </w:style>
  <w:style w:type="table" w:customStyle="1" w:styleId="a8">
    <w:basedOn w:val="Tabelanormal"/>
    <w:tblPr>
      <w:tblStyleRowBandSize w:val="1"/>
      <w:tblStyleColBandSize w:val="1"/>
      <w:tblCellMar>
        <w:left w:w="115" w:type="dxa"/>
        <w:right w:w="115" w:type="dxa"/>
      </w:tblCellMar>
    </w:tblPr>
  </w:style>
  <w:style w:type="table" w:customStyle="1" w:styleId="a9">
    <w:basedOn w:val="Tabelanormal"/>
    <w:tblPr>
      <w:tblStyleRowBandSize w:val="1"/>
      <w:tblStyleColBandSize w:val="1"/>
      <w:tblCellMar>
        <w:left w:w="115" w:type="dxa"/>
        <w:right w:w="115" w:type="dxa"/>
      </w:tblCellMar>
    </w:tblPr>
  </w:style>
  <w:style w:type="table" w:customStyle="1" w:styleId="aa">
    <w:basedOn w:val="Tabelanormal"/>
    <w:tblPr>
      <w:tblStyleRowBandSize w:val="1"/>
      <w:tblStyleColBandSize w:val="1"/>
      <w:tblCellMar>
        <w:left w:w="115" w:type="dxa"/>
        <w:right w:w="115" w:type="dxa"/>
      </w:tblCellMar>
    </w:tblPr>
  </w:style>
  <w:style w:type="table" w:customStyle="1" w:styleId="ab">
    <w:basedOn w:val="Tabelanormal"/>
    <w:tblPr>
      <w:tblStyleRowBandSize w:val="1"/>
      <w:tblStyleColBandSize w:val="1"/>
      <w:tblCellMar>
        <w:left w:w="115" w:type="dxa"/>
        <w:right w:w="115" w:type="dxa"/>
      </w:tblCellMar>
    </w:tblPr>
  </w:style>
  <w:style w:type="table" w:customStyle="1" w:styleId="ac">
    <w:basedOn w:val="Tabelanormal"/>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7F097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0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color w:val="000000"/>
      <w:sz w:val="40"/>
      <w:szCs w:val="40"/>
    </w:rPr>
  </w:style>
  <w:style w:type="paragraph" w:styleId="Ttulo2">
    <w:name w:val="heading 2"/>
    <w:basedOn w:val="Normal"/>
    <w:next w:val="Normal"/>
    <w:pPr>
      <w:keepNext/>
      <w:keepLines/>
      <w:spacing w:before="360" w:after="120"/>
      <w:outlineLvl w:val="1"/>
    </w:pPr>
    <w:rPr>
      <w:color w:val="000000"/>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color w:val="000000"/>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elanormal"/>
    <w:tblPr>
      <w:tblStyleRowBandSize w:val="1"/>
      <w:tblStyleColBandSize w:val="1"/>
      <w:tblCellMar>
        <w:left w:w="115" w:type="dxa"/>
        <w:right w:w="115" w:type="dxa"/>
      </w:tblCellMar>
    </w:tblPr>
  </w:style>
  <w:style w:type="table" w:customStyle="1" w:styleId="a0">
    <w:basedOn w:val="Tabelanormal"/>
    <w:tblPr>
      <w:tblStyleRowBandSize w:val="1"/>
      <w:tblStyleColBandSize w:val="1"/>
      <w:tblCellMar>
        <w:left w:w="115" w:type="dxa"/>
        <w:right w:w="115" w:type="dxa"/>
      </w:tblCellMar>
    </w:tblPr>
  </w:style>
  <w:style w:type="table" w:customStyle="1" w:styleId="a1">
    <w:basedOn w:val="Tabelanormal"/>
    <w:tblPr>
      <w:tblStyleRowBandSize w:val="1"/>
      <w:tblStyleColBandSize w:val="1"/>
      <w:tblCellMar>
        <w:left w:w="115" w:type="dxa"/>
        <w:right w:w="115" w:type="dxa"/>
      </w:tblCellMar>
    </w:tblPr>
  </w:style>
  <w:style w:type="table" w:customStyle="1" w:styleId="a2">
    <w:basedOn w:val="Tabelanormal"/>
    <w:tblPr>
      <w:tblStyleRowBandSize w:val="1"/>
      <w:tblStyleColBandSize w:val="1"/>
      <w:tblCellMar>
        <w:left w:w="115" w:type="dxa"/>
        <w:right w:w="115" w:type="dxa"/>
      </w:tblCellMar>
    </w:tblPr>
  </w:style>
  <w:style w:type="table" w:customStyle="1" w:styleId="a3">
    <w:basedOn w:val="Tabelanormal"/>
    <w:tblPr>
      <w:tblStyleRowBandSize w:val="1"/>
      <w:tblStyleColBandSize w:val="1"/>
      <w:tblCellMar>
        <w:left w:w="115" w:type="dxa"/>
        <w:right w:w="115" w:type="dxa"/>
      </w:tblCellMar>
    </w:tblPr>
  </w:style>
  <w:style w:type="table" w:customStyle="1" w:styleId="a4">
    <w:basedOn w:val="Tabelanormal"/>
    <w:tblPr>
      <w:tblStyleRowBandSize w:val="1"/>
      <w:tblStyleColBandSize w:val="1"/>
      <w:tblCellMar>
        <w:left w:w="115" w:type="dxa"/>
        <w:right w:w="115" w:type="dxa"/>
      </w:tblCellMar>
    </w:tblPr>
  </w:style>
  <w:style w:type="table" w:customStyle="1" w:styleId="a5">
    <w:basedOn w:val="Tabelanormal"/>
    <w:tblPr>
      <w:tblStyleRowBandSize w:val="1"/>
      <w:tblStyleColBandSize w:val="1"/>
      <w:tblCellMar>
        <w:left w:w="115" w:type="dxa"/>
        <w:right w:w="115" w:type="dxa"/>
      </w:tblCellMar>
    </w:tblPr>
  </w:style>
  <w:style w:type="table" w:customStyle="1" w:styleId="a6">
    <w:basedOn w:val="Tabelanormal"/>
    <w:tblPr>
      <w:tblStyleRowBandSize w:val="1"/>
      <w:tblStyleColBandSize w:val="1"/>
      <w:tblCellMar>
        <w:left w:w="115" w:type="dxa"/>
        <w:right w:w="115" w:type="dxa"/>
      </w:tblCellMar>
    </w:tblPr>
  </w:style>
  <w:style w:type="table" w:customStyle="1" w:styleId="a7">
    <w:basedOn w:val="Tabelanormal"/>
    <w:tblPr>
      <w:tblStyleRowBandSize w:val="1"/>
      <w:tblStyleColBandSize w:val="1"/>
      <w:tblCellMar>
        <w:left w:w="115" w:type="dxa"/>
        <w:right w:w="115" w:type="dxa"/>
      </w:tblCellMar>
    </w:tblPr>
  </w:style>
  <w:style w:type="table" w:customStyle="1" w:styleId="a8">
    <w:basedOn w:val="Tabelanormal"/>
    <w:tblPr>
      <w:tblStyleRowBandSize w:val="1"/>
      <w:tblStyleColBandSize w:val="1"/>
      <w:tblCellMar>
        <w:left w:w="115" w:type="dxa"/>
        <w:right w:w="115" w:type="dxa"/>
      </w:tblCellMar>
    </w:tblPr>
  </w:style>
  <w:style w:type="table" w:customStyle="1" w:styleId="a9">
    <w:basedOn w:val="Tabelanormal"/>
    <w:tblPr>
      <w:tblStyleRowBandSize w:val="1"/>
      <w:tblStyleColBandSize w:val="1"/>
      <w:tblCellMar>
        <w:left w:w="115" w:type="dxa"/>
        <w:right w:w="115" w:type="dxa"/>
      </w:tblCellMar>
    </w:tblPr>
  </w:style>
  <w:style w:type="table" w:customStyle="1" w:styleId="aa">
    <w:basedOn w:val="Tabelanormal"/>
    <w:tblPr>
      <w:tblStyleRowBandSize w:val="1"/>
      <w:tblStyleColBandSize w:val="1"/>
      <w:tblCellMar>
        <w:left w:w="115" w:type="dxa"/>
        <w:right w:w="115" w:type="dxa"/>
      </w:tblCellMar>
    </w:tblPr>
  </w:style>
  <w:style w:type="table" w:customStyle="1" w:styleId="ab">
    <w:basedOn w:val="Tabelanormal"/>
    <w:tblPr>
      <w:tblStyleRowBandSize w:val="1"/>
      <w:tblStyleColBandSize w:val="1"/>
      <w:tblCellMar>
        <w:left w:w="115" w:type="dxa"/>
        <w:right w:w="115" w:type="dxa"/>
      </w:tblCellMar>
    </w:tblPr>
  </w:style>
  <w:style w:type="table" w:customStyle="1" w:styleId="ac">
    <w:basedOn w:val="Tabelanormal"/>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7F097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0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526</Words>
  <Characters>2893</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Latinlingua</cp:lastModifiedBy>
  <cp:revision>4</cp:revision>
  <dcterms:created xsi:type="dcterms:W3CDTF">2018-07-04T14:09:00Z</dcterms:created>
  <dcterms:modified xsi:type="dcterms:W3CDTF">2018-07-04T14:19:00Z</dcterms:modified>
</cp:coreProperties>
</file>