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2020</w:t>
      </w:r>
    </w:p>
    <w:p>
      <w:pPr>
        <w:pStyle w:val="FirstParagraph"/>
      </w:pPr>
      <w:r>
        <w:t xml:space="preserve">It is a privilege to deliver this Investment Section to the Comprehensive Annual Financial Report of the Arizona State Retirement System. In this section we will discuss our investment strategy,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0" w:name="investment-strategy"/>
      <w:r>
        <w:t xml:space="preserve">Investment Strategy</w:t>
      </w:r>
      <w:bookmarkEnd w:id="20"/>
    </w:p>
    <w:p>
      <w:pPr>
        <w:pStyle w:val="FirstParagraph"/>
      </w:pPr>
      <w:r>
        <w:t xml:space="preserve">ASRS manages its investments in accordance with a strategic asset allocation. The ASRS investment team seeks to enhance returns compared to strategic asset allocation benchmarks through its implementation of the investment program and tactical positioning relative to strategic targets.</w:t>
      </w:r>
    </w:p>
    <w:p>
      <w:pPr>
        <w:pStyle w:val="BodyText"/>
      </w:pPr>
      <w:r>
        <w:t xml:space="preserve">Fundamentally, investment returns are rewards for risks taken. ASRS manages its risk in a highly diversified program across multiple global markets including equities, real estate and credit. The diversity of the program expands opportunities for gain and reduces risk that would be present in a more concentrated approach.</w:t>
      </w:r>
    </w:p>
    <w:p>
      <w:pPr>
        <w:pStyle w:val="BodyText"/>
      </w:pPr>
      <w:r>
        <w:t xml:space="preserve">ASRS is a long-term investor with a multi-decade horizon for its decisions. We will tolerate short-term market fluctuations in order to position ourselves for long run gains. We are a value oriented investor and, at times, will buy in markets out of favor and patiently await their recovery.</w:t>
      </w:r>
    </w:p>
    <w:p>
      <w:pPr>
        <w:pStyle w:val="BodyText"/>
      </w:pPr>
      <w:r>
        <w:t xml:space="preserve">ASRS maintains a high level of liquidity with assets totaling forty times the cash required to fund benefits. As a pension fund, the cash requirements for benefits are highly stable and predictable. These two facts combine to give ASRS an advantage in the market allowing it to provide liquidity to market participants with less flexibility and unpredictable cash needs. ASRS capitalizes on this by participating in less liquid private markets for equities, real estate and credit. These programs have significantly enhanced the diversity of our investments and have increased our returns.</w:t>
      </w:r>
    </w:p>
    <w:p>
      <w:pPr>
        <w:pStyle w:val="BodyText"/>
      </w:pPr>
      <w:r>
        <w:t xml:space="preserve">According to our independent investment consultant NEPC,</w:t>
      </w:r>
      <w:r>
        <w:t xml:space="preserve"> </w:t>
      </w:r>
      <w:r>
        <w:rPr>
          <w:i/>
        </w:rPr>
        <w:t xml:space="preserve">the combined effect of these efforts has been to place the ASRS among the top 10% of investment returns earned by U.S. public pension plans over the last ten years.</w:t>
      </w:r>
      <w:r>
        <w:t xml:space="preserve"> </w:t>
      </w:r>
      <w:r>
        <w:t xml:space="preserve">I offer thanks and congratulations to my colleagues whose thoughtful, diligent and tireless efforts have led to these results.</w:t>
      </w:r>
    </w:p>
    <w:p>
      <w:pPr>
        <w:pStyle w:val="Heading2"/>
      </w:pPr>
      <w:bookmarkStart w:id="21" w:name="investment-environment"/>
      <w:r>
        <w:t xml:space="preserve">Investment Environment</w:t>
      </w:r>
      <w:bookmarkEnd w:id="21"/>
    </w:p>
    <w:p>
      <w:pPr>
        <w:pStyle w:val="FirstParagraph"/>
      </w:pPr>
      <w:r>
        <w:t xml:space="preserve">The Coronavirus pandemic has caused dramatic changes in financial markets. Stock markets moved up or down more than 20% in three consecutive quarters in the fiscal year just ended, a level of volatility not seen since the 1930’s. The global financial markets were under tremendous stress in March of 2020 as the world came to grips with the implications of the health crisis. Quick and decisive action by major central banks to inject liquidity maintained order in financial markets. National governments stabilized the economy with appropriate stimulus and support for individuals and firms under stress from the pandemic. As a result of these actions, financial markets largely recovered in the second and third quarters of this calendar year.</w:t>
      </w:r>
    </w:p>
    <w:p>
      <w:pPr>
        <w:pStyle w:val="BodyText"/>
      </w:pPr>
      <w:r>
        <w:t xml:space="preserve">The following chart shows market returns for the last 10 years for major public market asset classes.</w:t>
      </w:r>
    </w:p>
    <w:p>
      <w:pPr>
        <w:pStyle w:val="BodyText"/>
      </w:pPr>
      <w:r>
        <w:drawing>
          <wp:inline>
            <wp:extent cx="5334000" cy="3667125"/>
            <wp:effectExtent b="0" l="0" r="0" t="0"/>
            <wp:docPr descr="" title="" id="1" name="Picture"/>
            <a:graphic>
              <a:graphicData uri="http://schemas.openxmlformats.org/drawingml/2006/picture">
                <pic:pic>
                  <pic:nvPicPr>
                    <pic:cNvPr descr="CIO-Report-2020_files/figure-docx/unnamed-chunk-1-1.png" id="0" name="Picture"/>
                    <pic:cNvPicPr>
                      <a:picLocks noChangeArrowheads="1" noChangeAspect="1"/>
                    </pic:cNvPicPr>
                  </pic:nvPicPr>
                  <pic:blipFill>
                    <a:blip r:embed="rId22"/>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2"/>
      </w:pPr>
      <w:bookmarkStart w:id="23" w:name="investment-results"/>
      <w:r>
        <w:t xml:space="preserve">Investment Results</w:t>
      </w:r>
      <w:bookmarkEnd w:id="23"/>
    </w:p>
    <w:p>
      <w:pPr>
        <w:pStyle w:val="FirstParagraph"/>
      </w:pPr>
      <w:r>
        <w:t xml:space="preserve">The ASRS investment program continues to perform well in spite of the challenges of the current environment. Investment returns of .8%, 5.5%, 6.1%, and 9.5% for the one, three, five and ten year periods exceeded our benchmarks by .8%, 1.2%, 1.6% and 1.1%, respectively. While market conditions have not allowed us to earn the 7.5% actuarial return in recent periods, ASRS ten year returns exceeded the actuarial target by 1.4% per year. On a very long run basis, ASRS has earned compound returns of 9.5% per year for the last 45 years.</w:t>
      </w:r>
    </w:p>
    <w:p>
      <w:pPr>
        <w:pStyle w:val="BodyText"/>
      </w:pPr>
      <w:r>
        <w:drawing>
          <wp:inline>
            <wp:extent cx="5334000" cy="2667000"/>
            <wp:effectExtent b="0" l="0" r="0" t="0"/>
            <wp:docPr descr="" title="" id="1" name="Picture"/>
            <a:graphic>
              <a:graphicData uri="http://schemas.openxmlformats.org/drawingml/2006/picture">
                <pic:pic>
                  <pic:nvPicPr>
                    <pic:cNvPr descr="CIO-Report-2020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Stated in terms of dollars, small differences in returns compounded over a number of years have a big impact on the value of the total fund. The .8% out performance compared to benchmark in the most recent year translates to additional profits of $290 million added to the value of the fund. Over ten years, the 1.1% out performance added $3.6 billion in value to the fund.</w:t>
      </w:r>
    </w:p>
    <w:p>
      <w:pPr>
        <w:pStyle w:val="Heading2"/>
      </w:pPr>
      <w:bookmarkStart w:id="25" w:name="governance-and-compliance"/>
      <w:r>
        <w:t xml:space="preserve">Governance and Compliance</w:t>
      </w:r>
      <w:bookmarkEnd w:id="25"/>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is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weekly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6" w:name="cost"/>
      <w:r>
        <w:t xml:space="preserve">Cost</w:t>
      </w:r>
      <w:bookmarkEnd w:id="26"/>
    </w:p>
    <w:p>
      <w:pPr>
        <w:pStyle w:val="FirstParagraph"/>
      </w:pPr>
      <w:r>
        <w:t xml:space="preserve">While cost management is not an investment strategy per se, cost reduction is one of the most important ways to improve investment performance. ASRS aggressively manages costs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w:t>
      </w:r>
    </w:p>
    <w:p>
      <w:pPr>
        <w:pStyle w:val="BodyText"/>
      </w:pPr>
      <w:r>
        <w:t xml:space="preserve">In private markets, costs are necessarily higher to implement these programs and we carefully monitor investments to ensure these costs are appropriate.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w:t>
      </w:r>
      <w:r>
        <w:t xml:space="preserve"> </w:t>
      </w:r>
      <w:r>
        <w:t xml:space="preserve">“</w:t>
      </w:r>
      <w:r>
        <w:t xml:space="preserve">separate accounts</w:t>
      </w:r>
      <w:r>
        <w:t xml:space="preserve">”</w:t>
      </w:r>
      <w:r>
        <w:t xml:space="preserve">,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80% of private market assets.</w:t>
      </w:r>
    </w:p>
    <w:p>
      <w:pPr>
        <w:pStyle w:val="Heading2"/>
      </w:pPr>
      <w:bookmarkStart w:id="27" w:name="reporting-and-performance-measurement"/>
      <w:r>
        <w:t xml:space="preserve">Reporting and Performance Measurement</w:t>
      </w:r>
      <w:bookmarkEnd w:id="27"/>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w:t>
      </w:r>
      <w:r>
        <w:t xml:space="preserve">“</w:t>
      </w:r>
      <w:r>
        <w:t xml:space="preserve">GFOA</w:t>
      </w:r>
      <w:r>
        <w:t xml:space="preserve">”</w:t>
      </w:r>
      <w:r>
        <w:t xml:space="preserve">).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w:t>
      </w:r>
      <w:r>
        <w:t xml:space="preserve"> </w:t>
      </w:r>
      <w:r>
        <w:t xml:space="preserve">“</w:t>
      </w:r>
      <w:r>
        <w:t xml:space="preserve">public market equivalent</w:t>
      </w:r>
      <w:r>
        <w:t xml:space="preserve">”</w:t>
      </w:r>
      <w:r>
        <w:t xml:space="preserve"> </w:t>
      </w:r>
      <w:r>
        <w:t xml:space="preserve">measurements of performance. ASRS extended the performance measurement project to public markets implementing returns and holdings based methods. ASRS portfolio managers now receive daily performance attribution analysis to assist in managing their portfolios.</w:t>
      </w:r>
    </w:p>
    <w:p>
      <w:pPr>
        <w:pStyle w:val="Heading2"/>
      </w:pPr>
      <w:bookmarkStart w:id="28" w:name="conclusion"/>
      <w:r>
        <w:t xml:space="preserve">Conclusion</w:t>
      </w:r>
      <w:bookmarkEnd w:id="28"/>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cp:keywords/>
  <dcterms:created xsi:type="dcterms:W3CDTF">2020-10-07T22:53:50Z</dcterms:created>
  <dcterms:modified xsi:type="dcterms:W3CDTF">2020-10-07T22:53:50Z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 2020</vt:lpwstr>
  </property>
  <property fmtid="{D5CDD505-2E9C-101B-9397-08002B2CF9AE}" pid="3" name="output">
    <vt:lpwstr>word_document</vt:lpwstr>
  </property>
</Properties>
</file>