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Major</w:t>
      </w:r>
      <w:r>
        <w:t xml:space="preserve"> </w:t>
      </w:r>
      <w:r>
        <w:t xml:space="preserve">Initiatives</w:t>
      </w:r>
      <w:r>
        <w:t xml:space="preserve"> </w:t>
      </w:r>
      <w:r>
        <w:t xml:space="preserve">for</w:t>
      </w:r>
      <w:r>
        <w:t xml:space="preserve"> </w:t>
      </w:r>
      <w:r>
        <w:t xml:space="preserve">Fiscal</w:t>
      </w:r>
      <w:r>
        <w:t xml:space="preserve"> </w:t>
      </w:r>
      <w:r>
        <w:t xml:space="preserve">Year</w:t>
      </w:r>
      <w:r>
        <w:t xml:space="preserve"> </w:t>
      </w:r>
      <w:r>
        <w:t xml:space="preserve">2016</w:t>
      </w:r>
    </w:p>
    <w:p>
      <w:pPr>
        <w:pStyle w:val="Author"/>
      </w:pPr>
      <w:r>
        <w:t xml:space="preserve">Karl</w:t>
      </w:r>
      <w:r>
        <w:t xml:space="preserve"> </w:t>
      </w:r>
      <w:r>
        <w:t xml:space="preserve">Polen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investments"/>
      <w:bookmarkEnd w:id="21"/>
      <w:r>
        <w:t xml:space="preserve">Investments:</w:t>
      </w:r>
    </w:p>
    <w:p>
      <w:pPr>
        <w:pStyle w:val="Compact"/>
        <w:numPr>
          <w:numId w:val="1001"/>
          <w:ilvl w:val="0"/>
        </w:numPr>
      </w:pPr>
      <w:r>
        <w:t xml:space="preserve">Continued implementation of Strategic Asset Allocation adopted in March of 2015 (the "SAA")</w:t>
      </w:r>
    </w:p>
    <w:p>
      <w:pPr>
        <w:pStyle w:val="Compact"/>
        <w:numPr>
          <w:numId w:val="1002"/>
          <w:ilvl w:val="1"/>
        </w:numPr>
      </w:pPr>
      <w:r>
        <w:t xml:space="preserve">Achieved target funding for real estate and private equity portfolios</w:t>
      </w:r>
    </w:p>
    <w:p>
      <w:pPr>
        <w:pStyle w:val="Compact"/>
        <w:numPr>
          <w:numId w:val="1002"/>
          <w:ilvl w:val="1"/>
        </w:numPr>
      </w:pPr>
      <w:r>
        <w:t xml:space="preserve">Made substantial progress in implementing private debt with target funding projected to be achieved during the 2016/2017 fiscal year</w:t>
      </w:r>
    </w:p>
    <w:p>
      <w:pPr>
        <w:pStyle w:val="Compact"/>
        <w:numPr>
          <w:numId w:val="1002"/>
          <w:ilvl w:val="1"/>
        </w:numPr>
      </w:pPr>
      <w:r>
        <w:t xml:space="preserve">Realigned equity and fixed income portfolios as envisioned in the SAA</w:t>
      </w:r>
    </w:p>
    <w:p>
      <w:pPr>
        <w:pStyle w:val="Compact"/>
        <w:numPr>
          <w:numId w:val="1001"/>
          <w:ilvl w:val="0"/>
        </w:numPr>
      </w:pPr>
      <w:r>
        <w:t xml:space="preserve">Upgraded compliance systems</w:t>
      </w:r>
    </w:p>
    <w:p>
      <w:pPr>
        <w:pStyle w:val="Compact"/>
        <w:numPr>
          <w:numId w:val="1003"/>
          <w:ilvl w:val="1"/>
        </w:numPr>
      </w:pPr>
      <w:r>
        <w:t xml:space="preserve">Now test all trades for policy and statutory compliance on a daily basis</w:t>
      </w:r>
    </w:p>
    <w:p>
      <w:pPr>
        <w:pStyle w:val="Compact"/>
        <w:numPr>
          <w:numId w:val="1003"/>
          <w:ilvl w:val="1"/>
        </w:numPr>
      </w:pPr>
      <w:r>
        <w:t xml:space="preserve">Implemented a private markets compliance monitoring program to test that valuation, expense and fee policies are all properly implemented in accordance with the partnership agreements and with appropriate reporting to the partners</w:t>
      </w:r>
    </w:p>
    <w:p>
      <w:pPr>
        <w:pStyle w:val="Compact"/>
        <w:numPr>
          <w:numId w:val="1001"/>
          <w:ilvl w:val="0"/>
        </w:numPr>
      </w:pPr>
      <w:r>
        <w:t xml:space="preserve">Improved cash management and assetization operations</w:t>
      </w:r>
    </w:p>
    <w:p>
      <w:pPr>
        <w:pStyle w:val="Compact"/>
        <w:numPr>
          <w:numId w:val="1004"/>
          <w:ilvl w:val="1"/>
        </w:numPr>
      </w:pPr>
      <w:r>
        <w:t xml:space="preserve">reducing cash balances</w:t>
      </w:r>
    </w:p>
    <w:p>
      <w:pPr>
        <w:pStyle w:val="Compact"/>
        <w:numPr>
          <w:numId w:val="1004"/>
          <w:ilvl w:val="1"/>
        </w:numPr>
      </w:pPr>
      <w:r>
        <w:t xml:space="preserve">ensuring 100% assetization on a daily basis</w:t>
      </w:r>
    </w:p>
    <w:p>
      <w:pPr>
        <w:pStyle w:val="Compact"/>
        <w:numPr>
          <w:numId w:val="1004"/>
          <w:ilvl w:val="1"/>
        </w:numPr>
      </w:pPr>
      <w:r>
        <w:t xml:space="preserve">improving returns associated with the assetization process</w:t>
      </w:r>
    </w:p>
    <w:p>
      <w:pPr>
        <w:pStyle w:val="Compact"/>
        <w:numPr>
          <w:numId w:val="1001"/>
          <w:ilvl w:val="0"/>
        </w:numPr>
      </w:pPr>
      <w:r>
        <w:t xml:space="preserve">Began implementation of improved performance measurement systems</w:t>
      </w:r>
    </w:p>
    <w:p>
      <w:pPr>
        <w:pStyle w:val="Compact"/>
        <w:numPr>
          <w:numId w:val="1005"/>
          <w:ilvl w:val="1"/>
        </w:numPr>
      </w:pPr>
      <w:r>
        <w:t xml:space="preserve">completed systems for equity portfolio including returns and style based analysis</w:t>
      </w:r>
    </w:p>
    <w:p>
      <w:pPr>
        <w:pStyle w:val="Compact"/>
        <w:numPr>
          <w:numId w:val="1005"/>
          <w:ilvl w:val="1"/>
        </w:numPr>
      </w:pPr>
      <w:r>
        <w:t xml:space="preserve">planned completion of fixed income and total fund systems during the 2016/2017 fiscal year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de68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9917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Initiatives for Fiscal Year 2016</dc:title>
  <dc:creator>Karl Polen</dc:creator>
</cp:coreProperties>
</file>