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l-04-workplace-conduct-policy"/>
    <w:p>
      <w:pPr>
        <w:pStyle w:val="Heading1"/>
      </w:pPr>
      <w:r>
        <w:t xml:space="preserve">POL-04 — Workplace Conduct Policy</w:t>
      </w:r>
    </w:p>
    <w:p>
      <w:pPr>
        <w:pStyle w:val="FirstParagraph"/>
      </w:pPr>
      <w:r>
        <w:t xml:space="preserve">v2 | 2025-06-01 | Company-wide | Conduct</w:t>
      </w:r>
    </w:p>
    <w:p>
      <w:pPr>
        <w:numPr>
          <w:ilvl w:val="0"/>
          <w:numId w:val="1001"/>
        </w:numPr>
      </w:pPr>
      <w:r>
        <w:t xml:space="preserve">General Standards</w:t>
      </w:r>
      <w:r>
        <w:t xml:space="preserve"> </w:t>
      </w:r>
      <w:r>
        <w:t xml:space="preserve">1.1 [M] All employees must treat colleagues, customers, and vendors with respect and professionalism.</w:t>
      </w:r>
      <w:r>
        <w:t xml:space="preserve"> </w:t>
      </w:r>
      <w:r>
        <w:t xml:space="preserve">1.2 [M] Harassment, discrimination, or retaliation of any kind is prohibited.</w:t>
      </w:r>
      <w:r>
        <w:t xml:space="preserve"> </w:t>
      </w:r>
      <w:r>
        <w:t xml:space="preserve">1.3 [M]</w:t>
      </w:r>
      <w:r>
        <w:t xml:space="preserve"> </w:t>
      </w:r>
      <w:r>
        <w:t xml:space="preserve">“</w:t>
      </w:r>
      <w:r>
        <w:t xml:space="preserve">Conduct Violation</w:t>
      </w:r>
      <w:r>
        <w:t xml:space="preserve">”</w:t>
      </w:r>
      <w:r>
        <w:t xml:space="preserve"> </w:t>
      </w:r>
      <w:r>
        <w:t xml:space="preserve">under this policy means a breach of the interpersonal standards set out in Sections 1.1 and 1.2 — a narrower definition than</w:t>
      </w:r>
      <w:r>
        <w:t xml:space="preserve"> </w:t>
      </w:r>
      <w:r>
        <w:t xml:space="preserve">“</w:t>
      </w:r>
      <w:r>
        <w:t xml:space="preserve">Compliance Violation</w:t>
      </w:r>
      <w:r>
        <w:t xml:space="preserve">”</w:t>
      </w:r>
      <w:r>
        <w:t xml:space="preserve"> </w:t>
      </w:r>
      <w:r>
        <w:t xml:space="preserve">as used in COMP-01 Section 3.1, which also covers security, financial, and regulatory breaches.</w:t>
      </w:r>
    </w:p>
    <w:p>
      <w:pPr>
        <w:numPr>
          <w:ilvl w:val="0"/>
          <w:numId w:val="1001"/>
        </w:numPr>
      </w:pPr>
      <w:r>
        <w:t xml:space="preserve">Reporting</w:t>
      </w:r>
      <w:r>
        <w:t xml:space="preserve"> </w:t>
      </w:r>
      <w:r>
        <w:t xml:space="preserve">2.1 [M] Employees must report conduct violations to their direct manager or to HR.</w:t>
      </w:r>
      <w:r>
        <w:t xml:space="preserve"> </w:t>
      </w:r>
      <w:r>
        <w:t xml:space="preserve">2.2 [O] Employees may also use the anonymous ethics hotline described in COMP-01 Section 2.1.</w:t>
      </w:r>
    </w:p>
    <w:p>
      <w:pPr>
        <w:numPr>
          <w:ilvl w:val="0"/>
          <w:numId w:val="1001"/>
        </w:numPr>
      </w:pPr>
      <w:r>
        <w:t xml:space="preserve">Investigations</w:t>
      </w:r>
      <w:r>
        <w:t xml:space="preserve"> </w:t>
      </w:r>
      <w:r>
        <w:t xml:space="preserve">3.1 [M] HR must complete an initial review of any reported conduct violation within 10 business days.</w:t>
      </w:r>
    </w:p>
    <w:p>
      <w:pPr>
        <w:numPr>
          <w:ilvl w:val="0"/>
          <w:numId w:val="1001"/>
        </w:numPr>
      </w:pPr>
      <w:r>
        <w:t xml:space="preserve">Consequences</w:t>
      </w:r>
      <w:r>
        <w:t xml:space="preserve"> </w:t>
      </w:r>
      <w:r>
        <w:t xml:space="preserve">4.1 [M] Confirmed violations may result in disciplinary action up to and including termination.</w:t>
      </w:r>
    </w:p>
    <w:p>
      <w:pPr>
        <w:numPr>
          <w:ilvl w:val="0"/>
          <w:numId w:val="1001"/>
        </w:numPr>
      </w:pPr>
      <w:r>
        <w:t xml:space="preserve">Revision History</w:t>
      </w:r>
      <w:r>
        <w:t xml:space="preserve"> </w:t>
      </w:r>
      <w:r>
        <w:t xml:space="preserve">5.1 v1 (effective 2024-06-01) allowed only verbal or written reports to a direct manager, with no anonymous option. v2 (effective 2025-06-01) added the anonymous ethics hotline described in Section 2.2 and COMP-01 Section 2.1. v1 is superseded.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2026-09-24T08:10:38Z</dcterms:created>
  <dcterms:modified xsi:type="dcterms:W3CDTF">2026-09-24T08:10:38Z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